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UNIVERSIDADE FEDERAL DE GOIÁS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FACULDADE DE ADMINISTRAÇÃO, CIÊNCIAS CONTÁBEIS E CIÊNCIAS ECONÔMICAS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CURSO DE CIÊNCIAS CONTÁBEIS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PEDRO AUGUSTO PINHEIRO REIS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Moderna Teoria das Carteiras no Mercado de Ações Brasileiro: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Uma Opção para Diversificação e Gerenciamento do Risco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Goiânia 2024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UNIVERSIDADE FEDERAL DE GOIÁS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FACULDADE DE ADMINISTRAÇÃO, CIÊNCIAS CONTÁBEIS E CIÊNCIAS ECONÔMICAS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CURSO DE CIÊNCIAS CONTÁBEIS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PEDRO AUGUSTO PINHEIRO REIS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Moderna Teoria das Carteiras no Mercado de Ações Brasileiro: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Uma Opção para Diversificação e Gerenciamento do Risco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Goiânia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2024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Sumário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RESUMO 4</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INTRODUÇÃO 5</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REFERENCIAL TEÓRICO 7</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METODOLOGIA DA PESQUISA 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3.1. Tipo da Pesquisa 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3.2. Definição da Amostra e Coleta de Dados 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3.2.1. Universo 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3.2.2. Amostra 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3.2.3. Fonte dos Dados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3.2.4. Tratamendo dos dados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3.3. Desenho Experimental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3.4. Modelagem dos Inputs (As Três Carteiras)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3.5. Processo de Otimização (O Método de Markowitz)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3.6. Métricas de Avaliação de Desempenho 14</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ANÁLISE E DISCUSSÃO DOS RESULTADOS 15</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CONCLUSÃO 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6 CRONOGRAMA 17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7-REFERÊNCIAS 18</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RESUMO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Esse artigo avalia o desempenho de carteiras desenvolvidas de acordo com a Moderna Teoria das Carteiras (MPT) variando a estimação dos retornos esperados entre média historica, Arima e Redes Neurais Artificiais(LTSM) no mercado de ações brasileiro.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Os desempenhos das carteiras serão comparados entre si, além de benchmarks como o IBOVESPA e CDI, para o período de janeiro de 2010 a dezembro de 2024, demonstrando alternativas potenciais para investidores na elaboração de carteiras de ações no mercado brasileiro.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Palavras Chave: Carteira, Moderna Teoria das Carteiras, Markowitz, Variância</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INTRODUÇÃO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Nos últimos anos, o mercado de capitais brasileiro passou por um processo de democratização expressiva, impulsionado principalmente pelo crescimento da participação dos investidores pessoas físicas.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Segundo relatório publicado pela B3 (Pessoas Físicas: uma análise da evolução dos investidores na B3, 2022), o número de CPFs ativos na bolsa passou de cerca de 1 milhão em 2017 para mais de 4,5 milhões em 2022. Apesar do avanço, observou-se também uma queda no saldo mediano em custódia — de R$ 7 mil para R$ 3 mil no mesmo intervalo — sugerindo a entrada de pequenos investidores, muitos dos quais sem conhecimento técnico profundo sobre gestão de portfólios.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Nesse cenário, cresce a relevância de estratégias eficazes de alocação de ativos, capazes de equilibrar retorno e risco de maneira acessível e objetiva.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Moderna Teoria do Portfólio (Modern Portfolio Theory – MPT), proposta por Harry Markowitz em sua publicação seminal de 1952, inaugurou uma abordagem quantitativa para a seleção de ativos e a formação de carteiras eficientes.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Fundamentada nos conceitos de diversificação e fronteira eficiente, a teoria busca otimizar a alocação de recursos maximizando o retorno esperado e minimizando o risco, representado pela variância dos retornos (MARKOWITZ, 1952; 1959).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Posteriormente, William Sharpe (1966) contribuiu ao propor o Índice de Sharpe, que relaciona o retorno excedente ao risco total da carteira, oferecendo uma métrica objetiva de avaliação de desempenho ajustado ao risco.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Entretanto, a MPT assume hipóteses idealizadas — como a normalidade dos retornos e a simetria na distribuição dos riscos — que raramente se confirmam em mercados emergentes como o brasileiro.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Com base nessas limitações, diversos estudos passaram a explorar abordagens alternativas, culminando no desenvolvimento da Pós-Moderna Teoria do Portfólio (Post-Modern Portfolio Theory – PMPT).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Essa teoria propõe medidas mais adequadas ao comportamento do investidor real, como a semivariância, o Conditional Value at Risk (CVaR) e o Índice Ômega, priorizando a análise do risco de perdas ao invés da simples dispersão dos retornos (SORTINO; VAN DER MEER, 1991; ROM; FERGUSON, 1994).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PMPT oferece, assim, uma visão mais realista e abrangente da gestão de portfólios, sobretudo em contextos de elevada volatilidade, assimetria e ocorrência de eventos extremos — características típicas de mercados emergentes (BROMBERG; COSTA JUNIOR, 2014).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Essa abordagem reconhece que os investidores não se preocupam apenas com a variabilidade, mas sim com o risco de perdas significativas, proporcionando métricas de avaliação mais sensíveis às preferências comportamentais dos agentes.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Diante desse panorama, este trabalho busca responder à seguinte questão de pesquisa: "Qual é o impacto no desempenho, ajustado ao risco, de carteiras Média-Variância otimizadas no mercado brasileiro, quando o input de retorno esperado ($\mu$) é estimado por modelos preditivos (ARIMA e LSTM) em comparação com a tradicional média histórica?"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no mercado brasileiro, no período de 2010 a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Este trabalho está estruturado da seguinte forma: o Capítulo 2 apresenta o referencial teórico... O Capítulo 3 descreve a metodologia... O Capítulo 4 analisa os resultados... O Capítulo 5 apresenta as conclusões.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REFERENCIAL TEÓRICO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A Moderna Teoria de Carteiras (MPT)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universo dos investimentos é complexo e multifacetado. A Teoria Moderna de Portfólio (MPT), inaugurada pelo trabalho seminal de Harry Markowitz (1952) intitulado "Portfolio Selection", revolucionou a área de finanças ao propor um </w:t>
      </w:r>
      <w:r w:rsidDel="00000000" w:rsidR="00000000" w:rsidRPr="00000000">
        <w:rPr>
          <w:rFonts w:ascii="Google Sans Text" w:cs="Google Sans Text" w:eastAsia="Google Sans Text" w:hAnsi="Google Sans Text"/>
          <w:i w:val="1"/>
          <w:iCs w:val="1"/>
          <w:color w:val="1b1c1d"/>
          <w:rtl w:val="0"/>
        </w:rPr>
        <w:t xml:space="preserve">framework</w:t>
      </w:r>
      <w:r w:rsidDel="00000000" w:rsidR="00000000" w:rsidRPr="00000000">
        <w:rPr>
          <w:rFonts w:ascii="Google Sans Text" w:cs="Google Sans Text" w:eastAsia="Google Sans Text" w:hAnsi="Google Sans Text"/>
          <w:color w:val="1b1c1d"/>
          <w:rtl w:val="0"/>
        </w:rPr>
        <w:t xml:space="preserve"> analítico para a seleção e alocação de ativos.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Diversificação de Riscos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Os ativos financeiros podem ser divididos em duas categorias principais: ativos com risco e ativos livres de risco. Um ativo livre de risco é aquele que oferece ao investidor a certeza do retorno esperado, resultando em uma variância (risco) dos retornos igual a zero (Reilly &amp; Brown, 2011; Vernimmen et al., 2014).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Em contraste, os ativos de risco apresentam várias fontes de risco, que podem ser classificadas em riscos sistemáticos e não-sistemáticos. Os riscos não-sistemáticos (riscos específicos do ativo) podem ser minimizados pela diversificação, porém o risco sistemático (risco de mercado) não pode ser eliminado (Bodie et al., 2011; Berk et al., 2012).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Harry Markowitz (1952, 1959) elucidou como o risco de um portfólio estava conectado com as covariâncias dos ativos individuais que o compõem. Ele observou que a variância de um ativo por si só não era particularmente relevante, mas sim sua contribuição para a variância do portfólio (Elton et al., 2012). Dessa forma, o autor consolidou o que era conhecimento convencional e gerou um processo pelo qual os investidores poderiam escolher portfólios diversificados otimizados: a Análise Média-Variância (Damodaran, 2007).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Análise Média-Variância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metodologia de seleção de portfólios proposta por Markowitz (1952, 1959) se preocupa com duas dimensões: o retorno esperado do portfólio (E(Rp)) e a variância dos retornos do portfólio ($\sigma^2$). O princípio central é o </w:t>
      </w:r>
      <w:r w:rsidDel="00000000" w:rsidR="00000000" w:rsidRPr="00000000">
        <w:rPr>
          <w:rFonts w:ascii="Google Sans Text" w:cs="Google Sans Text" w:eastAsia="Google Sans Text" w:hAnsi="Google Sans Text"/>
          <w:i w:val="1"/>
          <w:iCs w:val="1"/>
          <w:color w:val="1b1c1d"/>
          <w:rtl w:val="0"/>
        </w:rPr>
        <w:t xml:space="preserve">trade-off</w:t>
      </w:r>
      <w:r w:rsidDel="00000000" w:rsidR="00000000" w:rsidRPr="00000000">
        <w:rPr>
          <w:rFonts w:ascii="Google Sans Text" w:cs="Google Sans Text" w:eastAsia="Google Sans Text" w:hAnsi="Google Sans Text"/>
          <w:color w:val="1b1c1d"/>
          <w:rtl w:val="0"/>
        </w:rPr>
        <w:t xml:space="preserve"> entre risco e retorno: o investidor racional busca maximizar o retorno esperado para um dado nível de risco, ou minimizar o risco para um retorno esperado pré-determinado.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Todas as combinações possíveis de ativos disponíveis formam o conjunto possível de portfólios (</w:t>
      </w:r>
      <w:r w:rsidDel="00000000" w:rsidR="00000000" w:rsidRPr="00000000">
        <w:rPr>
          <w:rFonts w:ascii="Google Sans Text" w:cs="Google Sans Text" w:eastAsia="Google Sans Text" w:hAnsi="Google Sans Text"/>
          <w:i w:val="1"/>
          <w:iCs w:val="1"/>
          <w:color w:val="1b1c1d"/>
          <w:rtl w:val="0"/>
        </w:rPr>
        <w:t xml:space="preserve">feasible set</w:t>
      </w:r>
      <w:r w:rsidDel="00000000" w:rsidR="00000000" w:rsidRPr="00000000">
        <w:rPr>
          <w:rFonts w:ascii="Google Sans Text" w:cs="Google Sans Text" w:eastAsia="Google Sans Text" w:hAnsi="Google Sans Text"/>
          <w:color w:val="1b1c1d"/>
          <w:rtl w:val="0"/>
        </w:rPr>
        <w:t xml:space="preserve">). No entanto, apenas os portfólios que oferecem o maior retorno esperado para um determinado risco são considerados portfólios eficientes. O conjunto desses portfólios eficientes é chamado de fronteira eficiente (Fabozzi &amp; Markowitz, 2011). Um critério amplamente adotado para selecionar o portfólio ideal na fronteira eficiente é a maximização do Índice de Sharpe, que mede o excesso de retorno da carteira (acima da taxa livre de risco) por unidade de risco (desvio-padrão dos retornos).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metodologia Média-Variância possui duas premissas básicas: a normalidade das distribuições dos retornos dos ativos e que as funções de utilidade de todos os investidores são quadráticas.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Pós-Moderna Teoria de Carteiras (PMPT) e Risco Downside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principal crítica à MPT, conforme apontado por Damoradan (2007), é que a premissa de normalidade raramente se sustenta, pois a maioria dos investimentos não possui retornos normalmente distribuídos e simétricos. A MPT utiliza a variância como medida de risco, que penaliza igualmente os desvios positivos (volatilidade "boa") e os desvios negativos (volatilidade "ruim").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Pós-Moderna Teoria de Carteiras (PMPT) surge para endereçar essa limitação, alinhando-se às Finanças Comportamentais ao reconhecer que investidores são mais avessos a perdas do que à variabilidade geral (Roy, 1952). A PMPT foca, portanto, no </w:t>
      </w:r>
      <w:r w:rsidDel="00000000" w:rsidR="00000000" w:rsidRPr="00000000">
        <w:rPr>
          <w:rFonts w:ascii="Google Sans Text" w:cs="Google Sans Text" w:eastAsia="Google Sans Text" w:hAnsi="Google Sans Text"/>
          <w:b w:val="1"/>
          <w:bCs w:val="1"/>
          <w:color w:val="1b1c1d"/>
          <w:rtl w:val="0"/>
        </w:rPr>
        <w:t xml:space="preserve">risco </w:t>
      </w:r>
      <w:r w:rsidDel="00000000" w:rsidR="00000000" w:rsidRPr="00000000">
        <w:rPr>
          <w:rFonts w:ascii="Google Sans Text" w:cs="Google Sans Text" w:eastAsia="Google Sans Text" w:hAnsi="Google Sans Text"/>
          <w:b w:val="1"/>
          <w:bCs w:val="1"/>
          <w:i w:val="1"/>
          <w:iCs w:val="1"/>
          <w:color w:val="1b1c1d"/>
          <w:rtl w:val="0"/>
        </w:rPr>
        <w:t xml:space="preserve">downside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Semivariância e Índice de Sortino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principal métrica da PMPT é a </w:t>
      </w:r>
      <w:r w:rsidDel="00000000" w:rsidR="00000000" w:rsidRPr="00000000">
        <w:rPr>
          <w:rFonts w:ascii="Google Sans Text" w:cs="Google Sans Text" w:eastAsia="Google Sans Text" w:hAnsi="Google Sans Text"/>
          <w:b w:val="1"/>
          <w:bCs w:val="1"/>
          <w:color w:val="1b1c1d"/>
          <w:rtl w:val="0"/>
        </w:rPr>
        <w:t xml:space="preserve">semivariância</w:t>
      </w:r>
      <w:r w:rsidDel="00000000" w:rsidR="00000000" w:rsidRPr="00000000">
        <w:rPr>
          <w:rFonts w:ascii="Google Sans Text" w:cs="Google Sans Text" w:eastAsia="Google Sans Text" w:hAnsi="Google Sans Text"/>
          <w:color w:val="1b1c1d"/>
          <w:rtl w:val="0"/>
        </w:rPr>
        <w:t xml:space="preserve"> (ou </w:t>
      </w:r>
      <w:r w:rsidDel="00000000" w:rsidR="00000000" w:rsidRPr="00000000">
        <w:rPr>
          <w:rFonts w:ascii="Google Sans Text" w:cs="Google Sans Text" w:eastAsia="Google Sans Text" w:hAnsi="Google Sans Text"/>
          <w:i w:val="1"/>
          <w:iCs w:val="1"/>
          <w:color w:val="1b1c1d"/>
          <w:rtl w:val="0"/>
        </w:rPr>
        <w:t xml:space="preserve">downside deviation</w:t>
      </w:r>
      <w:r w:rsidDel="00000000" w:rsidR="00000000" w:rsidRPr="00000000">
        <w:rPr>
          <w:rFonts w:ascii="Google Sans Text" w:cs="Google Sans Text" w:eastAsia="Google Sans Text" w:hAnsi="Google Sans Text"/>
          <w:color w:val="1b1c1d"/>
          <w:rtl w:val="0"/>
        </w:rPr>
        <w:t xml:space="preserve">). Diferente da variância (que mede a dispersão em torno da média), a semivariância mede apenas a dispersão dos retornos que caem </w:t>
      </w:r>
      <w:r w:rsidDel="00000000" w:rsidR="00000000" w:rsidRPr="00000000">
        <w:rPr>
          <w:rFonts w:ascii="Google Sans Text" w:cs="Google Sans Text" w:eastAsia="Google Sans Text" w:hAnsi="Google Sans Text"/>
          <w:i w:val="1"/>
          <w:iCs w:val="1"/>
          <w:color w:val="1b1c1d"/>
          <w:rtl w:val="0"/>
        </w:rPr>
        <w:t xml:space="preserve">abaixo</w:t>
      </w:r>
      <w:r w:rsidDel="00000000" w:rsidR="00000000" w:rsidRPr="00000000">
        <w:rPr>
          <w:rFonts w:ascii="Google Sans Text" w:cs="Google Sans Text" w:eastAsia="Google Sans Text" w:hAnsi="Google Sans Text"/>
          <w:color w:val="1b1c1d"/>
          <w:rtl w:val="0"/>
        </w:rPr>
        <w:t xml:space="preserve"> de um retorno-alvo mínimo aceitável (MAR), frequentemente a própria média ou a taxa livre de risco.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 base nessa métrica, Sortino e van der Meer (1991) propuseram o </w:t>
      </w:r>
      <w:r w:rsidDel="00000000" w:rsidR="00000000" w:rsidRPr="00000000">
        <w:rPr>
          <w:rFonts w:ascii="Google Sans Text" w:cs="Google Sans Text" w:eastAsia="Google Sans Text" w:hAnsi="Google Sans Text"/>
          <w:b w:val="1"/>
          <w:bCs w:val="1"/>
          <w:color w:val="1b1c1d"/>
          <w:rtl w:val="0"/>
        </w:rPr>
        <w:t xml:space="preserve">Índice de Sortino</w:t>
      </w:r>
      <w:r w:rsidDel="00000000" w:rsidR="00000000" w:rsidRPr="00000000">
        <w:rPr>
          <w:rFonts w:ascii="Google Sans Text" w:cs="Google Sans Text" w:eastAsia="Google Sans Text" w:hAnsi="Google Sans Text"/>
          <w:color w:val="1b1c1d"/>
          <w:rtl w:val="0"/>
        </w:rPr>
        <w:t xml:space="preserve">. Ele é análogo ao Índice de Sharpe, mas substitui o desvio-padrão (risco total) no denominador pela semivariância (risco </w:t>
      </w:r>
      <w:r w:rsidDel="00000000" w:rsidR="00000000" w:rsidRPr="00000000">
        <w:rPr>
          <w:rFonts w:ascii="Google Sans Text" w:cs="Google Sans Text" w:eastAsia="Google Sans Text" w:hAnsi="Google Sans Text"/>
          <w:i w:val="1"/>
          <w:iCs w:val="1"/>
          <w:color w:val="1b1c1d"/>
          <w:rtl w:val="0"/>
        </w:rPr>
        <w:t xml:space="preserve">downside</w:t>
      </w:r>
      <w:r w:rsidDel="00000000" w:rsidR="00000000" w:rsidRPr="00000000">
        <w:rPr>
          <w:rFonts w:ascii="Google Sans Text" w:cs="Google Sans Text" w:eastAsia="Google Sans Text" w:hAnsi="Google Sans Text"/>
          <w:color w:val="1b1c1d"/>
          <w:rtl w:val="0"/>
        </w:rPr>
        <w:t xml:space="preserve">). Isso permite uma avaliação mais precisa do retorno ajustado ao risco, penalizando apenas a volatilidade indesejada (perdas).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Value-at-Risk e Conditional Value-at-Risk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Outras medidas de risco </w:t>
      </w:r>
      <w:r w:rsidDel="00000000" w:rsidR="00000000" w:rsidRPr="00000000">
        <w:rPr>
          <w:rFonts w:ascii="Google Sans Text" w:cs="Google Sans Text" w:eastAsia="Google Sans Text" w:hAnsi="Google Sans Text"/>
          <w:i w:val="1"/>
          <w:iCs w:val="1"/>
          <w:color w:val="1b1c1d"/>
          <w:rtl w:val="0"/>
        </w:rPr>
        <w:t xml:space="preserve">downside</w:t>
      </w:r>
      <w:r w:rsidDel="00000000" w:rsidR="00000000" w:rsidRPr="00000000">
        <w:rPr>
          <w:rFonts w:ascii="Google Sans Text" w:cs="Google Sans Text" w:eastAsia="Google Sans Text" w:hAnsi="Google Sans Text"/>
          <w:color w:val="1b1c1d"/>
          <w:rtl w:val="0"/>
        </w:rPr>
        <w:t xml:space="preserve"> amplamente utilizadas são o Value-at-Risk (VaR) e sua adaptação, o Conditional Value-at-Risk (CVaR) (Dempster, 2002).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Jorion (2006) define VaR como uma medida da maior potencial perda em valor de um ativo de risco ou portfólio em um dado período de tempo para um dado intervalo de confiança. Apesar do sucesso do VaR, ele foi criticado por duas razões principais: ele mede apenas os percentis da distribuição de perdas, ignorando perdas além do nível de VaR (chamado de </w:t>
      </w:r>
      <w:r w:rsidDel="00000000" w:rsidR="00000000" w:rsidRPr="00000000">
        <w:rPr>
          <w:rFonts w:ascii="Google Sans Text" w:cs="Google Sans Text" w:eastAsia="Google Sans Text" w:hAnsi="Google Sans Text"/>
          <w:i w:val="1"/>
          <w:iCs w:val="1"/>
          <w:color w:val="1b1c1d"/>
          <w:rtl w:val="0"/>
        </w:rPr>
        <w:t xml:space="preserve">tail risk</w:t>
      </w:r>
      <w:r w:rsidDel="00000000" w:rsidR="00000000" w:rsidRPr="00000000">
        <w:rPr>
          <w:rFonts w:ascii="Google Sans Text" w:cs="Google Sans Text" w:eastAsia="Google Sans Text" w:hAnsi="Google Sans Text"/>
          <w:color w:val="1b1c1d"/>
          <w:rtl w:val="0"/>
        </w:rPr>
        <w:t xml:space="preserve">); e não é uma medida coerente de risco, pois não é subaditivo (Artzner et al., 1997, 1999; Yamai &amp; Yoshiba, 2005).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contornar o problema de </w:t>
      </w:r>
      <w:r w:rsidDel="00000000" w:rsidR="00000000" w:rsidRPr="00000000">
        <w:rPr>
          <w:rFonts w:ascii="Google Sans Text" w:cs="Google Sans Text" w:eastAsia="Google Sans Text" w:hAnsi="Google Sans Text"/>
          <w:i w:val="1"/>
          <w:iCs w:val="1"/>
          <w:color w:val="1b1c1d"/>
          <w:rtl w:val="0"/>
        </w:rPr>
        <w:t xml:space="preserve">tail risk</w:t>
      </w:r>
      <w:r w:rsidDel="00000000" w:rsidR="00000000" w:rsidRPr="00000000">
        <w:rPr>
          <w:rFonts w:ascii="Google Sans Text" w:cs="Google Sans Text" w:eastAsia="Google Sans Text" w:hAnsi="Google Sans Text"/>
          <w:color w:val="1b1c1d"/>
          <w:rtl w:val="0"/>
        </w:rPr>
        <w:t xml:space="preserve"> e de subaditividade, Artzner et al. (1997, 1999) propuseram o CVaR (também chamado de </w:t>
      </w:r>
      <w:r w:rsidDel="00000000" w:rsidR="00000000" w:rsidRPr="00000000">
        <w:rPr>
          <w:rFonts w:ascii="Google Sans Text" w:cs="Google Sans Text" w:eastAsia="Google Sans Text" w:hAnsi="Google Sans Text"/>
          <w:i w:val="1"/>
          <w:iCs w:val="1"/>
          <w:color w:val="1b1c1d"/>
          <w:rtl w:val="0"/>
        </w:rPr>
        <w:t xml:space="preserve">expected shortfall</w:t>
      </w:r>
      <w:r w:rsidDel="00000000" w:rsidR="00000000" w:rsidRPr="00000000">
        <w:rPr>
          <w:rFonts w:ascii="Google Sans Text" w:cs="Google Sans Text" w:eastAsia="Google Sans Text" w:hAnsi="Google Sans Text"/>
          <w:color w:val="1b1c1d"/>
          <w:rtl w:val="0"/>
        </w:rPr>
        <w:t xml:space="preserve">). Satisfazendo todos os axiomas de uma medida coerente de risco, o CVaR pode ser definido como a média ponderada das expectativas de perdas quando essas são maiores que o VaR (Moreira, 2006).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O Problema Fundamental dos Inputs na MPT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Apesar do apelo intuitivo do modelo Média-Variância, sua aplicação prática enfrenta desafios notáveis, sendo o mais grave o </w:t>
      </w:r>
      <w:r w:rsidDel="00000000" w:rsidR="00000000" w:rsidRPr="00000000">
        <w:rPr>
          <w:rFonts w:ascii="Google Sans Text" w:cs="Google Sans Text" w:eastAsia="Google Sans Text" w:hAnsi="Google Sans Text"/>
          <w:b w:val="1"/>
          <w:bCs w:val="1"/>
          <w:color w:val="1b1c1d"/>
          <w:rtl w:val="0"/>
        </w:rPr>
        <w:t xml:space="preserve">erro de estimação</w:t>
      </w:r>
      <w:r w:rsidDel="00000000" w:rsidR="00000000" w:rsidRPr="00000000">
        <w:rPr>
          <w:rFonts w:ascii="Google Sans Text" w:cs="Google Sans Text" w:eastAsia="Google Sans Text" w:hAnsi="Google Sans Text"/>
          <w:color w:val="1b1c1d"/>
          <w:rtl w:val="0"/>
        </w:rPr>
        <w:t xml:space="preserve"> dos parâmetros de entrada (</w:t>
      </w:r>
      <w:r w:rsidDel="00000000" w:rsidR="00000000" w:rsidRPr="00000000">
        <w:rPr>
          <w:rFonts w:ascii="Google Sans Text" w:cs="Google Sans Text" w:eastAsia="Google Sans Text" w:hAnsi="Google Sans Text"/>
          <w:i w:val="1"/>
          <w:iCs w:val="1"/>
          <w:color w:val="1b1c1d"/>
          <w:rtl w:val="0"/>
        </w:rPr>
        <w:t xml:space="preserve">inputs</w:t>
      </w:r>
      <w:r w:rsidDel="00000000" w:rsidR="00000000" w:rsidRPr="00000000">
        <w:rPr>
          <w:rFonts w:ascii="Google Sans Text" w:cs="Google Sans Text" w:eastAsia="Google Sans Text" w:hAnsi="Google Sans Text"/>
          <w:color w:val="1b1c1d"/>
          <w:rtl w:val="0"/>
        </w:rPr>
        <w:t xml:space="preserve">). Elton e Gruber (1997) mostraram como a Análise Média-Variância é sensível à forma como os </w:t>
      </w:r>
      <w:r w:rsidDel="00000000" w:rsidR="00000000" w:rsidRPr="00000000">
        <w:rPr>
          <w:rFonts w:ascii="Google Sans Text" w:cs="Google Sans Text" w:eastAsia="Google Sans Text" w:hAnsi="Google Sans Text"/>
          <w:i w:val="1"/>
          <w:iCs w:val="1"/>
          <w:color w:val="1b1c1d"/>
          <w:rtl w:val="0"/>
        </w:rPr>
        <w:t xml:space="preserve">inputs</w:t>
      </w:r>
      <w:r w:rsidDel="00000000" w:rsidR="00000000" w:rsidRPr="00000000">
        <w:rPr>
          <w:rFonts w:ascii="Google Sans Text" w:cs="Google Sans Text" w:eastAsia="Google Sans Text" w:hAnsi="Google Sans Text"/>
          <w:color w:val="1b1c1d"/>
          <w:rtl w:val="0"/>
        </w:rPr>
        <w:t xml:space="preserve"> (retorno esperado e variância) são calculados.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Estudos empíricos demonstram que os portfólios ótimos derivados do modelo MV são muito sensíveis e instáveis a pequenas variações nos dados de entrada. Em particular, erros de estimação do vetor de retornos esperados ($\mu$) são consideravelmente mais impactantes na composição final do portfólio do que os erros de estimação da matriz de covariância ($\Sigma$) (DeMiguel e Nogales, 2009).</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tese central desta pesquisa está fundamentada nesta lacuna da MPT: a qualidade do portfólio ótimo é diretamente dependente da qualidade da estimativa de $\mu$. Se os parâmetros são calculados a partir de dados passados, eles próprios estão sujeitos à incerteza, degradando substancialmente o desempenho da solução ótima (Santos e Tessari, 2012).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w:cs="Google Sans" w:eastAsia="Google Sans" w:hAnsi="Google Sans"/>
          <w:color w:val="1b1c1d"/>
          <w:rtl w:val="0"/>
        </w:rPr>
        <w:t xml:space="preserve">2.4 Abordagens para Estimação de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$\mu$</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enfrentar o problema de incerteza na estimativa de $\mu$, a literatura acadêmica tem explorado diversas metodologias. Este trabalho se propõe a comparar o desempenho </w:t>
      </w:r>
      <w:r w:rsidDel="00000000" w:rsidR="00000000" w:rsidRPr="00000000">
        <w:rPr>
          <w:rFonts w:ascii="Google Sans Text" w:cs="Google Sans Text" w:eastAsia="Google Sans Text" w:hAnsi="Google Sans Text"/>
          <w:i w:val="1"/>
          <w:iCs w:val="1"/>
          <w:color w:val="1b1c1d"/>
          <w:rtl w:val="0"/>
        </w:rPr>
        <w:t xml:space="preserve">out-of-sample</w:t>
      </w:r>
      <w:r w:rsidDel="00000000" w:rsidR="00000000" w:rsidRPr="00000000">
        <w:rPr>
          <w:rFonts w:ascii="Google Sans Text" w:cs="Google Sans Text" w:eastAsia="Google Sans Text" w:hAnsi="Google Sans Text"/>
          <w:color w:val="1b1c1d"/>
          <w:rtl w:val="0"/>
        </w:rPr>
        <w:t xml:space="preserve"> (fora da amostra) de portfólios Máximo Sharpe gerados a partir de três abordagens distintas de previsão de retorno.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2.4.1 Abordagem Clássica: A Média Histórica Simples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forma mais difundida e simples de estimar o retorno esperado de um ativo é assumir que os retornos históricos são representativos do comportamento futuro. Assim, o valor de $\mu$ é frequentemente calculado como a média aritmética simples dos retornos observados na série histórica.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Contudo, a premissa de que o passado é o melhor preditor do futuro apresenta uma limitação, tornando os parâmetros sensíveis à janela temporal utilizada. A fragilidade deste método manifesta-se em alocações pouco intuitivas e instáveis, frequentemente resultando em portfólios que, fora da amostra, podem ser superados até mesmo por estratégias simplórias como a carteira igualmente ponderada (1/N) (DeMiguel e Nogales, 2009).</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2.4.2 Abordagem Estatística: Modelos de Séries Temporais (ARIMA)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Reconhecendo que os retornos financeiros são processos estocásticos com dinâmicas temporais, modelos estatísticos avançados são utilizados para gerar previsões mais robustas para $\mu$.</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Modelos de Séries Temporais, como o ARIMA (Autoregressive Integrated Moving Average), são amplamente utilizados para prever valores futuros de séries temporais. O ARIMA generaliza o modelo ARMA e é capaz de transformar séries não estacionárias em estacionárias. Para lidar com a característica dos mercados financeiros que apresentam agrupamento de volatilidade (</w:t>
      </w:r>
      <w:r w:rsidDel="00000000" w:rsidR="00000000" w:rsidRPr="00000000">
        <w:rPr>
          <w:rFonts w:ascii="Google Sans Text" w:cs="Google Sans Text" w:eastAsia="Google Sans Text" w:hAnsi="Google Sans Text"/>
          <w:i w:val="1"/>
          <w:iCs w:val="1"/>
          <w:color w:val="1b1c1d"/>
          <w:rtl w:val="0"/>
        </w:rPr>
        <w:t xml:space="preserve">volatility clustering</w:t>
      </w:r>
      <w:r w:rsidDel="00000000" w:rsidR="00000000" w:rsidRPr="00000000">
        <w:rPr>
          <w:rFonts w:ascii="Google Sans Text" w:cs="Google Sans Text" w:eastAsia="Google Sans Text" w:hAnsi="Google Sans Text"/>
          <w:color w:val="1b1c1d"/>
          <w:rtl w:val="0"/>
        </w:rPr>
        <w:t xml:space="preserve">), modelos como o GARCH (Heterocedasticidade Condicional Autorregressiva Generalizada) são frequentemente conjugados ao ARIMA, permitindo gerar previsões condicionais de retorno e risco (</w:t>
      </w:r>
      <w:r w:rsidDel="00000000" w:rsidR="00000000" w:rsidRPr="00000000">
        <w:rPr>
          <w:rFonts w:ascii="Google Sans Text" w:cs="Google Sans Text" w:eastAsia="Google Sans Text" w:hAnsi="Google Sans Text"/>
          <w:i w:val="1"/>
          <w:iCs w:val="1"/>
          <w:color w:val="1b1c1d"/>
          <w:rtl w:val="0"/>
        </w:rPr>
        <w:t xml:space="preserve">one step ahead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2.4.3 Abordagem de Machine Learning: Redes Neurais (LSTM)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Nos últimos anos, a previsão de retornos tem se beneficiado da utilização de algoritmos de </w:t>
      </w:r>
      <w:r w:rsidDel="00000000" w:rsidR="00000000" w:rsidRPr="00000000">
        <w:rPr>
          <w:rFonts w:ascii="Google Sans Text" w:cs="Google Sans Text" w:eastAsia="Google Sans Text" w:hAnsi="Google Sans Text"/>
          <w:i w:val="1"/>
          <w:iCs w:val="1"/>
          <w:color w:val="1b1c1d"/>
          <w:rtl w:val="0"/>
        </w:rPr>
        <w:t xml:space="preserve">Machine Learning</w:t>
      </w:r>
      <w:r w:rsidDel="00000000" w:rsidR="00000000" w:rsidRPr="00000000">
        <w:rPr>
          <w:rFonts w:ascii="Google Sans Text" w:cs="Google Sans Text" w:eastAsia="Google Sans Text" w:hAnsi="Google Sans Text"/>
          <w:color w:val="1b1c1d"/>
          <w:rtl w:val="0"/>
        </w:rPr>
        <w:t xml:space="preserve"> (ML). As técnicas de ML são vantajosas por manipularem grandes volumes de dados e identificarem padrões complexos e não lineares nos dados financeiros que os métodos lineares tradicionais podem falhar em capturar.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Neste contexto, as Redes Neurais Recorrentes (RNN), particularmente as redes de Memória de Longo Curto Prazo (LSTM) (</w:t>
      </w:r>
      <w:r w:rsidDel="00000000" w:rsidR="00000000" w:rsidRPr="00000000">
        <w:rPr>
          <w:rFonts w:ascii="Google Sans Text" w:cs="Google Sans Text" w:eastAsia="Google Sans Text" w:hAnsi="Google Sans Text"/>
          <w:i w:val="1"/>
          <w:iCs w:val="1"/>
          <w:color w:val="1b1c1d"/>
          <w:rtl w:val="0"/>
        </w:rPr>
        <w:t xml:space="preserve">Long Short-Term Memory</w:t>
      </w:r>
      <w:r w:rsidDel="00000000" w:rsidR="00000000" w:rsidRPr="00000000">
        <w:rPr>
          <w:rFonts w:ascii="Google Sans Text" w:cs="Google Sans Text" w:eastAsia="Google Sans Text" w:hAnsi="Google Sans Text"/>
          <w:color w:val="1b1c1d"/>
          <w:rtl w:val="0"/>
        </w:rPr>
        <w:t xml:space="preserve">), destacam-se. A arquitetura LSTM é projetada especificamente para aprender dependências de longo prazo em dados sequenciais, capturando correlações ocultas e não lineares, o que as torna uma solução poderosa para a modelagem do retorno de ativos.</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b1c1d"/>
          <w:rtl w:val="0"/>
        </w:rPr>
        <w:t xml:space="preserve">METODOLOGIA DA PESQUISA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Tipo da Pesquisa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pesquisa é classificada como </w:t>
      </w:r>
      <w:r w:rsidDel="00000000" w:rsidR="00000000" w:rsidRPr="00000000">
        <w:rPr>
          <w:rFonts w:ascii="Google Sans Text" w:cs="Google Sans Text" w:eastAsia="Google Sans Text" w:hAnsi="Google Sans Text"/>
          <w:b w:val="1"/>
          <w:bCs w:val="1"/>
          <w:color w:val="1b1c1d"/>
          <w:rtl w:val="0"/>
        </w:rPr>
        <w:t xml:space="preserve">quantitativa</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descritiva</w:t>
      </w:r>
      <w:r w:rsidDel="00000000" w:rsidR="00000000" w:rsidRPr="00000000">
        <w:rPr>
          <w:rFonts w:ascii="Google Sans Text" w:cs="Google Sans Text" w:eastAsia="Google Sans Text" w:hAnsi="Google Sans Text"/>
          <w:color w:val="1b1c1d"/>
          <w:rtl w:val="0"/>
        </w:rPr>
        <w:t xml:space="preserve"> e </w:t>
      </w:r>
      <w:r w:rsidDel="00000000" w:rsidR="00000000" w:rsidRPr="00000000">
        <w:rPr>
          <w:rFonts w:ascii="Google Sans Text" w:cs="Google Sans Text" w:eastAsia="Google Sans Text" w:hAnsi="Google Sans Text"/>
          <w:b w:val="1"/>
          <w:bCs w:val="1"/>
          <w:color w:val="1b1c1d"/>
          <w:rtl w:val="0"/>
        </w:rPr>
        <w:t xml:space="preserve">aplicada</w:t>
      </w:r>
      <w:r w:rsidDel="00000000" w:rsidR="00000000" w:rsidRPr="00000000">
        <w:rPr>
          <w:rFonts w:ascii="Google Sans Text" w:cs="Google Sans Text" w:eastAsia="Google Sans Text" w:hAnsi="Google Sans Text"/>
          <w:color w:val="1b1c1d"/>
          <w:rtl w:val="0"/>
        </w:rPr>
        <w:t xml:space="preserve">. Utiliza-se da </w:t>
      </w:r>
      <w:r w:rsidDel="00000000" w:rsidR="00000000" w:rsidRPr="00000000">
        <w:rPr>
          <w:rFonts w:ascii="Google Sans Text" w:cs="Google Sans Text" w:eastAsia="Google Sans Text" w:hAnsi="Google Sans Text"/>
          <w:b w:val="1"/>
          <w:bCs w:val="1"/>
          <w:color w:val="1b1c1d"/>
          <w:rtl w:val="0"/>
        </w:rPr>
        <w:t xml:space="preserve">modelagem e simulação</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backtesting</w:t>
      </w:r>
      <w:r w:rsidDel="00000000" w:rsidR="00000000" w:rsidRPr="00000000">
        <w:rPr>
          <w:rFonts w:ascii="Google Sans Text" w:cs="Google Sans Text" w:eastAsia="Google Sans Text" w:hAnsi="Google Sans Text"/>
          <w:color w:val="1b1c1d"/>
          <w:rtl w:val="0"/>
        </w:rPr>
        <w:t xml:space="preserve">) como principal técnica de análise de dados.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foco metodológico é a construção e comparação de desempenho de três estratégias de portfólio que utilizam a otimização Média-Variância (Máximo Sharpe), mas que diferem fundamentalmente na metodologia de estimação do vetor de retornos esperados ($\mu$): (1) Média Histórica, (2) Previsão ARIMA e (3) Previsão LSTM. O desempenho das carteiras será analisado tanto entre si quanto comparado a </w:t>
      </w:r>
      <w:r w:rsidDel="00000000" w:rsidR="00000000" w:rsidRPr="00000000">
        <w:rPr>
          <w:rFonts w:ascii="Google Sans Text" w:cs="Google Sans Text" w:eastAsia="Google Sans Text" w:hAnsi="Google Sans Text"/>
          <w:i w:val="1"/>
          <w:iCs w:val="1"/>
          <w:color w:val="1b1c1d"/>
          <w:rtl w:val="0"/>
        </w:rPr>
        <w:t xml:space="preserve">benchmarks</w:t>
      </w:r>
      <w:r w:rsidDel="00000000" w:rsidR="00000000" w:rsidRPr="00000000">
        <w:rPr>
          <w:rFonts w:ascii="Google Sans Text" w:cs="Google Sans Text" w:eastAsia="Google Sans Text" w:hAnsi="Google Sans Text"/>
          <w:color w:val="1b1c1d"/>
          <w:rtl w:val="0"/>
        </w:rPr>
        <w:t xml:space="preserve"> de mercado (IBOVESPA e CDI). A taxa do CDI (Certificado de Depósito Interbancário) será utilizada como </w:t>
      </w:r>
      <w:r w:rsidDel="00000000" w:rsidR="00000000" w:rsidRPr="00000000">
        <w:rPr>
          <w:rFonts w:ascii="Google Sans Text" w:cs="Google Sans Text" w:eastAsia="Google Sans Text" w:hAnsi="Google Sans Text"/>
          <w:i w:val="1"/>
          <w:iCs w:val="1"/>
          <w:color w:val="1b1c1d"/>
          <w:rtl w:val="0"/>
        </w:rPr>
        <w:t xml:space="preserve">proxy</w:t>
      </w:r>
      <w:r w:rsidDel="00000000" w:rsidR="00000000" w:rsidRPr="00000000">
        <w:rPr>
          <w:rFonts w:ascii="Google Sans Text" w:cs="Google Sans Text" w:eastAsia="Google Sans Text" w:hAnsi="Google Sans Text"/>
          <w:color w:val="1b1c1d"/>
          <w:rtl w:val="0"/>
        </w:rPr>
        <w:t xml:space="preserve"> para a taxa livre de risco.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Definição da Amostra e Coleta de Dados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3.2.1. Universo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universo da pesquisa compreenderá as ações listadas na B3 no período de janeiro de 2010 a dezembro de 2024. A escolha deste período de 14 anos justifica-se pela necessidade de uma janela temporal longa o suficiente para o treinamento robusto dos modelos de redes neurais e para capturar múltiplos ciclos de mercado (ex: crises, períodos de alta).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3.2.2. Amostra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amostra será composta por um conjunto de ações selecionadas com base em critérios rigorosos de liquidez, visando garantir a replicabilidade da estratégia e evitar vieses de ativos pouco negociados. Serão incluídas na carteira teórica as ações que integraram o Índice Bovespa (IBOVESPA) ou o Índice Brasil 100 (IBrA-100) em, no mínimo, 80% dos pregões dentro do período de análise.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3.2.3. Fonte dos Dados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Os dados serão obtidos da plataforma Economática, consistindo dos preços de fechamento ajustado diários para todos os ativos da amostra, bem como as séries históricas do IBOVESPA e do CDI, dentro da janela temporal de 2010 a 2024.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3.2.4. Tratamento dos dados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Os dados de preço de fechamento ajustado serão transformados em retornos logarítmicos diários, que são preferíveis em análises financeiras devido às suas propriedades estatísticas (como a estacionariedade e a aditividade temporal).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Desenho Experimental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evitar o viés de </w:t>
      </w:r>
      <w:r w:rsidDel="00000000" w:rsidR="00000000" w:rsidRPr="00000000">
        <w:rPr>
          <w:rFonts w:ascii="Google Sans Text" w:cs="Google Sans Text" w:eastAsia="Google Sans Text" w:hAnsi="Google Sans Text"/>
          <w:i w:val="1"/>
          <w:iCs w:val="1"/>
          <w:color w:val="1b1c1d"/>
          <w:rtl w:val="0"/>
        </w:rPr>
        <w:t xml:space="preserve">look-ahead</w:t>
      </w:r>
      <w:r w:rsidDel="00000000" w:rsidR="00000000" w:rsidRPr="00000000">
        <w:rPr>
          <w:rFonts w:ascii="Google Sans Text" w:cs="Google Sans Text" w:eastAsia="Google Sans Text" w:hAnsi="Google Sans Text"/>
          <w:color w:val="1b1c1d"/>
          <w:rtl w:val="0"/>
        </w:rPr>
        <w:t xml:space="preserve"> (uso de informações futuras) e simular realisticamente a decisão de um investidor, será utilizada uma metodologia de </w:t>
      </w:r>
      <w:r w:rsidDel="00000000" w:rsidR="00000000" w:rsidRPr="00000000">
        <w:rPr>
          <w:rFonts w:ascii="Google Sans Text" w:cs="Google Sans Text" w:eastAsia="Google Sans Text" w:hAnsi="Google Sans Text"/>
          <w:i w:val="1"/>
          <w:iCs w:val="1"/>
          <w:color w:val="1b1c1d"/>
          <w:rtl w:val="0"/>
        </w:rPr>
        <w:t xml:space="preserve">backtesting</w:t>
      </w:r>
      <w:r w:rsidDel="00000000" w:rsidR="00000000" w:rsidRPr="00000000">
        <w:rPr>
          <w:rFonts w:ascii="Google Sans Text" w:cs="Google Sans Text" w:eastAsia="Google Sans Text" w:hAnsi="Google Sans Text"/>
          <w:color w:val="1b1c1d"/>
          <w:rtl w:val="0"/>
        </w:rPr>
        <w:t xml:space="preserve"> baseada em </w:t>
      </w:r>
      <w:r w:rsidDel="00000000" w:rsidR="00000000" w:rsidRPr="00000000">
        <w:rPr>
          <w:rFonts w:ascii="Google Sans Text" w:cs="Google Sans Text" w:eastAsia="Google Sans Text" w:hAnsi="Google Sans Text"/>
          <w:b w:val="1"/>
          <w:bCs w:val="1"/>
          <w:color w:val="1b1c1d"/>
          <w:rtl w:val="0"/>
        </w:rPr>
        <w:t xml:space="preserve">Janela Deslizante (</w:t>
      </w:r>
      <w:r w:rsidDel="00000000" w:rsidR="00000000" w:rsidRPr="00000000">
        <w:rPr>
          <w:rFonts w:ascii="Google Sans Text" w:cs="Google Sans Text" w:eastAsia="Google Sans Text" w:hAnsi="Google Sans Text"/>
          <w:b w:val="1"/>
          <w:bCs w:val="1"/>
          <w:i w:val="1"/>
          <w:iCs w:val="1"/>
          <w:color w:val="1b1c1d"/>
          <w:rtl w:val="0"/>
        </w:rPr>
        <w:t xml:space="preserve">Rolling Window</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b w:val="1"/>
          <w:bCs w:val="1"/>
          <w:color w:val="1b1c1d"/>
          <w:rtl w:val="0"/>
        </w:rPr>
        <w:t xml:space="preserve">Janela de Treinamento</w:t>
      </w:r>
      <w:r w:rsidDel="00000000" w:rsidR="00000000" w:rsidRPr="00000000">
        <w:rPr>
          <w:rFonts w:ascii="Google Sans Text" w:cs="Google Sans Text" w:eastAsia="Google Sans Text" w:hAnsi="Google Sans Text"/>
          <w:color w:val="1b1c1d"/>
          <w:rtl w:val="0"/>
        </w:rPr>
        <w:t xml:space="preserve"> consistirá de </w:t>
      </w:r>
      <w:r w:rsidDel="00000000" w:rsidR="00000000" w:rsidRPr="00000000">
        <w:rPr>
          <w:rFonts w:ascii="Google Sans Text" w:cs="Google Sans Text" w:eastAsia="Google Sans Text" w:hAnsi="Google Sans Text"/>
          <w:b w:val="1"/>
          <w:bCs w:val="1"/>
          <w:color w:val="1b1c1d"/>
          <w:rtl w:val="0"/>
        </w:rPr>
        <w:t xml:space="preserve">60 meses (5 anos)</w:t>
      </w:r>
      <w:r w:rsidDel="00000000" w:rsidR="00000000" w:rsidRPr="00000000">
        <w:rPr>
          <w:rFonts w:ascii="Google Sans Text" w:cs="Google Sans Text" w:eastAsia="Google Sans Text" w:hAnsi="Google Sans Text"/>
          <w:color w:val="1b1c1d"/>
          <w:rtl w:val="0"/>
        </w:rPr>
        <w:t xml:space="preserve"> de dados históricos diários. Esses dados serão usados para treinar os modelos preditivos (ARIMA, LSTM) e calcular os parâmetros de </w:t>
      </w:r>
      <w:r w:rsidDel="00000000" w:rsidR="00000000" w:rsidRPr="00000000">
        <w:rPr>
          <w:rFonts w:ascii="Google Sans Text" w:cs="Google Sans Text" w:eastAsia="Google Sans Text" w:hAnsi="Google Sans Text"/>
          <w:i w:val="1"/>
          <w:iCs w:val="1"/>
          <w:color w:val="1b1c1d"/>
          <w:rtl w:val="0"/>
        </w:rPr>
        <w:t xml:space="preserve">input</w:t>
      </w:r>
      <w:r w:rsidDel="00000000" w:rsidR="00000000" w:rsidRPr="00000000">
        <w:rPr>
          <w:rFonts w:ascii="Google Sans Text" w:cs="Google Sans Text" w:eastAsia="Google Sans Text" w:hAnsi="Google Sans Text"/>
          <w:color w:val="1b1c1d"/>
          <w:rtl w:val="0"/>
        </w:rPr>
        <w:t xml:space="preserve"> (média histórica e matriz de covariância).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w:t>
      </w:r>
      <w:r w:rsidDel="00000000" w:rsidR="00000000" w:rsidRPr="00000000">
        <w:rPr>
          <w:rFonts w:ascii="Google Sans Text" w:cs="Google Sans Text" w:eastAsia="Google Sans Text" w:hAnsi="Google Sans Text"/>
          <w:b w:val="1"/>
          <w:bCs w:val="1"/>
          <w:color w:val="1b1c1d"/>
          <w:rtl w:val="0"/>
        </w:rPr>
        <w:t xml:space="preserve">Período de Teste</w:t>
      </w:r>
      <w:r w:rsidDel="00000000" w:rsidR="00000000" w:rsidRPr="00000000">
        <w:rPr>
          <w:rFonts w:ascii="Google Sans Text" w:cs="Google Sans Text" w:eastAsia="Google Sans Text" w:hAnsi="Google Sans Text"/>
          <w:color w:val="1b1c1d"/>
          <w:rtl w:val="0"/>
        </w:rPr>
        <w:t xml:space="preserve"> (ou período de previsão) será de </w:t>
      </w:r>
      <w:r w:rsidDel="00000000" w:rsidR="00000000" w:rsidRPr="00000000">
        <w:rPr>
          <w:rFonts w:ascii="Google Sans Text" w:cs="Google Sans Text" w:eastAsia="Google Sans Text" w:hAnsi="Google Sans Text"/>
          <w:b w:val="1"/>
          <w:bCs w:val="1"/>
          <w:color w:val="1b1c1d"/>
          <w:rtl w:val="0"/>
        </w:rPr>
        <w:t xml:space="preserve">1 mês</w:t>
      </w:r>
      <w:r w:rsidDel="00000000" w:rsidR="00000000" w:rsidRPr="00000000">
        <w:rPr>
          <w:rFonts w:ascii="Google Sans Text" w:cs="Google Sans Text" w:eastAsia="Google Sans Text" w:hAnsi="Google Sans Text"/>
          <w:color w:val="1b1c1d"/>
          <w:rtl w:val="0"/>
        </w:rPr>
        <w:t xml:space="preserve"> subsequente. Os modelos preverão o retorno esperado ($\mu$) para este mês.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b w:val="1"/>
          <w:bCs w:val="1"/>
          <w:color w:val="1b1c1d"/>
          <w:rtl w:val="0"/>
        </w:rPr>
        <w:t xml:space="preserve">Frequência de Rebalanceamento</w:t>
      </w:r>
      <w:r w:rsidDel="00000000" w:rsidR="00000000" w:rsidRPr="00000000">
        <w:rPr>
          <w:rFonts w:ascii="Google Sans Text" w:cs="Google Sans Text" w:eastAsia="Google Sans Text" w:hAnsi="Google Sans Text"/>
          <w:color w:val="1b1c1d"/>
          <w:rtl w:val="0"/>
        </w:rPr>
        <w:t xml:space="preserve"> da carteira será </w:t>
      </w:r>
      <w:r w:rsidDel="00000000" w:rsidR="00000000" w:rsidRPr="00000000">
        <w:rPr>
          <w:rFonts w:ascii="Google Sans Text" w:cs="Google Sans Text" w:eastAsia="Google Sans Text" w:hAnsi="Google Sans Text"/>
          <w:b w:val="1"/>
          <w:bCs w:val="1"/>
          <w:color w:val="1b1c1d"/>
          <w:rtl w:val="0"/>
        </w:rPr>
        <w:t xml:space="preserve">mensal</w:t>
      </w:r>
      <w:r w:rsidDel="00000000" w:rsidR="00000000" w:rsidRPr="00000000">
        <w:rPr>
          <w:rFonts w:ascii="Google Sans Text" w:cs="Google Sans Text" w:eastAsia="Google Sans Text" w:hAnsi="Google Sans Text"/>
          <w:color w:val="1b1c1d"/>
          <w:rtl w:val="0"/>
        </w:rPr>
        <w:t xml:space="preserve">. Ao final de cada mês de teste, a janela deslizará um mês para frente (descartando o mês mais antigo e incorporando o mês mais recente), e todo o processo de treinamento, previsão e otimização será repetido.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Modelagem dos Inputs (As Três Carteiras)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cada período de rebalanceamento no </w:t>
      </w:r>
      <w:r w:rsidDel="00000000" w:rsidR="00000000" w:rsidRPr="00000000">
        <w:rPr>
          <w:rFonts w:ascii="Google Sans Text" w:cs="Google Sans Text" w:eastAsia="Google Sans Text" w:hAnsi="Google Sans Text"/>
          <w:i w:val="1"/>
          <w:iCs w:val="1"/>
          <w:color w:val="1b1c1d"/>
          <w:rtl w:val="0"/>
        </w:rPr>
        <w:t xml:space="preserve">backtest</w:t>
      </w:r>
      <w:r w:rsidDel="00000000" w:rsidR="00000000" w:rsidRPr="00000000">
        <w:rPr>
          <w:rFonts w:ascii="Google Sans Text" w:cs="Google Sans Text" w:eastAsia="Google Sans Text" w:hAnsi="Google Sans Text"/>
          <w:color w:val="1b1c1d"/>
          <w:rtl w:val="0"/>
        </w:rPr>
        <w:t xml:space="preserve">, a Matriz de Covariância ($\Sigma$) será calculada usando os dados históricos da janela de treinamento e será a mesma para todas as carteiras. O diferencial da pesquisa reside no cálculo do Vetor de Retorno Esperado ($\mu$):</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Carteira 1 (Baseline - Média Histórica):</w:t>
      </w:r>
      <w:r w:rsidDel="00000000" w:rsidR="00000000" w:rsidRPr="00000000">
        <w:rPr>
          <w:rFonts w:ascii="Google Sans Text" w:cs="Google Sans Text" w:eastAsia="Google Sans Text" w:hAnsi="Google Sans Text"/>
          <w:color w:val="1b1c1d"/>
          <w:rtl w:val="0"/>
        </w:rPr>
        <w:t xml:space="preserve"> O $\mu$ de cada ativo será a média aritmética simples dos retornos diários observados na Janela de Treinamento de 60 meses.</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Carteira 2 (ARIMA):</w:t>
      </w:r>
      <w:r w:rsidDel="00000000" w:rsidR="00000000" w:rsidRPr="00000000">
        <w:rPr>
          <w:rFonts w:ascii="Google Sans Text" w:cs="Google Sans Text" w:eastAsia="Google Sans Text" w:hAnsi="Google Sans Text"/>
          <w:color w:val="1b1c1d"/>
          <w:rtl w:val="0"/>
        </w:rPr>
        <w:t xml:space="preserve"> Para cada ativo, um modelo ARIMA(p,d,q) será ajustado aos dados da Janela de Treinamento. Os parâmetros (p,d,q) serão definidos dinamicamente usando a função </w:t>
      </w:r>
      <w:r w:rsidDel="00000000" w:rsidR="00000000" w:rsidRPr="00000000">
        <w:rPr>
          <w:rFonts w:ascii="Google Sans Text" w:cs="Google Sans Text" w:eastAsia="Google Sans Text" w:hAnsi="Google Sans Text"/>
          <w:b w:val="1"/>
          <w:bCs w:val="1"/>
          <w:color w:val="1b1c1d"/>
          <w:rtl w:val="0"/>
        </w:rPr>
        <w:t xml:space="preserve">Auto-ARIMA</w:t>
      </w:r>
      <w:r w:rsidDel="00000000" w:rsidR="00000000" w:rsidRPr="00000000">
        <w:rPr>
          <w:rFonts w:ascii="Google Sans Text" w:cs="Google Sans Text" w:eastAsia="Google Sans Text" w:hAnsi="Google Sans Text"/>
          <w:color w:val="1b1c1d"/>
          <w:rtl w:val="0"/>
        </w:rPr>
        <w:t xml:space="preserve"> (baseada em critérios de informação como AIC ou BIC). O modelo fará uma previsão </w:t>
      </w:r>
      <w:r w:rsidDel="00000000" w:rsidR="00000000" w:rsidRPr="00000000">
        <w:rPr>
          <w:rFonts w:ascii="Google Sans Text" w:cs="Google Sans Text" w:eastAsia="Google Sans Text" w:hAnsi="Google Sans Text"/>
          <w:i w:val="1"/>
          <w:iCs w:val="1"/>
          <w:color w:val="1b1c1d"/>
          <w:rtl w:val="0"/>
        </w:rPr>
        <w:t xml:space="preserve">out-of-sample</w:t>
      </w:r>
      <w:r w:rsidDel="00000000" w:rsidR="00000000" w:rsidRPr="00000000">
        <w:rPr>
          <w:rFonts w:ascii="Google Sans Text" w:cs="Google Sans Text" w:eastAsia="Google Sans Text" w:hAnsi="Google Sans Text"/>
          <w:color w:val="1b1c1d"/>
          <w:rtl w:val="0"/>
        </w:rPr>
        <w:t xml:space="preserve"> para o Período de Teste (1 mês). O $\mu$ será essa previsão.</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Carteira 3 (LSTM):</w:t>
      </w:r>
      <w:r w:rsidDel="00000000" w:rsidR="00000000" w:rsidRPr="00000000">
        <w:rPr>
          <w:rFonts w:ascii="Google Sans Text" w:cs="Google Sans Text" w:eastAsia="Google Sans Text" w:hAnsi="Google Sans Text"/>
          <w:color w:val="1b1c1d"/>
          <w:rtl w:val="0"/>
        </w:rPr>
        <w:t xml:space="preserve"> Para cada ativo, um modelo LSTM será treinado na Janela de Treinamento. A arquitetura consistirá em </w:t>
      </w:r>
      <w:r w:rsidDel="00000000" w:rsidR="00000000" w:rsidRPr="00000000">
        <w:rPr>
          <w:rFonts w:ascii="Google Sans Text" w:cs="Google Sans Text" w:eastAsia="Google Sans Text" w:hAnsi="Google Sans Text"/>
          <w:b w:val="1"/>
          <w:bCs w:val="1"/>
          <w:color w:val="1b1c1d"/>
          <w:rtl w:val="0"/>
        </w:rPr>
        <w:t xml:space="preserve">duas camadas LSTM de 50 neurônios</w:t>
      </w:r>
      <w:r w:rsidDel="00000000" w:rsidR="00000000" w:rsidRPr="00000000">
        <w:rPr>
          <w:rFonts w:ascii="Google Sans Text" w:cs="Google Sans Text" w:eastAsia="Google Sans Text" w:hAnsi="Google Sans Text"/>
          <w:color w:val="1b1c1d"/>
          <w:rtl w:val="0"/>
        </w:rPr>
        <w:t xml:space="preserve"> e um </w:t>
      </w:r>
      <w:r w:rsidDel="00000000" w:rsidR="00000000" w:rsidRPr="00000000">
        <w:rPr>
          <w:rFonts w:ascii="Google Sans Text" w:cs="Google Sans Text" w:eastAsia="Google Sans Text" w:hAnsi="Google Sans Text"/>
          <w:i w:val="1"/>
          <w:iCs w:val="1"/>
          <w:color w:val="1b1c1d"/>
          <w:rtl w:val="0"/>
        </w:rPr>
        <w:t xml:space="preserve">lookback period</w:t>
      </w:r>
      <w:r w:rsidDel="00000000" w:rsidR="00000000" w:rsidRPr="00000000">
        <w:rPr>
          <w:rFonts w:ascii="Google Sans Text" w:cs="Google Sans Text" w:eastAsia="Google Sans Text" w:hAnsi="Google Sans Text"/>
          <w:color w:val="1b1c1d"/>
          <w:rtl w:val="0"/>
        </w:rPr>
        <w:t xml:space="preserve"> (janela de tempo de entrada) de 60 dias. O modelo fará uma previsão </w:t>
      </w:r>
      <w:r w:rsidDel="00000000" w:rsidR="00000000" w:rsidRPr="00000000">
        <w:rPr>
          <w:rFonts w:ascii="Google Sans Text" w:cs="Google Sans Text" w:eastAsia="Google Sans Text" w:hAnsi="Google Sans Text"/>
          <w:i w:val="1"/>
          <w:iCs w:val="1"/>
          <w:color w:val="1b1c1d"/>
          <w:rtl w:val="0"/>
        </w:rPr>
        <w:t xml:space="preserve">out-of-sample</w:t>
      </w:r>
      <w:r w:rsidDel="00000000" w:rsidR="00000000" w:rsidRPr="00000000">
        <w:rPr>
          <w:rFonts w:ascii="Google Sans Text" w:cs="Google Sans Text" w:eastAsia="Google Sans Text" w:hAnsi="Google Sans Text"/>
          <w:color w:val="1b1c1d"/>
          <w:rtl w:val="0"/>
        </w:rPr>
        <w:t xml:space="preserve"> para o Período de Teste. O $\mu$ será essa previsão.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3.5. Processo de Otimização (O Método de Markowitz)</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cada uma das três carteiras, em cada período de rebalanceamento mensal, será calculado o portfólio de </w:t>
      </w:r>
      <w:r w:rsidDel="00000000" w:rsidR="00000000" w:rsidRPr="00000000">
        <w:rPr>
          <w:rFonts w:ascii="Google Sans Text" w:cs="Google Sans Text" w:eastAsia="Google Sans Text" w:hAnsi="Google Sans Text"/>
          <w:b w:val="1"/>
          <w:bCs w:val="1"/>
          <w:color w:val="1b1c1d"/>
          <w:rtl w:val="0"/>
        </w:rPr>
        <w:t xml:space="preserve">Máximo Índice de Sharpe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i w:val="1"/>
          <w:iCs w:val="1"/>
          <w:color w:val="1b1c1d"/>
          <w:rtl w:val="0"/>
        </w:rPr>
        <w:t xml:space="preserve">proxy</w:t>
      </w:r>
      <w:r w:rsidDel="00000000" w:rsidR="00000000" w:rsidRPr="00000000">
        <w:rPr>
          <w:rFonts w:ascii="Google Sans Text" w:cs="Google Sans Text" w:eastAsia="Google Sans Text" w:hAnsi="Google Sans Text"/>
          <w:color w:val="1b1c1d"/>
          <w:rtl w:val="0"/>
        </w:rPr>
        <w:t xml:space="preserve"> para a Taxa Livre de Risco (R_f), necessária para o cálculo do Sharpe, será a taxa do </w:t>
      </w:r>
      <w:r w:rsidDel="00000000" w:rsidR="00000000" w:rsidRPr="00000000">
        <w:rPr>
          <w:rFonts w:ascii="Google Sans Text" w:cs="Google Sans Text" w:eastAsia="Google Sans Text" w:hAnsi="Google Sans Text"/>
          <w:b w:val="1"/>
          <w:bCs w:val="1"/>
          <w:color w:val="1b1c1d"/>
          <w:rtl w:val="0"/>
        </w:rPr>
        <w:t xml:space="preserve">CDI</w:t>
      </w:r>
      <w:r w:rsidDel="00000000" w:rsidR="00000000" w:rsidRPr="00000000">
        <w:rPr>
          <w:rFonts w:ascii="Google Sans Text" w:cs="Google Sans Text" w:eastAsia="Google Sans Text" w:hAnsi="Google Sans Text"/>
          <w:color w:val="1b1c1d"/>
          <w:rtl w:val="0"/>
        </w:rPr>
        <w:t xml:space="preserve"> acumulada no período.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w:t>
      </w:r>
      <w:r w:rsidDel="00000000" w:rsidR="00000000" w:rsidRPr="00000000">
        <w:rPr>
          <w:rFonts w:ascii="Google Sans Text" w:cs="Google Sans Text" w:eastAsia="Google Sans Text" w:hAnsi="Google Sans Text"/>
          <w:b w:val="1"/>
          <w:bCs w:val="1"/>
          <w:color w:val="1b1c1d"/>
          <w:rtl w:val="0"/>
        </w:rPr>
        <w:t xml:space="preserve">restrições</w:t>
      </w:r>
      <w:r w:rsidDel="00000000" w:rsidR="00000000" w:rsidRPr="00000000">
        <w:rPr>
          <w:rFonts w:ascii="Google Sans Text" w:cs="Google Sans Text" w:eastAsia="Google Sans Text" w:hAnsi="Google Sans Text"/>
          <w:color w:val="1b1c1d"/>
          <w:rtl w:val="0"/>
        </w:rPr>
        <w:t xml:space="preserve"> da otimização serão: (1) 100% dos pesos alocados (soma dos pesos = 1) e (2) proibição de venda a descoberto (</w:t>
      </w:r>
      <w:r w:rsidDel="00000000" w:rsidR="00000000" w:rsidRPr="00000000">
        <w:rPr>
          <w:rFonts w:ascii="Google Sans Text" w:cs="Google Sans Text" w:eastAsia="Google Sans Text" w:hAnsi="Google Sans Text"/>
          <w:i w:val="1"/>
          <w:iCs w:val="1"/>
          <w:color w:val="1b1c1d"/>
          <w:rtl w:val="0"/>
        </w:rPr>
        <w:t xml:space="preserve">short selling</w:t>
      </w:r>
      <w:r w:rsidDel="00000000" w:rsidR="00000000" w:rsidRPr="00000000">
        <w:rPr>
          <w:rFonts w:ascii="Google Sans Text" w:cs="Google Sans Text" w:eastAsia="Google Sans Text" w:hAnsi="Google Sans Text"/>
          <w:color w:val="1b1c1d"/>
          <w:rtl w:val="0"/>
        </w:rPr>
        <w:t xml:space="preserve">), ou seja, todos os pesos devem ser maiores ou iguais a zero ($w_i \ge 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3.6. Métricas de Avaliação de Desempenho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Ao final do </w:t>
      </w:r>
      <w:r w:rsidDel="00000000" w:rsidR="00000000" w:rsidRPr="00000000">
        <w:rPr>
          <w:rFonts w:ascii="Google Sans Text" w:cs="Google Sans Text" w:eastAsia="Google Sans Text" w:hAnsi="Google Sans Text"/>
          <w:i w:val="1"/>
          <w:iCs w:val="1"/>
          <w:color w:val="1b1c1d"/>
          <w:rtl w:val="0"/>
        </w:rPr>
        <w:t xml:space="preserve">backtest</w:t>
      </w:r>
      <w:r w:rsidDel="00000000" w:rsidR="00000000" w:rsidRPr="00000000">
        <w:rPr>
          <w:rFonts w:ascii="Google Sans Text" w:cs="Google Sans Text" w:eastAsia="Google Sans Text" w:hAnsi="Google Sans Text"/>
          <w:color w:val="1b1c1d"/>
          <w:rtl w:val="0"/>
        </w:rPr>
        <w:t xml:space="preserve"> (de 2015 a 2024, após a primeira janela de treino de 60 meses), será gerada a série temporal de retornos diários para as três carteiras simuladas. Elas serão comparadas usando as seguintes métricas:</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Retorno:</w:t>
      </w:r>
      <w:r w:rsidDel="00000000" w:rsidR="00000000" w:rsidRPr="00000000">
        <w:rPr>
          <w:rFonts w:ascii="Google Sans Text" w:cs="Google Sans Text" w:eastAsia="Google Sans Text" w:hAnsi="Google Sans Text"/>
          <w:color w:val="1b1c1d"/>
          <w:rtl w:val="0"/>
        </w:rPr>
        <w:t xml:space="preserve"> Retorno Total Acumulado e Retorno Médio Anualizado.</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Risco (MPT):</w:t>
      </w:r>
      <w:r w:rsidDel="00000000" w:rsidR="00000000" w:rsidRPr="00000000">
        <w:rPr>
          <w:rFonts w:ascii="Google Sans Text" w:cs="Google Sans Text" w:eastAsia="Google Sans Text" w:hAnsi="Google Sans Text"/>
          <w:color w:val="1b1c1d"/>
          <w:rtl w:val="0"/>
        </w:rPr>
        <w:t xml:space="preserve"> Volatilidade (Desvio Padrão) Anualizada.</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Risco (PMPT):</w:t>
      </w:r>
      <w:r w:rsidDel="00000000" w:rsidR="00000000" w:rsidRPr="00000000">
        <w:rPr>
          <w:rFonts w:ascii="Google Sans Text" w:cs="Google Sans Text" w:eastAsia="Google Sans Text" w:hAnsi="Google Sans Text"/>
          <w:color w:val="1b1c1d"/>
          <w:rtl w:val="0"/>
        </w:rPr>
        <w:t xml:space="preserve"> Semivariância Anualizada e Máximo </w:t>
      </w:r>
      <w:r w:rsidDel="00000000" w:rsidR="00000000" w:rsidRPr="00000000">
        <w:rPr>
          <w:rFonts w:ascii="Google Sans Text" w:cs="Google Sans Text" w:eastAsia="Google Sans Text" w:hAnsi="Google Sans Text"/>
          <w:i w:val="1"/>
          <w:iCs w:val="1"/>
          <w:color w:val="1b1c1d"/>
          <w:rtl w:val="0"/>
        </w:rPr>
        <w:t xml:space="preserve">Drawdown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Retorno/Risco (MPT):</w:t>
      </w:r>
      <w:r w:rsidDel="00000000" w:rsidR="00000000" w:rsidRPr="00000000">
        <w:rPr>
          <w:rFonts w:ascii="Google Sans Text" w:cs="Google Sans Text" w:eastAsia="Google Sans Text" w:hAnsi="Google Sans Text"/>
          <w:color w:val="1b1c1d"/>
          <w:rtl w:val="0"/>
        </w:rPr>
        <w:t xml:space="preserve"> Índice de Sharpe.</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Retorno/Risco (PMPT):</w:t>
      </w:r>
      <w:r w:rsidDel="00000000" w:rsidR="00000000" w:rsidRPr="00000000">
        <w:rPr>
          <w:rFonts w:ascii="Google Sans Text" w:cs="Google Sans Text" w:eastAsia="Google Sans Text" w:hAnsi="Google Sans Text"/>
          <w:color w:val="1b1c1d"/>
          <w:rtl w:val="0"/>
        </w:rPr>
        <w:t xml:space="preserve"> Índice de Sortino.</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Benchmarks:</w:t>
      </w:r>
      <w:r w:rsidDel="00000000" w:rsidR="00000000" w:rsidRPr="00000000">
        <w:rPr>
          <w:rFonts w:ascii="Google Sans Text" w:cs="Google Sans Text" w:eastAsia="Google Sans Text" w:hAnsi="Google Sans Text"/>
          <w:color w:val="1b1c1d"/>
          <w:rtl w:val="0"/>
        </w:rPr>
        <w:t xml:space="preserve"> O desempenho será comparado ao IBOVESPA e ao CDI no mesmo período.</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ANÁLISE E DISCUSSÃO DOS RESULTADOS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(Conteúdo a ser desenvolvido após a execução da metodologia)</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CONCLUSÃO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(Conteúdo a ser desenvolvido após a análise dos resultados)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 CRONOGRAMA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ATIVIDADES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Março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Abril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Junho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Julho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Entrega da carta de aceite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Realização da matricula pela secretaria acadêmica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Definição do tema do projeto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Definição da estrutura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Realização do Tópico 1 do referencial teórico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Realização do Tópico 2 do referencial teórico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Introdução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Introdução Ajustes finais da introdução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Metodologia Definição do modelo e operacionalização da pesquisa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Metodologia Ajuste final da metodologia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Entrega - Formatação ABNT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Tabela 1 - Cronograma da Pesquisa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7-REFERÊNCIAS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Berk, J.; Demarzo, P. &amp; Harford, J. (2012). Fundamentals of Corporate Finance. Boston: Prentice Hall.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Bodie, Z., Kane A., &amp; Marcus, A. J. (2011). Investments. New York: McGraw-Hill/Irwin.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CHIAN, Swee C.; TAN, Kay C.; MAMUM, Abdullah Al. Evolutionary multi-objective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portfolio optimization in practical context. International Journal of Automation and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Computing, v. 5, p. 67-80, 2008.</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Damodaran, A. (2007). Strategic Risk Taking: A Framework for Risk Management. London: FT Press.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DEMIGUEL, Victor; NOGALES, Francisco J. Portfolio selection with robust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estimation. Operations Research, v. 57, n. 3, p. 560-577, 2009.</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Elton, E. J., Gruber, M. J., Brown, S. J. &amp; Goetzmann, W. N. (2012).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Moderna Teoria de Carteiras e Análise de Investimentos. Rio de Janeiro: Elsevier.</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Elton, E. J., &amp; Gruber, M. J. (1997). Modern portfolio theory, 1950 to date.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Journal of Banking &amp; Finance, 21(17), 1743-1759.</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Fabozzi, F. J., &amp; Markowitz, H. M. (2011). The Theory and Practice of Investment Management. Hoboken: John Wiley &amp; Sons.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Markowitz, H. M. (1952). Portfolio Selection. Journal of Finance, 7(1), 77-91.</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Markowitz, H. (1959). Portfolio Selection: Efficient Diversification of Investments. New York: John Wiley &amp; Sons.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Reilly, F. K., &amp; Brown, K. C. (2011). Investment Analysis &amp; Portfolio Management. Mason: South-Western Cengage Learning.</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SANTOS, André A. P.; TESSARI, Cristina. Técnicas quantitativas de otimização de carteiras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aplicadas ao mercado de ações brasileiro. Revista Brasileira de Finanças, v. 10, n. 3, p. 369-</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393, 2012.</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Vernimmen, P., Quiry, P., Dallocchio, M., Le Fur, Y., &amp; Salvi, A. (2014). Corporate Finance: Theory and Practice. Hoboken: Wiley.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(Referências sobre PMPT, Sortino, ARIMA e LSTM devem ser adicionadas conforme o desenvolvimento do Cap. 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4"/>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