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2: A Teoria Pós-Moderna do Portfólio (PMPT) e a Gestão de Risco Assimétrica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Introdução: A Evolução Paradigmática e a Necessidade Histórica da PMPT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Del="00000000" w:rsidR="00000000" w:rsidRPr="00000000">
        <w:rPr>
          <w:rFonts w:ascii="Google Sans Text" w:cs="Google Sans Text" w:eastAsia="Google Sans Text" w:hAnsi="Google Sans Text"/>
          <w:i w:val="1"/>
          <w:iCs w:val="1"/>
          <w:color w:val="1f1f1f"/>
          <w:rtl w:val="0"/>
        </w:rPr>
        <w:t xml:space="preserve">Portfolio Selection</w:t>
      </w:r>
      <w:r w:rsidDel="00000000" w:rsidR="00000000" w:rsidRPr="00000000">
        <w:rPr>
          <w:rFonts w:ascii="Google Sans Text" w:cs="Google Sans Text" w:eastAsia="Google Sans Text" w:hAnsi="Google Sans Text"/>
          <w:color w:val="1f1f1f"/>
          <w:rtl w:val="0"/>
        </w:rPr>
        <w:t xml:space="preserve">, estabeleceu o alicerce sobre o qual a gestão moderna de investimentos foi construída, formalizando a intuição da diversificação através da análise de média-variância.</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No entanto, a hegemonia da MPT, embora duradoura, fundamentou-se em simplificações matemáticas — notadamente a distribuição normal dos retornos e a variância como </w:t>
      </w:r>
      <w:r w:rsidDel="00000000" w:rsidR="00000000" w:rsidRPr="00000000">
        <w:rPr>
          <w:rFonts w:ascii="Google Sans Text" w:cs="Google Sans Text" w:eastAsia="Google Sans Text" w:hAnsi="Google Sans Text"/>
          <w:i w:val="1"/>
          <w:iCs w:val="1"/>
          <w:color w:val="1f1f1f"/>
          <w:rtl w:val="0"/>
        </w:rPr>
        <w:t xml:space="preserve">proxy</w:t>
      </w:r>
      <w:r w:rsidDel="00000000" w:rsidR="00000000" w:rsidRPr="00000000">
        <w:rPr>
          <w:rFonts w:ascii="Google Sans Text" w:cs="Google Sans Text" w:eastAsia="Google Sans Text" w:hAnsi="Google Sans Text"/>
          <w:color w:val="1f1f1f"/>
          <w:rtl w:val="0"/>
        </w:rPr>
        <w:t xml:space="preserve"> de risco — que se mostraram cada vez mais dissonantes da realidade empírica dos mercados globais e da psicologia do investidor.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sidDel="00000000" w:rsidR="00000000" w:rsidRPr="00000000">
        <w:rPr>
          <w:rFonts w:ascii="Google Sans Text" w:cs="Google Sans Text" w:eastAsia="Google Sans Text" w:hAnsi="Google Sans Text"/>
          <w:i w:val="1"/>
          <w:iCs w:val="1"/>
          <w:color w:val="1f1f1f"/>
          <w:rtl w:val="0"/>
        </w:rPr>
        <w:t xml:space="preserve">fat tails</w:t>
      </w:r>
      <w:r w:rsidDel="00000000" w:rsidR="00000000" w:rsidRPr="00000000">
        <w:rPr>
          <w:rFonts w:ascii="Google Sans Text" w:cs="Google Sans Text" w:eastAsia="Google Sans Text" w:hAnsi="Google Sans Text"/>
          <w:color w:val="1f1f1f"/>
          <w:rtl w:val="0"/>
        </w:rPr>
        <w:t xml:space="preserve">), cisnes negros e comportamento irracional dos agentes.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O "Esquecimento Tecnológico" e as Origens em Markowitz (1959)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É um equívoco comum na literatura financeira atribuir a invenção do foco no </w:t>
      </w:r>
      <w:r w:rsidDel="00000000" w:rsidR="00000000" w:rsidRPr="00000000">
        <w:rPr>
          <w:rFonts w:ascii="Google Sans Text" w:cs="Google Sans Text" w:eastAsia="Google Sans Text" w:hAnsi="Google Sans Text"/>
          <w:i w:val="1"/>
          <w:iCs w:val="1"/>
          <w:color w:val="1f1f1f"/>
          <w:rtl w:val="0"/>
        </w:rPr>
        <w:t xml:space="preserve">downside risk</w:t>
      </w:r>
      <w:r w:rsidDel="00000000" w:rsidR="00000000" w:rsidRPr="00000000">
        <w:rPr>
          <w:rFonts w:ascii="Google Sans Text" w:cs="Google Sans Text" w:eastAsia="Google Sans Text" w:hAnsi="Google Sans Text"/>
          <w:color w:val="1f1f1f"/>
          <w:rtl w:val="0"/>
        </w:rPr>
        <w:t xml:space="preserve"> exclusivamente aos teóricos da década de 1990. Uma análise historiográfica rigorosa revela que Harry Markowitz, em sua monografia de 1959, </w:t>
      </w:r>
      <w:r w:rsidDel="00000000" w:rsidR="00000000" w:rsidRPr="00000000">
        <w:rPr>
          <w:rFonts w:ascii="Google Sans Text" w:cs="Google Sans Text" w:eastAsia="Google Sans Text" w:hAnsi="Google Sans Text"/>
          <w:i w:val="1"/>
          <w:iCs w:val="1"/>
          <w:color w:val="1f1f1f"/>
          <w:rtl w:val="0"/>
        </w:rPr>
        <w:t xml:space="preserve">Portfolio Selection: Efficient Diversification of Investments</w:t>
      </w:r>
      <w:r w:rsidDel="00000000" w:rsidR="00000000" w:rsidRPr="00000000">
        <w:rPr>
          <w:rFonts w:ascii="Google Sans Text" w:cs="Google Sans Text" w:eastAsia="Google Sans Text" w:hAnsi="Google Sans Text"/>
          <w:color w:val="1f1f1f"/>
          <w:rtl w:val="0"/>
        </w:rPr>
        <w:t xml:space="preserve">, dedicou um capítulo inteiro à semivariância.</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decisão de Markowitz de fundamentar a MPT na variância, e não na semivariância, foi uma concessão pragmática imposta pelas restrições tecnológicas da época. Na década de 1950, o custo computacional para calcular a covariância de </w:t>
      </w:r>
      <w:r w:rsidDel="00000000" w:rsidR="00000000" w:rsidRPr="00000000">
        <w:rPr>
          <w:rFonts w:ascii="Google Sans Text" w:cs="Google Sans Text" w:eastAsia="Google Sans Text" w:hAnsi="Google Sans Text"/>
          <w:i w:val="1"/>
          <w:iCs w:val="1"/>
          <w:color w:val="1f1f1f"/>
          <w:rtl w:val="0"/>
        </w:rPr>
        <w:t xml:space="preserve">downside</w:t>
      </w:r>
      <w:r w:rsidDel="00000000" w:rsidR="00000000" w:rsidRPr="00000000">
        <w:rPr>
          <w:rFonts w:ascii="Google Sans Text" w:cs="Google Sans Text" w:eastAsia="Google Sans Text" w:hAnsi="Google Sans Text"/>
          <w:color w:val="1f1f1f"/>
          <w:rtl w:val="0"/>
        </w:rPr>
        <w:t xml:space="preserve"> para um portfólio diversificado era proibitivo. A variância, com suas propriedades algébricas elegantes e simétricas, permitia soluções analíticas fechadas que podiam ser resolvidas com os recursos limitados disponíveis.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Consequentemente, a indústria financeira passou as três décadas seguintes otimizando portfólios com base em uma medida de risco (desvio padrão) que o próprio criador da teoria considerava uma segunda melhor opção.</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Foi somente com o advento dos microcomputadores de alta performance nas décadas de 1980 e 1990 que a barreira computacional foi superada, permitindo o renascimento da semivariância sob a égide da PMPT.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A Consolidação da PMPT: Rom, Ferguson e o Instituto de Pesquisa de Pensões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formalização do termo "Teoria Pós-Moderna do Portfólio" é creditada aos desenvolvedores de software Brian M. Rom e Kathleen Ferguson, que publicaram trabalhos seminais em 1993 e 1994 no </w:t>
      </w:r>
      <w:r w:rsidDel="00000000" w:rsidR="00000000" w:rsidRPr="00000000">
        <w:rPr>
          <w:rFonts w:ascii="Google Sans Text" w:cs="Google Sans Text" w:eastAsia="Google Sans Text" w:hAnsi="Google Sans Text"/>
          <w:i w:val="1"/>
          <w:iCs w:val="1"/>
          <w:color w:val="1f1f1f"/>
          <w:rtl w:val="0"/>
        </w:rPr>
        <w:t xml:space="preserve">The Journal of Investing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Rom e Ferguson identificaram falhas críticas nos softwares de otimização baseados na MPT e propuseram uma nova estrutura que incorporava a assimetria das distribuições de retorno.</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Paralelamente, o suporte acadêmico para a PMPT foi solidificado pelo </w:t>
      </w:r>
      <w:r w:rsidDel="00000000" w:rsidR="00000000" w:rsidRPr="00000000">
        <w:rPr>
          <w:rFonts w:ascii="Google Sans Text" w:cs="Google Sans Text" w:eastAsia="Google Sans Text" w:hAnsi="Google Sans Text"/>
          <w:i w:val="1"/>
          <w:iCs w:val="1"/>
          <w:color w:val="1f1f1f"/>
          <w:rtl w:val="0"/>
        </w:rPr>
        <w:t xml:space="preserve">Pension Research Institute</w:t>
      </w:r>
      <w:r w:rsidDel="00000000" w:rsidR="00000000" w:rsidRPr="00000000">
        <w:rPr>
          <w:rFonts w:ascii="Google Sans Text" w:cs="Google Sans Text" w:eastAsia="Google Sans Text" w:hAnsi="Google Sans Text"/>
          <w:color w:val="1f1f1f"/>
          <w:rtl w:val="0"/>
        </w:rPr>
        <w:t xml:space="preserve"> (PRI) na Universidade Estadual de São Francisco. Pesquisadores como Dr. Frank Sortino e Dr. Hal Forsey, trabalhando com base nos teoremas de Bawa (1975) e Fishburn (1977), desenvolveram algoritmos práticos para calcular o risco de </w:t>
      </w:r>
      <w:r w:rsidDel="00000000" w:rsidR="00000000" w:rsidRPr="00000000">
        <w:rPr>
          <w:rFonts w:ascii="Google Sans Text" w:cs="Google Sans Text" w:eastAsia="Google Sans Text" w:hAnsi="Google Sans Text"/>
          <w:i w:val="1"/>
          <w:iCs w:val="1"/>
          <w:color w:val="1f1f1f"/>
          <w:rtl w:val="0"/>
        </w:rPr>
        <w:t xml:space="preserve">downside</w:t>
      </w:r>
      <w:r w:rsidDel="00000000" w:rsidR="00000000" w:rsidRPr="00000000">
        <w:rPr>
          <w:rFonts w:ascii="Google Sans Text" w:cs="Google Sans Text" w:eastAsia="Google Sans Text" w:hAnsi="Google Sans Text"/>
          <w:color w:val="1f1f1f"/>
          <w:rtl w:val="0"/>
        </w:rPr>
        <w:t xml:space="preserve"> e a distribuição log-normal de três parâmetros, que se ajustava melhor aos dados de mercado do que a distribuição normal da MPT.</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O trabalho de Sortino, em particular, foi crucial para traduzir a teoria complexa dos momentos parciais em ferramentas aplicáveis, culminando na criação do Índice de Sortino, que se tornou o estandarte da análise de desempenho ajustada ao risco de </w:t>
      </w:r>
      <w:r w:rsidDel="00000000" w:rsidR="00000000" w:rsidRPr="00000000">
        <w:rPr>
          <w:rFonts w:ascii="Google Sans Text" w:cs="Google Sans Text" w:eastAsia="Google Sans Text" w:hAnsi="Google Sans Text"/>
          <w:i w:val="1"/>
          <w:iCs w:val="1"/>
          <w:color w:val="1f1f1f"/>
          <w:rtl w:val="0"/>
        </w:rPr>
        <w:t xml:space="preserve">downside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Desconstrução Crítica da MPT: As Falácias da Normalidade e da Utilidade Quadrática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A Tirania da Curva de Sino: Caudas Gordas e Assimetria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($\mu$) e desvio padrão ($\sigma$). Sob esta ótica, a probabilidade de eventos extremos diminui exponencialmente à medida que nos afastamos da média.</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entanto, evidências empíricas exaustivas demonstram que as séries temporais financeiras exibem características que violam sistematicamente a normalidade: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Leptocurtose (Caudas Gordas):</w:t>
      </w:r>
      <w:r w:rsidDel="00000000" w:rsidR="00000000" w:rsidRPr="00000000">
        <w:rPr>
          <w:rFonts w:ascii="Google Sans Text" w:cs="Google Sans Text" w:eastAsia="Google Sans Text" w:hAnsi="Google Sans Text"/>
          <w:color w:val="1f1f1f"/>
          <w:rtl w:val="0"/>
        </w:rPr>
        <w:t xml:space="preserve"> Os mercados financeiros apresentam uma frequência de eventos extremos (tanto positivos quanto negativos) significativamente maior do que a prevista pela distribuição normal. Eventos de "seis sigmas" ($6\sigma$), que teoricamente deveriam ocorrer uma vez a cada milhões de anos, ocorrem com uma regularidade alarmante em crises financeiras.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Assimetria (Skewness):</w:t>
      </w:r>
      <w:r w:rsidDel="00000000" w:rsidR="00000000" w:rsidRPr="00000000">
        <w:rPr>
          <w:rFonts w:ascii="Google Sans Text" w:cs="Google Sans Text" w:eastAsia="Google Sans Text" w:hAnsi="Google Sans Text"/>
          <w:color w:val="1f1f1f"/>
          <w:rtl w:val="0"/>
        </w:rPr>
        <w:t xml:space="preserve"> Os retornos não são simétricos. Em mercados de ações, por exemplo, observa-se frequentemente uma assimetria negativa, onde as quedas são mais abruptas e profundas do que as altas.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Implicação para a Gestão de Portfólio: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PMPT.23 A PMPT, ao não assumir normalidade, permite o uso de distribuições mais flexíveis ou métodos não paramétricos que capturam a verdadeira natureza do risco de cauda.16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A Função de Utilidade e a Teoria da Perspectiva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Esta premissa entra em conflito direto com as descobertas das Finanças Comportamentais, especificamente a </w:t>
      </w:r>
      <w:r w:rsidDel="00000000" w:rsidR="00000000" w:rsidRPr="00000000">
        <w:rPr>
          <w:rFonts w:ascii="Google Sans Text" w:cs="Google Sans Text" w:eastAsia="Google Sans Text" w:hAnsi="Google Sans Text"/>
          <w:b w:val="1"/>
          <w:bCs w:val="1"/>
          <w:color w:val="1f1f1f"/>
          <w:rtl w:val="0"/>
        </w:rPr>
        <w:t xml:space="preserve">Teoria da Perspectiva (Prospect Theory)</w:t>
      </w:r>
      <w:r w:rsidDel="00000000" w:rsidR="00000000" w:rsidRPr="00000000">
        <w:rPr>
          <w:rFonts w:ascii="Google Sans Text" w:cs="Google Sans Text" w:eastAsia="Google Sans Text" w:hAnsi="Google Sans Text"/>
          <w:color w:val="1f1f1f"/>
          <w:rtl w:val="0"/>
        </w:rPr>
        <w:t xml:space="preserve"> desenvolvida por Daniel Kahneman e Amos Tversky. A Teoria da Perspectiva demonstra que os investidores exibem </w:t>
      </w:r>
      <w:r w:rsidDel="00000000" w:rsidR="00000000" w:rsidRPr="00000000">
        <w:rPr>
          <w:rFonts w:ascii="Google Sans Text" w:cs="Google Sans Text" w:eastAsia="Google Sans Text" w:hAnsi="Google Sans Text"/>
          <w:b w:val="1"/>
          <w:bCs w:val="1"/>
          <w:color w:val="1f1f1f"/>
          <w:rtl w:val="0"/>
        </w:rPr>
        <w:t xml:space="preserve">aversão à perda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loss aversion</w:t>
      </w:r>
      <w:r w:rsidDel="00000000" w:rsidR="00000000" w:rsidRPr="00000000">
        <w:rPr>
          <w:rFonts w:ascii="Google Sans Text" w:cs="Google Sans Text" w:eastAsia="Google Sans Text" w:hAnsi="Google Sans Text"/>
          <w:color w:val="1f1f1f"/>
          <w:rtl w:val="0"/>
        </w:rPr>
        <w:t xml:space="preserve">) em vez de aversão ao risco (</w:t>
      </w:r>
      <w:r w:rsidDel="00000000" w:rsidR="00000000" w:rsidRPr="00000000">
        <w:rPr>
          <w:rFonts w:ascii="Google Sans Text" w:cs="Google Sans Text" w:eastAsia="Google Sans Text" w:hAnsi="Google Sans Text"/>
          <w:i w:val="1"/>
          <w:iCs w:val="1"/>
          <w:color w:val="1f1f1f"/>
          <w:rtl w:val="0"/>
        </w:rPr>
        <w:t xml:space="preserve">risk aversion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Aversão à Perda:</w:t>
      </w:r>
      <w:r w:rsidDel="00000000" w:rsidR="00000000" w:rsidRPr="00000000">
        <w:rPr>
          <w:rFonts w:ascii="Google Sans Text" w:cs="Google Sans Text" w:eastAsia="Google Sans Text" w:hAnsi="Google Sans Text"/>
          <w:color w:val="1f1f1f"/>
          <w:rtl w:val="0"/>
        </w:rPr>
        <w:t xml:space="preserve"> A dor psicológica de perder $100 é aproximadamente duas vezes mais intensa do que o prazer de ganhar $100.</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Ponto de Referência:</w:t>
      </w:r>
      <w:r w:rsidDel="00000000" w:rsidR="00000000" w:rsidRPr="00000000">
        <w:rPr>
          <w:rFonts w:ascii="Google Sans Text" w:cs="Google Sans Text" w:eastAsia="Google Sans Text" w:hAnsi="Google Sans Text"/>
          <w:color w:val="1f1f1f"/>
          <w:rtl w:val="0"/>
        </w:rPr>
        <w:t xml:space="preserve"> Os investidores avaliam o desempenho não em relação à média do portfólio, mas em relação a um ponto de referência ou alvo (</w:t>
      </w:r>
      <w:r w:rsidDel="00000000" w:rsidR="00000000" w:rsidRPr="00000000">
        <w:rPr>
          <w:rFonts w:ascii="Google Sans Text" w:cs="Google Sans Text" w:eastAsia="Google Sans Text" w:hAnsi="Google Sans Text"/>
          <w:i w:val="1"/>
          <w:iCs w:val="1"/>
          <w:color w:val="1f1f1f"/>
          <w:rtl w:val="0"/>
        </w:rPr>
        <w:t xml:space="preserve">target return</w:t>
      </w:r>
      <w:r w:rsidDel="00000000" w:rsidR="00000000" w:rsidRPr="00000000">
        <w:rPr>
          <w:rFonts w:ascii="Google Sans Text" w:cs="Google Sans Text" w:eastAsia="Google Sans Text" w:hAnsi="Google Sans Text"/>
          <w:color w:val="1f1f1f"/>
          <w:rtl w:val="0"/>
        </w:rPr>
        <w:t xml:space="preserve">). Retornos acima do alvo são vistos como "ganhos" e retornos abaixo como "perdas".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PMPT operacionaliza a Teoria da Perspectiva ao substituir a média pelo </w:t>
      </w:r>
      <w:r w:rsidDel="00000000" w:rsidR="00000000" w:rsidRPr="00000000">
        <w:rPr>
          <w:rFonts w:ascii="Google Sans Text" w:cs="Google Sans Text" w:eastAsia="Google Sans Text" w:hAnsi="Google Sans Text"/>
          <w:b w:val="1"/>
          <w:bCs w:val="1"/>
          <w:color w:val="1f1f1f"/>
          <w:rtl w:val="0"/>
        </w:rPr>
        <w:t xml:space="preserve">Retorno Mínimo Aceitável (MAR)</w:t>
      </w:r>
      <w:r w:rsidDel="00000000" w:rsidR="00000000" w:rsidRPr="00000000">
        <w:rPr>
          <w:rFonts w:ascii="Google Sans Text" w:cs="Google Sans Text" w:eastAsia="Google Sans Text" w:hAnsi="Google Sans Text"/>
          <w:color w:val="1f1f1f"/>
          <w:rtl w:val="0"/>
        </w:rPr>
        <w:t xml:space="preserve"> e a variância pelo risco de </w:t>
      </w:r>
      <w:r w:rsidDel="00000000" w:rsidR="00000000" w:rsidRPr="00000000">
        <w:rPr>
          <w:rFonts w:ascii="Google Sans Text" w:cs="Google Sans Text" w:eastAsia="Google Sans Text" w:hAnsi="Google Sans Text"/>
          <w:i w:val="1"/>
          <w:iCs w:val="1"/>
          <w:color w:val="1f1f1f"/>
          <w:rtl w:val="0"/>
        </w:rPr>
        <w:t xml:space="preserve">downside</w:t>
      </w:r>
      <w:r w:rsidDel="00000000" w:rsidR="00000000" w:rsidRPr="00000000">
        <w:rPr>
          <w:rFonts w:ascii="Google Sans Text" w:cs="Google Sans Text" w:eastAsia="Google Sans Text" w:hAnsi="Google Sans Text"/>
          <w:color w:val="1f1f1f"/>
          <w:rtl w:val="0"/>
        </w:rPr>
        <w:t xml:space="preserve">. Dessa forma, a PMPT alinha a matemática da otimização de portfólio com a psicologia real do investidor: minimizando a probabilidade e a magnitude de falhar em atingir os objetivos financeiros, enquanto deixa o </w:t>
      </w:r>
      <w:r w:rsidDel="00000000" w:rsidR="00000000" w:rsidRPr="00000000">
        <w:rPr>
          <w:rFonts w:ascii="Google Sans Text" w:cs="Google Sans Text" w:eastAsia="Google Sans Text" w:hAnsi="Google Sans Text"/>
          <w:i w:val="1"/>
          <w:iCs w:val="1"/>
          <w:color w:val="1f1f1f"/>
          <w:rtl w:val="0"/>
        </w:rPr>
        <w:t xml:space="preserve">upside</w:t>
      </w:r>
      <w:r w:rsidDel="00000000" w:rsidR="00000000" w:rsidRPr="00000000">
        <w:rPr>
          <w:rFonts w:ascii="Google Sans Text" w:cs="Google Sans Text" w:eastAsia="Google Sans Text" w:hAnsi="Google Sans Text"/>
          <w:color w:val="1f1f1f"/>
          <w:rtl w:val="0"/>
        </w:rPr>
        <w:t xml:space="preserve"> livre para capturar retornos excessivos.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Tabela 2.1: Comparação Estrutural: MPT vs. PMPT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Dimensão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Moderna Teoria do Portfólio (MPT)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Teoria Pós-Moderna do Portfólio (PMPT)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Medida de Risco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Variância / Desvio Padrão ($\sigma^2, \sigma$)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Downside Deviation / LPM / CVaR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Distribuição de Retornos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 (Simétrica, Paramétrica)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Qualquer (Não-Normal, Assimétrica, Empírica)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Definição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Dispersão em torno da média (Incerteza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Fracasso em atingir o Retorno Mínimo (MAR)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Visão do Investidor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Avesso à variância (Quadrática)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Avesso à perda (Loss Aversion - Prospect Theory)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Tratamento do Upside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Penalizado como risco (aumenta $\sigma$)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Ignorado ou valorizado (Upside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Objetivo da Otimização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Maximizar Retorno para dado $\sigma$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Maximizar Retorno para dado Downside Risk</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Fonte: Elaboração baseada em.</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Conceitos Fundamentais de 'Downside Risk': A Estrutura dos Momentos Parciais Inferiores (LPM)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superar as limitações da variância, a PMPT adota a estrutura matemática dos Momentos Parciais Inferiores (</w:t>
      </w:r>
      <w:r w:rsidDel="00000000" w:rsidR="00000000" w:rsidRPr="00000000">
        <w:rPr>
          <w:rFonts w:ascii="Google Sans Text" w:cs="Google Sans Text" w:eastAsia="Google Sans Text" w:hAnsi="Google Sans Text"/>
          <w:i w:val="1"/>
          <w:iCs w:val="1"/>
          <w:color w:val="1f1f1f"/>
          <w:rtl w:val="0"/>
        </w:rPr>
        <w:t xml:space="preserve">Lower Partial Moments</w:t>
      </w:r>
      <w:r w:rsidDel="00000000" w:rsidR="00000000" w:rsidRPr="00000000">
        <w:rPr>
          <w:rFonts w:ascii="Google Sans Text" w:cs="Google Sans Text" w:eastAsia="Google Sans Text" w:hAnsi="Google Sans Text"/>
          <w:color w:val="1f1f1f"/>
          <w:rtl w:val="0"/>
        </w:rPr>
        <w:t xml:space="preserve"> - LPM). Desenvolvida teoricamente por Bawa (1975) e expandida por Fishburn (1977), a família de métricas LPM oferece uma generalização flexível para mensurar o risco abaixo de um limiar específico.</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A elegância dos LPMs reside na sua capacidade de incorporar diferentes graus de aversão ao risco através de um único parâmetro, $n$ (a ordem do momento).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Definição Matemática dos LPMs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Seja $R$ a variável aleatória que representa os retornos do ativo e $\tau$ (tau) o Retorno Mínimo Aceitável (MAR) ou </w:t>
      </w:r>
      <w:r w:rsidDel="00000000" w:rsidR="00000000" w:rsidRPr="00000000">
        <w:rPr>
          <w:rFonts w:ascii="Google Sans Text" w:cs="Google Sans Text" w:eastAsia="Google Sans Text" w:hAnsi="Google Sans Text"/>
          <w:i w:val="1"/>
          <w:iCs w:val="1"/>
          <w:color w:val="1f1f1f"/>
          <w:rtl w:val="0"/>
        </w:rPr>
        <w:t xml:space="preserve">target return</w:t>
      </w:r>
      <w:r w:rsidDel="00000000" w:rsidR="00000000" w:rsidRPr="00000000">
        <w:rPr>
          <w:rFonts w:ascii="Google Sans Text" w:cs="Google Sans Text" w:eastAsia="Google Sans Text" w:hAnsi="Google Sans Text"/>
          <w:color w:val="1f1f1f"/>
          <w:rtl w:val="0"/>
        </w:rPr>
        <w:t xml:space="preserve">. O LPM de ordem $n$ é definido pela integral: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$$LPM_n(\tau) = \int_{-\infty}^{\tau} (\tau - r)^n f(r) \, dr$$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caso discreto, onde temos uma série temporal de $T$ observações de retorno ($R_1, R_2,..., R_T$), a fórmula torna-se: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$$LPM_n(\tau) = \frac{1}{T} \sum_{t=1}^{T} \max(0, \tau - R_t)^n$$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Nesta formulação, apenas os retornos que ficam abaixo do alvo $\tau$ contribuem para a medida de risco. A função $\max(0, \tau - R_t)$ atua como um filtro, zerando qualquer contribuição de retornos positivos (acima do alvo), o que reflete matematicamente a premissa de que o </w:t>
      </w:r>
      <w:r w:rsidDel="00000000" w:rsidR="00000000" w:rsidRPr="00000000">
        <w:rPr>
          <w:rFonts w:ascii="Google Sans Text" w:cs="Google Sans Text" w:eastAsia="Google Sans Text" w:hAnsi="Google Sans Text"/>
          <w:i w:val="1"/>
          <w:iCs w:val="1"/>
          <w:color w:val="1f1f1f"/>
          <w:rtl w:val="0"/>
        </w:rPr>
        <w:t xml:space="preserve">upside</w:t>
      </w:r>
      <w:r w:rsidDel="00000000" w:rsidR="00000000" w:rsidRPr="00000000">
        <w:rPr>
          <w:rFonts w:ascii="Google Sans Text" w:cs="Google Sans Text" w:eastAsia="Google Sans Text" w:hAnsi="Google Sans Text"/>
          <w:color w:val="1f1f1f"/>
          <w:rtl w:val="0"/>
        </w:rPr>
        <w:t xml:space="preserve"> não é risco.</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A Hierarquia dos Graus de LPM e suas Interpretações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escolha do grau $n$ permite ajustar a métrica à psicologia do investidor, ponderando a severidade das perdas de maneira distinta </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LPM de Ordem 0 ($n=0$) – Probabilidade de Perda (Safety First):</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Mede a frequência com que o retorno cai abaixo do alvo.</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Matematicamente, equivale a $P(R &lt; \tau)$.</w:t>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Interpretação:</w:t>
      </w:r>
      <w:r w:rsidDel="00000000" w:rsidR="00000000" w:rsidRPr="00000000">
        <w:rPr>
          <w:rFonts w:ascii="Google Sans Text" w:cs="Google Sans Text" w:eastAsia="Google Sans Text" w:hAnsi="Google Sans Text"/>
          <w:color w:val="1f1f1f"/>
          <w:rtl w:val="0"/>
        </w:rPr>
        <w:t xml:space="preserve"> Responde à pergunta "Qual a chance de eu perder dinheiro?". No entanto, falha em distinguir entre uma perda pequena e uma perda catastrófica (uma perda de 1% conta o mesmo que uma de 50%).</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LPM de Ordem 1 ($n=1$) – Déficit Esperado (</w:t>
      </w:r>
      <w:r w:rsidDel="00000000" w:rsidR="00000000" w:rsidRPr="00000000">
        <w:rPr>
          <w:rFonts w:ascii="Google Sans Text" w:cs="Google Sans Text" w:eastAsia="Google Sans Text" w:hAnsi="Google Sans Text"/>
          <w:b w:val="1"/>
          <w:bCs w:val="1"/>
          <w:i w:val="1"/>
          <w:iCs w:val="1"/>
          <w:color w:val="1f1f1f"/>
          <w:rtl w:val="0"/>
        </w:rPr>
        <w:t xml:space="preserve">Target Shortfall</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Mede a magnitude média das perdas. Os desvios abaixo do alvo são ponderados linearmente.</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Interpretação:</w:t>
      </w:r>
      <w:r w:rsidDel="00000000" w:rsidR="00000000" w:rsidRPr="00000000">
        <w:rPr>
          <w:rFonts w:ascii="Google Sans Text" w:cs="Google Sans Text" w:eastAsia="Google Sans Text" w:hAnsi="Google Sans Text"/>
          <w:color w:val="1f1f1f"/>
          <w:rtl w:val="0"/>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LPM de Ordem 2 ($n=2$) – Semivariância (</w:t>
      </w:r>
      <w:r w:rsidDel="00000000" w:rsidR="00000000" w:rsidRPr="00000000">
        <w:rPr>
          <w:rFonts w:ascii="Google Sans Text" w:cs="Google Sans Text" w:eastAsia="Google Sans Text" w:hAnsi="Google Sans Text"/>
          <w:b w:val="1"/>
          <w:bCs w:val="1"/>
          <w:i w:val="1"/>
          <w:iCs w:val="1"/>
          <w:color w:val="1f1f1f"/>
          <w:rtl w:val="0"/>
        </w:rPr>
        <w:t xml:space="preserve">Target Semivariance</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Mede a dispersão quadrática dos retornos abaixo do alvo. Semelhante à variância, mas unilateral.</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Interpretação:</w:t>
      </w:r>
      <w:r w:rsidDel="00000000" w:rsidR="00000000" w:rsidRPr="00000000">
        <w:rPr>
          <w:rFonts w:ascii="Google Sans Text" w:cs="Google Sans Text" w:eastAsia="Google Sans Text" w:hAnsi="Google Sans Text"/>
          <w:color w:val="1f1f1f"/>
          <w:rtl w:val="0"/>
        </w:rPr>
        <w:t xml:space="preserve"> Penaliza desproporcionalmente as grandes perdas. Uma perda duas vezes maior pesa quatro vezes mais no cálculo do risco. Esta é a medida preferida por Markowitz (1959) e a base para o </w:t>
      </w:r>
      <w:r w:rsidDel="00000000" w:rsidR="00000000" w:rsidRPr="00000000">
        <w:rPr>
          <w:rFonts w:ascii="Google Sans Text" w:cs="Google Sans Text" w:eastAsia="Google Sans Text" w:hAnsi="Google Sans Text"/>
          <w:b w:val="1"/>
          <w:bCs w:val="1"/>
          <w:color w:val="1f1f1f"/>
          <w:rtl w:val="0"/>
        </w:rPr>
        <w:t xml:space="preserve">Desvio Padrão de Downside</w:t>
      </w:r>
      <w:r w:rsidDel="00000000" w:rsidR="00000000" w:rsidRPr="00000000">
        <w:rPr>
          <w:rFonts w:ascii="Google Sans Text" w:cs="Google Sans Text" w:eastAsia="Google Sans Text" w:hAnsi="Google Sans Text"/>
          <w:color w:val="1f1f1f"/>
          <w:rtl w:val="0"/>
        </w:rPr>
        <w:t xml:space="preserve"> ($Downside Deviation = \sqrt{LPM_2}$), que é o denominador do Índice de Sortino.</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LPM de Ordens Superiores ($n &gt; 2$):</w:t>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Refletem uma aversão extrema a perdas catastróficas. À medida que $n$ aumenta, o foco da métrica desloca-se quase exclusivamente para a cauda esquerda extrema da distribuição, ignorando pequenas flutuações negativas.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Semivariância vs. Variância: O Impacto na Alocação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(skewness), as fronteiras divergem.</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"upside potential".</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Estudos empíricos mostram que, em mercados emergentes ou durante crises, portfólios otimizados via semivariância tendem a preservar capital de forma mais eficiente do que aqueles baseados em média-variância.</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Métricas Avançadas de Risco e Propriedades de Coerência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evolução da gestão de riscos não parou nos LPMs. A necessidade de quantificar o capital regulatório bancário e o risco sistêmico levou ao desenvolvimento de métricas baseadas em quantis, como o </w:t>
      </w:r>
      <w:r w:rsidDel="00000000" w:rsidR="00000000" w:rsidRPr="00000000">
        <w:rPr>
          <w:rFonts w:ascii="Google Sans Text" w:cs="Google Sans Text" w:eastAsia="Google Sans Text" w:hAnsi="Google Sans Text"/>
          <w:i w:val="1"/>
          <w:iCs w:val="1"/>
          <w:color w:val="1f1f1f"/>
          <w:rtl w:val="0"/>
        </w:rPr>
        <w:t xml:space="preserve">Value at Risk</w:t>
      </w:r>
      <w:r w:rsidDel="00000000" w:rsidR="00000000" w:rsidRPr="00000000">
        <w:rPr>
          <w:rFonts w:ascii="Google Sans Text" w:cs="Google Sans Text" w:eastAsia="Google Sans Text" w:hAnsi="Google Sans Text"/>
          <w:color w:val="1f1f1f"/>
          <w:rtl w:val="0"/>
        </w:rPr>
        <w:t xml:space="preserve"> (VaR) e o </w:t>
      </w:r>
      <w:r w:rsidDel="00000000" w:rsidR="00000000" w:rsidRPr="00000000">
        <w:rPr>
          <w:rFonts w:ascii="Google Sans Text" w:cs="Google Sans Text" w:eastAsia="Google Sans Text" w:hAnsi="Google Sans Text"/>
          <w:i w:val="1"/>
          <w:iCs w:val="1"/>
          <w:color w:val="1f1f1f"/>
          <w:rtl w:val="0"/>
        </w:rPr>
        <w:t xml:space="preserve">Expected Shortfall</w:t>
      </w:r>
      <w:r w:rsidDel="00000000" w:rsidR="00000000" w:rsidRPr="00000000">
        <w:rPr>
          <w:rFonts w:ascii="Google Sans Text" w:cs="Google Sans Text" w:eastAsia="Google Sans Text" w:hAnsi="Google Sans Text"/>
          <w:color w:val="1f1f1f"/>
          <w:rtl w:val="0"/>
        </w:rPr>
        <w:t xml:space="preserve"> (ES/CVaR). A análise dessas métricas sob a perspectiva da teoria axiomática de riscos revela distinções cruciais sobre sua confiabilidade.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 Value at Risk (VaR): A Revolução Incoerente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Popularizado em 1994 pelo J.P. Morgan através do sistema </w:t>
      </w:r>
      <w:r w:rsidDel="00000000" w:rsidR="00000000" w:rsidRPr="00000000">
        <w:rPr>
          <w:rFonts w:ascii="Google Sans Text" w:cs="Google Sans Text" w:eastAsia="Google Sans Text" w:hAnsi="Google Sans Text"/>
          <w:i w:val="1"/>
          <w:iCs w:val="1"/>
          <w:color w:val="1f1f1f"/>
          <w:rtl w:val="0"/>
        </w:rPr>
        <w:t xml:space="preserve">RiskMetrics</w:t>
      </w:r>
      <w:r w:rsidDel="00000000" w:rsidR="00000000" w:rsidRPr="00000000">
        <w:rPr>
          <w:rFonts w:ascii="Google Sans Text" w:cs="Google Sans Text" w:eastAsia="Google Sans Text" w:hAnsi="Google Sans Text"/>
          <w:color w:val="1f1f1f"/>
          <w:rtl w:val="0"/>
        </w:rPr>
        <w:t xml:space="preserve">, o VaR tornou-se o padrão da indústria para a gestão de riscos de mercado e regulação bancária (Acordos de Basileia I e II).</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O VaR é definido como a perda máxima esperada em um determinado horizonte de tempo, com um certo nível de confiança ($1-\alpha$).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Por exemplo, um VaR de 99% de $10 milhões em 1 dia implica que há apenas 1% de chance de a perda exceder $10 milhões.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Apesar de sua ubiquidade, o VaR apresenta falhas estruturais graves sob a ótica da PMPT e da teoria estatística:</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Cegueira da Cauda (</w:t>
      </w:r>
      <w:r w:rsidDel="00000000" w:rsidR="00000000" w:rsidRPr="00000000">
        <w:rPr>
          <w:rFonts w:ascii="Google Sans Text" w:cs="Google Sans Text" w:eastAsia="Google Sans Text" w:hAnsi="Google Sans Text"/>
          <w:b w:val="1"/>
          <w:bCs w:val="1"/>
          <w:i w:val="1"/>
          <w:iCs w:val="1"/>
          <w:color w:val="1f1f1f"/>
          <w:rtl w:val="0"/>
        </w:rPr>
        <w:t xml:space="preserve">Tail Blindness</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Violação da Subaditividade:</w:t>
      </w:r>
      <w:r w:rsidDel="00000000" w:rsidR="00000000" w:rsidRPr="00000000">
        <w:rPr>
          <w:rFonts w:ascii="Google Sans Text" w:cs="Google Sans Text" w:eastAsia="Google Sans Text" w:hAnsi="Google Sans Text"/>
          <w:color w:val="1f1f1f"/>
          <w:rtl w:val="0"/>
        </w:rPr>
        <w:t xml:space="preserve"> Artzner et al. (1999), em seu artigo fundamental sobre medidas de risco coerentes, demonstraram que o VaR </w:t>
      </w:r>
      <w:r w:rsidDel="00000000" w:rsidR="00000000" w:rsidRPr="00000000">
        <w:rPr>
          <w:rFonts w:ascii="Google Sans Text" w:cs="Google Sans Text" w:eastAsia="Google Sans Text" w:hAnsi="Google Sans Text"/>
          <w:b w:val="1"/>
          <w:bCs w:val="1"/>
          <w:color w:val="1f1f1f"/>
          <w:rtl w:val="0"/>
        </w:rPr>
        <w:t xml:space="preserve">não é subaditivo</w:t>
      </w:r>
      <w:r w:rsidDel="00000000" w:rsidR="00000000" w:rsidRPr="00000000">
        <w:rPr>
          <w:rFonts w:ascii="Google Sans Text" w:cs="Google Sans Text" w:eastAsia="Google Sans Text" w:hAnsi="Google Sans Text"/>
          <w:color w:val="1f1f1f"/>
          <w:rtl w:val="0"/>
        </w:rPr>
        <w:t xml:space="preserve">. Isso significa que o VaR de um portfólio diversificado pode ser maior do que a soma dos VaRs dos ativos individuais ($\text{VaR}(A+B) &gt; \text{VaR}(A) + \text{VaR}(B)$). Essa propriedade perversa desencoraja a diversificação e viola um dos princípios basilares da gestão de portfólio.</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f1f1f"/>
          <w:rtl w:val="0"/>
        </w:rPr>
        <w:t xml:space="preserve"> Exemplos teóricos e práticos mostram que, em distribuições muito assimétricas ou com caudas pesadas, a fusão de riscos pode parecer aumentar o risco medido pelo VaR, uma anomalia teórica inaceitável.</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 Medidas de Risco Coerentes e os Axiomas de Artzner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remediar as falhas do VaR, Artzner, Delbaen, Eber e Heath (1999) estabeleceram quatro axiomas que uma medida de risco $\rho$ deve satisfazer para ser considerada "coerente" e segura para alocação de capital </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Monotonicidade:</w:t>
      </w:r>
      <w:r w:rsidDel="00000000" w:rsidR="00000000" w:rsidRPr="00000000">
        <w:rPr>
          <w:rFonts w:ascii="Google Sans Text" w:cs="Google Sans Text" w:eastAsia="Google Sans Text" w:hAnsi="Google Sans Text"/>
          <w:color w:val="1f1f1f"/>
          <w:rtl w:val="0"/>
        </w:rPr>
        <w:t xml:space="preserve"> Se o portfólio $X$ tem retornos sempre melhores que $Y$, o risco de $X$ deve ser menor ($\text{Se } X \ge Y, \text{então } \rho(X) \le \rho(Y)$).</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Subaditividade:</w:t>
      </w:r>
      <w:r w:rsidDel="00000000" w:rsidR="00000000" w:rsidRPr="00000000">
        <w:rPr>
          <w:rFonts w:ascii="Google Sans Text" w:cs="Google Sans Text" w:eastAsia="Google Sans Text" w:hAnsi="Google Sans Text"/>
          <w:color w:val="1f1f1f"/>
          <w:rtl w:val="0"/>
        </w:rPr>
        <w:t xml:space="preserve"> O risco do todo não pode exceder a soma dos riscos das partes ($\rho(X+Y) \le \rho(X) + \rho(Y)$). Garante que a diversificação reduz o risco.</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Homogeneidade Positiva:</w:t>
      </w:r>
      <w:r w:rsidDel="00000000" w:rsidR="00000000" w:rsidRPr="00000000">
        <w:rPr>
          <w:rFonts w:ascii="Google Sans Text" w:cs="Google Sans Text" w:eastAsia="Google Sans Text" w:hAnsi="Google Sans Text"/>
          <w:color w:val="1f1f1f"/>
          <w:rtl w:val="0"/>
        </w:rPr>
        <w:t xml:space="preserve"> O risco escala linearmente com o tamanho da posição ($\rho(\lambda X) = \lambda \rho(X)$ para $\lambda &gt; 0$).</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Invariância de Translação:</w:t>
      </w:r>
      <w:r w:rsidDel="00000000" w:rsidR="00000000" w:rsidRPr="00000000">
        <w:rPr>
          <w:rFonts w:ascii="Google Sans Text" w:cs="Google Sans Text" w:eastAsia="Google Sans Text" w:hAnsi="Google Sans Text"/>
          <w:color w:val="1f1f1f"/>
          <w:rtl w:val="0"/>
        </w:rPr>
        <w:t xml:space="preserve"> Adicionar um montante garantido de caixa $k$ reduz o risco nesse mesmo montante ($\rho(X + k) = \rho(X) - 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2.4.3 Conditional Value at Risk (CVaR) / Expected Shortfall (ES)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Como resposta direta à incoerência do VaR, Rockafellar e Uryasev (2000, 2002) propuseram e operacionalizaram o </w:t>
      </w:r>
      <w:r w:rsidDel="00000000" w:rsidR="00000000" w:rsidRPr="00000000">
        <w:rPr>
          <w:rFonts w:ascii="Google Sans Text" w:cs="Google Sans Text" w:eastAsia="Google Sans Text" w:hAnsi="Google Sans Text"/>
          <w:i w:val="1"/>
          <w:iCs w:val="1"/>
          <w:color w:val="1f1f1f"/>
          <w:rtl w:val="0"/>
        </w:rPr>
        <w:t xml:space="preserve">Conditional Value at Risk</w:t>
      </w:r>
      <w:r w:rsidDel="00000000" w:rsidR="00000000" w:rsidRPr="00000000">
        <w:rPr>
          <w:rFonts w:ascii="Google Sans Text" w:cs="Google Sans Text" w:eastAsia="Google Sans Text" w:hAnsi="Google Sans Text"/>
          <w:color w:val="1f1f1f"/>
          <w:rtl w:val="0"/>
        </w:rPr>
        <w:t xml:space="preserve"> (CVaR), também conhecido como </w:t>
      </w:r>
      <w:r w:rsidDel="00000000" w:rsidR="00000000" w:rsidRPr="00000000">
        <w:rPr>
          <w:rFonts w:ascii="Google Sans Text" w:cs="Google Sans Text" w:eastAsia="Google Sans Text" w:hAnsi="Google Sans Text"/>
          <w:i w:val="1"/>
          <w:iCs w:val="1"/>
          <w:color w:val="1f1f1f"/>
          <w:rtl w:val="0"/>
        </w:rPr>
        <w:t xml:space="preserve">Expected Shortfall</w:t>
      </w:r>
      <w:r w:rsidDel="00000000" w:rsidR="00000000" w:rsidRPr="00000000">
        <w:rPr>
          <w:rFonts w:ascii="Google Sans Text" w:cs="Google Sans Text" w:eastAsia="Google Sans Text" w:hAnsi="Google Sans Text"/>
          <w:color w:val="1f1f1f"/>
          <w:rtl w:val="0"/>
        </w:rPr>
        <w:t xml:space="preserve"> (ES). O CVaR é definido como a média das perdas que ocorrem na cauda da distribuição, estritamente além do ponto de corte do VaR.</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$$CVaR_{\alpha}(X) = 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Superioridade do CVaR na PMPT:</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Coerência:</w:t>
      </w:r>
      <w:r w:rsidDel="00000000" w:rsidR="00000000" w:rsidRPr="00000000">
        <w:rPr>
          <w:rFonts w:ascii="Google Sans Text" w:cs="Google Sans Text" w:eastAsia="Google Sans Text" w:hAnsi="Google Sans Text"/>
          <w:color w:val="1f1f1f"/>
          <w:rtl w:val="0"/>
        </w:rPr>
        <w:t xml:space="preserve"> O CVaR satisfaz todos os axiomas de Artzner, incluindo a subaditividade. Ele reconhece corretamente os benefícios da diversificação mesmo em cenários de estresse extremo.</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Convexidade e Otimização:</w:t>
      </w:r>
      <w:r w:rsidDel="00000000" w:rsidR="00000000" w:rsidRPr="00000000">
        <w:rPr>
          <w:rFonts w:ascii="Google Sans Text" w:cs="Google Sans Text" w:eastAsia="Google Sans Text" w:hAnsi="Google Sans Text"/>
          <w:color w:val="1f1f1f"/>
          <w:rtl w:val="0"/>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Sensibilidade à Cauda:</w:t>
      </w:r>
      <w:r w:rsidDel="00000000" w:rsidR="00000000" w:rsidRPr="00000000">
        <w:rPr>
          <w:rFonts w:ascii="Google Sans Text" w:cs="Google Sans Text" w:eastAsia="Google Sans Text" w:hAnsi="Google Sans Text"/>
          <w:color w:val="1f1f1f"/>
          <w:rtl w:val="0"/>
        </w:rPr>
        <w:t xml:space="preserve"> O CVaR captura a forma da distribuição na região de perdas extremas. Se um ativo possui "cisnes negros" latentes, o CVaR será significativamente maior que o VaR, alertando o gestor sobre a verdadeira dimensão do risco.</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transição regulatória global, exemplificada pela </w:t>
      </w:r>
      <w:r w:rsidDel="00000000" w:rsidR="00000000" w:rsidRPr="00000000">
        <w:rPr>
          <w:rFonts w:ascii="Google Sans Text" w:cs="Google Sans Text" w:eastAsia="Google Sans Text" w:hAnsi="Google Sans Text"/>
          <w:i w:val="1"/>
          <w:iCs w:val="1"/>
          <w:color w:val="1f1f1f"/>
          <w:rtl w:val="0"/>
        </w:rPr>
        <w:t xml:space="preserve">Fundamental Review of the Trading Book</w:t>
      </w:r>
      <w:r w:rsidDel="00000000" w:rsidR="00000000" w:rsidRPr="00000000">
        <w:rPr>
          <w:rFonts w:ascii="Google Sans Text" w:cs="Google Sans Text" w:eastAsia="Google Sans Text" w:hAnsi="Google Sans Text"/>
          <w:color w:val="1f1f1f"/>
          <w:rtl w:val="0"/>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Indicadores de Desempenho Ajustados: Sortino, Omega e a Generalização Kappa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sidDel="00000000" w:rsidR="00000000" w:rsidRPr="00000000">
        <w:rPr>
          <w:rFonts w:ascii="Google Sans Text" w:cs="Google Sans Text" w:eastAsia="Google Sans Text" w:hAnsi="Google Sans Text"/>
          <w:i w:val="1"/>
          <w:iCs w:val="1"/>
          <w:color w:val="1f1f1f"/>
          <w:rtl w:val="0"/>
        </w:rPr>
        <w:t xml:space="preserve">downside risk</w:t>
      </w:r>
      <w:r w:rsidDel="00000000" w:rsidR="00000000" w:rsidRPr="00000000">
        <w:rPr>
          <w:rFonts w:ascii="Google Sans Text" w:cs="Google Sans Text" w:eastAsia="Google Sans Text" w:hAnsi="Google Sans Text"/>
          <w:color w:val="1f1f1f"/>
          <w:rtl w:val="0"/>
        </w:rPr>
        <w:t xml:space="preserve"> e momentos superiores.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 O Índice de Sortino: Refinando Sharpe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Desenvolvido por Frank Sortino no início dos anos 1980 e popularizado nos anos 1990, o Índice de Sortino é a modificação mais direta e amplamente adotada do Índice de Sharpe.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Ele substitui o desvio padrão total pelo </w:t>
      </w:r>
      <w:r w:rsidDel="00000000" w:rsidR="00000000" w:rsidRPr="00000000">
        <w:rPr>
          <w:rFonts w:ascii="Google Sans Text" w:cs="Google Sans Text" w:eastAsia="Google Sans Text" w:hAnsi="Google Sans Text"/>
          <w:b w:val="1"/>
          <w:bCs w:val="1"/>
          <w:color w:val="1f1f1f"/>
          <w:rtl w:val="0"/>
        </w:rPr>
        <w:t xml:space="preserve">Desvio de Downside</w:t>
      </w:r>
      <w:r w:rsidDel="00000000" w:rsidR="00000000" w:rsidRPr="00000000">
        <w:rPr>
          <w:rFonts w:ascii="Google Sans Text" w:cs="Google Sans Text" w:eastAsia="Google Sans Text" w:hAnsi="Google Sans Text"/>
          <w:color w:val="1f1f1f"/>
          <w:rtl w:val="0"/>
        </w:rPr>
        <w:t xml:space="preserve"> ($TDD$ ou $\sigma_d$) no denominador.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$$\text{Sortino Ratio} = \frac{R_p - MAR}{TDD} = \frac{R_p - MAR}{\sqrt{LPM_2(MAR)}}$$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Onde:</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$R_p$ é o retorno médio do portfólio.</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$MAR$ (</w:t>
      </w:r>
      <w:r w:rsidDel="00000000" w:rsidR="00000000" w:rsidRPr="00000000">
        <w:rPr>
          <w:rFonts w:ascii="Google Sans Text" w:cs="Google Sans Text" w:eastAsia="Google Sans Text" w:hAnsi="Google Sans Text"/>
          <w:i w:val="1"/>
          <w:iCs w:val="1"/>
          <w:color w:val="1f1f1f"/>
          <w:rtl w:val="0"/>
        </w:rPr>
        <w:t xml:space="preserve">Minimum Acceptable Return</w:t>
      </w:r>
      <w:r w:rsidDel="00000000" w:rsidR="00000000" w:rsidRPr="00000000">
        <w:rPr>
          <w:rFonts w:ascii="Google Sans Text" w:cs="Google Sans Text" w:eastAsia="Google Sans Text" w:hAnsi="Google Sans Text"/>
          <w:color w:val="1f1f1f"/>
          <w:rtl w:val="0"/>
        </w:rPr>
        <w:t xml:space="preserve">) é o retorno alvo definido pelo investidor.</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$TDD$ (</w:t>
      </w:r>
      <w:r w:rsidDel="00000000" w:rsidR="00000000" w:rsidRPr="00000000">
        <w:rPr>
          <w:rFonts w:ascii="Google Sans Text" w:cs="Google Sans Text" w:eastAsia="Google Sans Text" w:hAnsi="Google Sans Text"/>
          <w:i w:val="1"/>
          <w:iCs w:val="1"/>
          <w:color w:val="1f1f1f"/>
          <w:rtl w:val="0"/>
        </w:rPr>
        <w:t xml:space="preserve">Target Downside Deviation</w:t>
      </w:r>
      <w:r w:rsidDel="00000000" w:rsidR="00000000" w:rsidRPr="00000000">
        <w:rPr>
          <w:rFonts w:ascii="Google Sans Text" w:cs="Google Sans Text" w:eastAsia="Google Sans Text" w:hAnsi="Google Sans Text"/>
          <w:color w:val="1f1f1f"/>
          <w:rtl w:val="0"/>
        </w:rPr>
        <w:t xml:space="preserve">) é a raiz quadrada da semivariância em relação ao MAR.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Análise Comparativa: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Índice de Sortino e o Sharpe convergem quando a distribuição dos retornos é normal e o MAR é igual à média. Contudo, para estratégias com alta assimetria positiva (e.g., trend following,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mascara.13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2.5.2 O Índice Omega: Capturando Todos os Momentos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Introduzido por Keating e Shadwick em 2002, o Índice Omega ($\Omega$) representa um salto conceitual ao dispensar completamente a necessidade de estimar momentos estatísticos (média, variância) e operar diretamente sobre a distribuição de probabilidade cumulativa dos retornos.</w:t>
      </w:r>
      <w:r w:rsidDel="00000000" w:rsidR="00000000" w:rsidRPr="00000000">
        <w:rPr>
          <w:rFonts w:ascii="Google Sans Text" w:cs="Google Sans Text" w:eastAsia="Google Sans Text" w:hAnsi="Google Sans Text"/>
          <w:color w:val="444746"/>
          <w:sz w:val="24"/>
          <w:szCs w:val="24"/>
          <w:vertAlign w:val="superscript"/>
          <w:rtl w:val="0"/>
        </w:rPr>
        <w:t xml:space="preserve">64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Omega é definido como a razão entre a probabilidade ponderada de ganhos e a probabilidade ponderada de perdas em relação a um limiar $L$: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$$\Omega(L) = \frac{\int_{L}^{\infty} [1 - F(r)] \, dr}{\int_{-\infty}^{L} F(r) \, dr}$$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Vantagem Crítica: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Omega captura implicitamente todos os momentos da distribuição (média, variância, assimetria, curtose e momentos superiores) em uma única métrica. Ao variar o limiar $L$, o Omega fornece um perfil completo de risco-retorno, em vez de uma estimativa pontual. Isso o torna a ferramenta predileta para analisar ativos complexos e não lineares, como fundos de hedge e criptoativos, onde a suposição de normalidade é fatalmente falha.64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Adicionalmente, existe uma relação direta entre o conceito de </w:t>
      </w:r>
      <w:r w:rsidDel="00000000" w:rsidR="00000000" w:rsidRPr="00000000">
        <w:rPr>
          <w:rFonts w:ascii="Google Sans Text" w:cs="Google Sans Text" w:eastAsia="Google Sans Text" w:hAnsi="Google Sans Text"/>
          <w:i w:val="1"/>
          <w:iCs w:val="1"/>
          <w:color w:val="1f1f1f"/>
          <w:rtl w:val="0"/>
        </w:rPr>
        <w:t xml:space="preserve">Upside Potential Ratio</w:t>
      </w:r>
      <w:r w:rsidDel="00000000" w:rsidR="00000000" w:rsidRPr="00000000">
        <w:rPr>
          <w:rFonts w:ascii="Google Sans Text" w:cs="Google Sans Text" w:eastAsia="Google Sans Text" w:hAnsi="Google Sans Text"/>
          <w:color w:val="1f1f1f"/>
          <w:rtl w:val="0"/>
        </w:rPr>
        <w:t xml:space="preserve"> e o Omega. O numerador do Omega corresponde ao potencial de alta (</w:t>
      </w:r>
      <w:r w:rsidDel="00000000" w:rsidR="00000000" w:rsidRPr="00000000">
        <w:rPr>
          <w:rFonts w:ascii="Google Sans Text" w:cs="Google Sans Text" w:eastAsia="Google Sans Text" w:hAnsi="Google Sans Text"/>
          <w:i w:val="1"/>
          <w:iCs w:val="1"/>
          <w:color w:val="1f1f1f"/>
          <w:rtl w:val="0"/>
        </w:rPr>
        <w:t xml:space="preserve">Upside Potential</w:t>
      </w:r>
      <w:r w:rsidDel="00000000" w:rsidR="00000000" w:rsidRPr="00000000">
        <w:rPr>
          <w:rFonts w:ascii="Google Sans Text" w:cs="Google Sans Text" w:eastAsia="Google Sans Text" w:hAnsi="Google Sans Text"/>
          <w:color w:val="1f1f1f"/>
          <w:rtl w:val="0"/>
        </w:rPr>
        <w:t xml:space="preserve">), enquanto o denominador corresponde ao potencial de baixa (</w:t>
      </w:r>
      <w:r w:rsidDel="00000000" w:rsidR="00000000" w:rsidRPr="00000000">
        <w:rPr>
          <w:rFonts w:ascii="Google Sans Text" w:cs="Google Sans Text" w:eastAsia="Google Sans Text" w:hAnsi="Google Sans Text"/>
          <w:i w:val="1"/>
          <w:iCs w:val="1"/>
          <w:color w:val="1f1f1f"/>
          <w:rtl w:val="0"/>
        </w:rPr>
        <w:t xml:space="preserve">Downside Potential</w:t>
      </w:r>
      <w:r w:rsidDel="00000000" w:rsidR="00000000" w:rsidRPr="00000000">
        <w:rPr>
          <w:rFonts w:ascii="Google Sans Text" w:cs="Google Sans Text" w:eastAsia="Google Sans Text" w:hAnsi="Google Sans Text"/>
          <w:color w:val="1f1f1f"/>
          <w:rtl w:val="0"/>
        </w:rPr>
        <w:t xml:space="preserve">), alinhando a métrica com a intuição econômica de ganho </w:t>
      </w:r>
      <w:r w:rsidDel="00000000" w:rsidR="00000000" w:rsidRPr="00000000">
        <w:rPr>
          <w:rFonts w:ascii="Google Sans Text" w:cs="Google Sans Text" w:eastAsia="Google Sans Text" w:hAnsi="Google Sans Text"/>
          <w:i w:val="1"/>
          <w:iCs w:val="1"/>
          <w:color w:val="1f1f1f"/>
          <w:rtl w:val="0"/>
        </w:rPr>
        <w:t xml:space="preserve">versus</w:t>
      </w:r>
      <w:r w:rsidDel="00000000" w:rsidR="00000000" w:rsidRPr="00000000">
        <w:rPr>
          <w:rFonts w:ascii="Google Sans Text" w:cs="Google Sans Text" w:eastAsia="Google Sans Text" w:hAnsi="Google Sans Text"/>
          <w:color w:val="1f1f1f"/>
          <w:rtl w:val="0"/>
        </w:rPr>
        <w:t xml:space="preserve"> dor.</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2.5.3 O Índice Kappa: A Generalização Unificadora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Kaplan e Knowles (2004) propuseram o Índice Kappa ($K_n$) como uma medida generalizada que unifica o Sortino e o Omega sob uma única estrutura matemática baseada em LPMs.</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$$K_n(\tau) = \frac{\mu - \tau}{\sqrt[n]{LPM_n(\tau)}}$$</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elegância do Kappa reside na sua capacidade de recuperar as outras métricas através do ajuste do parâmetro $n$:</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Quando $n=1$, o Kappa é funcionalmente equivalente ao </w:t>
      </w:r>
      <w:r w:rsidDel="00000000" w:rsidR="00000000" w:rsidRPr="00000000">
        <w:rPr>
          <w:rFonts w:ascii="Google Sans Text" w:cs="Google Sans Text" w:eastAsia="Google Sans Text" w:hAnsi="Google Sans Text"/>
          <w:b w:val="1"/>
          <w:bCs w:val="1"/>
          <w:color w:val="1f1f1f"/>
          <w:rtl w:val="0"/>
        </w:rPr>
        <w:t xml:space="preserve">Índice Omega</w:t>
      </w:r>
      <w:r w:rsidDel="00000000" w:rsidR="00000000" w:rsidRPr="00000000">
        <w:rPr>
          <w:rFonts w:ascii="Google Sans Text" w:cs="Google Sans Text" w:eastAsia="Google Sans Text" w:hAnsi="Google Sans Text"/>
          <w:color w:val="1f1f1f"/>
          <w:rtl w:val="0"/>
        </w:rPr>
        <w:t xml:space="preserve"> (ranking idêntico).</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Quando $n=2$, o Kappa torna-se o </w:t>
      </w:r>
      <w:r w:rsidDel="00000000" w:rsidR="00000000" w:rsidRPr="00000000">
        <w:rPr>
          <w:rFonts w:ascii="Google Sans Text" w:cs="Google Sans Text" w:eastAsia="Google Sans Text" w:hAnsi="Google Sans Text"/>
          <w:b w:val="1"/>
          <w:bCs w:val="1"/>
          <w:color w:val="1f1f1f"/>
          <w:rtl w:val="0"/>
        </w:rPr>
        <w:t xml:space="preserve">Índice de Sortino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Para $n=3$ ou superior, o Kappa penaliza severamente a curtose e riscos extremos de cauda.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Essa generalização permite que gestores de portfólio calibrem a métrica de desempenho especificamente para a função de utilidade de seus clientes. Para um investidor avesso a perdas catastróficas, um $K_3$ ou $K_4$ seria mais apropriado; para um investidor focado na probabilidade geral de ganho, um $K_1$ (Omega) seria ideal.</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Fronteiras Eficientes: A Geometria da Assimetria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sidDel="00000000" w:rsidR="00000000" w:rsidRPr="00000000">
        <w:rPr>
          <w:rFonts w:ascii="Google Sans Text" w:cs="Google Sans Text" w:eastAsia="Google Sans Text" w:hAnsi="Google Sans Text"/>
          <w:i w:val="1"/>
          <w:iCs w:val="1"/>
          <w:color w:val="1f1f1f"/>
          <w:rtl w:val="0"/>
        </w:rPr>
        <w:t xml:space="preserve">drawdowns</w:t>
      </w:r>
      <w:r w:rsidDel="00000000" w:rsidR="00000000" w:rsidRPr="00000000">
        <w:rPr>
          <w:rFonts w:ascii="Google Sans Text" w:cs="Google Sans Text" w:eastAsia="Google Sans Text" w:hAnsi="Google Sans Text"/>
          <w:color w:val="1f1f1f"/>
          <w:rtl w:val="0"/>
        </w:rPr>
        <w:t xml:space="preserve"> severos do que a otimização via MPT, dado o perfil extremamente leptocúrtico desses ativos.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Avanços Recentes e Integração com Machine Learning (2024-2025)</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fronteira atual da pesquisa em PMPT reside na sua integração com a Inteligência Artificial. Publicações e estudos de 2024 e 2025 indicam uma tendência crescente no uso de algoritmos de </w:t>
      </w:r>
      <w:r w:rsidDel="00000000" w:rsidR="00000000" w:rsidRPr="00000000">
        <w:rPr>
          <w:rFonts w:ascii="Google Sans Text" w:cs="Google Sans Text" w:eastAsia="Google Sans Text" w:hAnsi="Google Sans Text"/>
          <w:b w:val="1"/>
          <w:bCs w:val="1"/>
          <w:color w:val="1f1f1f"/>
          <w:rtl w:val="0"/>
        </w:rPr>
        <w:t xml:space="preserve">Machine Learning</w:t>
      </w:r>
      <w:r w:rsidDel="00000000" w:rsidR="00000000" w:rsidRPr="00000000">
        <w:rPr>
          <w:rFonts w:ascii="Google Sans Text" w:cs="Google Sans Text" w:eastAsia="Google Sans Text" w:hAnsi="Google Sans Text"/>
          <w:color w:val="1f1f1f"/>
          <w:rtl w:val="0"/>
        </w:rPr>
        <w:t xml:space="preserve">, como redes neurais recorrentes (LSTM) e Deep Learning, para estimar dinamicamente os Momentos Parciais Inferiores e otimizar portfólios.</w:t>
      </w:r>
      <w:r w:rsidDel="00000000" w:rsidR="00000000" w:rsidRPr="00000000">
        <w:rPr>
          <w:rFonts w:ascii="Google Sans Text" w:cs="Google Sans Text" w:eastAsia="Google Sans Text" w:hAnsi="Google Sans Text"/>
          <w:color w:val="444746"/>
          <w:sz w:val="24"/>
          <w:szCs w:val="24"/>
          <w:vertAlign w:val="superscript"/>
          <w:rtl w:val="0"/>
        </w:rPr>
        <w:t xml:space="preserve">78</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Ao contrário dos modelos estáticos tradicionais que dependem de dados históricos passados, modelos híbridos (PMPT + ML) conseguem prever mudanças nos regimes de volatilidade e na forma das caudas (</w:t>
      </w:r>
      <w:r w:rsidDel="00000000" w:rsidR="00000000" w:rsidRPr="00000000">
        <w:rPr>
          <w:rFonts w:ascii="Google Sans Text" w:cs="Google Sans Text" w:eastAsia="Google Sans Text" w:hAnsi="Google Sans Text"/>
          <w:i w:val="1"/>
          <w:iCs w:val="1"/>
          <w:color w:val="1f1f1f"/>
          <w:rtl w:val="0"/>
        </w:rPr>
        <w:t xml:space="preserve">tail risk forecasting</w:t>
      </w:r>
      <w:r w:rsidDel="00000000" w:rsidR="00000000" w:rsidRPr="00000000">
        <w:rPr>
          <w:rFonts w:ascii="Google Sans Text" w:cs="Google Sans Text" w:eastAsia="Google Sans Text" w:hAnsi="Google Sans Text"/>
          <w:color w:val="1f1f1f"/>
          <w:rtl w:val="0"/>
        </w:rPr>
        <w:t xml:space="preserve">), ajustando as alocações em tempo real para minimizar o CVaR futuro. Essa abordagem, denominada "Otimização Robusta Dinâmica", supera as limitações da MPT e da PMPT clássica, oferecendo resultados superiores em </w:t>
      </w:r>
      <w:r w:rsidDel="00000000" w:rsidR="00000000" w:rsidRPr="00000000">
        <w:rPr>
          <w:rFonts w:ascii="Google Sans Text" w:cs="Google Sans Text" w:eastAsia="Google Sans Text" w:hAnsi="Google Sans Text"/>
          <w:i w:val="1"/>
          <w:iCs w:val="1"/>
          <w:color w:val="1f1f1f"/>
          <w:rtl w:val="0"/>
        </w:rPr>
        <w:t xml:space="preserve">backtests</w:t>
      </w:r>
      <w:r w:rsidDel="00000000" w:rsidR="00000000" w:rsidRPr="00000000">
        <w:rPr>
          <w:rFonts w:ascii="Google Sans Text" w:cs="Google Sans Text" w:eastAsia="Google Sans Text" w:hAnsi="Google Sans Text"/>
          <w:color w:val="1f1f1f"/>
          <w:rtl w:val="0"/>
        </w:rPr>
        <w:t xml:space="preserve"> e aplicações reais, especialmente em mercados voláteis e durante transições de regime econômico.</w:t>
      </w:r>
      <w:r w:rsidDel="00000000" w:rsidR="00000000" w:rsidRPr="00000000">
        <w:rPr>
          <w:rFonts w:ascii="Google Sans Text" w:cs="Google Sans Text" w:eastAsia="Google Sans Text" w:hAnsi="Google Sans Text"/>
          <w:color w:val="444746"/>
          <w:sz w:val="24"/>
          <w:szCs w:val="24"/>
          <w:vertAlign w:val="superscript"/>
          <w:rtl w:val="0"/>
        </w:rPr>
        <w:t xml:space="preserve">80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Além disso, a PMPT tem sido fundamental na integração de critérios ESG (Environmental, Social, and Governance) na gestão de portfólios. Estudos recentes sugerem que o uso de métricas de </w:t>
      </w:r>
      <w:r w:rsidDel="00000000" w:rsidR="00000000" w:rsidRPr="00000000">
        <w:rPr>
          <w:rFonts w:ascii="Google Sans Text" w:cs="Google Sans Text" w:eastAsia="Google Sans Text" w:hAnsi="Google Sans Text"/>
          <w:i w:val="1"/>
          <w:iCs w:val="1"/>
          <w:color w:val="1f1f1f"/>
          <w:rtl w:val="0"/>
        </w:rPr>
        <w:t xml:space="preserve">downside risk</w:t>
      </w:r>
      <w:r w:rsidDel="00000000" w:rsidR="00000000" w:rsidRPr="00000000">
        <w:rPr>
          <w:rFonts w:ascii="Google Sans Text" w:cs="Google Sans Text" w:eastAsia="Google Sans Text" w:hAnsi="Google Sans Text"/>
          <w:color w:val="1f1f1f"/>
          <w:rtl w:val="0"/>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Conclusão</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Tabela 2.2: Resumo Analítico dos Indicadores de Desempenho (MPT vs. PMPT)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Indicador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Base Teórica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Fórmula Conceitual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Sensibilidade à Cauda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Principal Aplicação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Sharpe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MPT (Variância)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$\frac{Retorno - R_f}{\sigma_{total}}$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Baixa (Assume Normalidade)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Ativos tradicionais, Benchmark relativo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Sortino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PMPT (LPM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$\frac{Retorno - MAR}{\sigma_{downside}}$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Média (Foca no Downside)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Fundos Assimétricos, Hedge Funds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Omega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PMPT (Todos Momentos)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$\frac{\text{Prob. Ponderada Ganhos}}{\text{Prob. Ponderada Perdas}}$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Alta (Captura toda distribuição)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Derivativos, Cripto, Private Equity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Kappa ($K_3$)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PMPT (LPM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$\frac{Retorno - MAR}{\sqrt[1]{LPM_3}}$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Muito Alta (Penaliza extremos)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Gestão de Risco de Cauda, Seguros</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Fonte: Elaboração do autor baseada em.</w:t>
      </w:r>
      <w:r w:rsidDel="00000000" w:rsidR="00000000" w:rsidRPr="00000000">
        <w:rPr>
          <w:rFonts w:ascii="Google Sans Text" w:cs="Google Sans Text" w:eastAsia="Google Sans Text" w:hAnsi="Google Sans Text"/>
          <w:color w:val="444746"/>
          <w:sz w:val="24"/>
          <w:szCs w:val="24"/>
          <w:vertAlign w:val="superscript"/>
          <w:rtl w:val="0"/>
        </w:rPr>
        <w:t xml:space="preserve">71</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 Wikipedia, acessado em novembro 28, 2025, </w:t>
      </w:r>
      <w:hyperlink r:id="rId6">
        <w:r w:rsidDel="00000000" w:rsidR="00000000" w:rsidRPr="00000000">
          <w:rPr>
            <w:rFonts w:ascii="Google Sans" w:cs="Google Sans" w:eastAsia="Google Sans" w:hAnsi="Google Sans"/>
            <w:color w:val="0000ee"/>
            <w:sz w:val="24"/>
            <w:szCs w:val="24"/>
            <w:u w:val="single"/>
            <w:rtl w:val="0"/>
          </w:rPr>
          <w:t xml:space="preserve">https://en.wikipedia.org/wiki/Modern_portfolio_theory</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Estrutura Tópicos _2026.docx</w:t>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(PMPT) - DayTrading.com, acessado em novembro 28, 2025, </w:t>
      </w:r>
      <w:hyperlink r:id="rId7">
        <w:r w:rsidDel="00000000" w:rsidR="00000000" w:rsidRPr="00000000">
          <w:rPr>
            <w:rFonts w:ascii="Google Sans" w:cs="Google Sans" w:eastAsia="Google Sans" w:hAnsi="Google Sans"/>
            <w:color w:val="0000ee"/>
            <w:sz w:val="24"/>
            <w:szCs w:val="24"/>
            <w:u w:val="single"/>
            <w:rtl w:val="0"/>
          </w:rPr>
          <w:t xml:space="preserve">https://www.daytrading.com/post-modern-portfolio-theory-pmpt</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 moderne portfolio theorie: Meaning, Criticisms &amp; Real-World Uses - Diversification.com, acessado em novembro 28, 2025, </w:t>
      </w:r>
      <w:hyperlink r:id="rId8">
        <w:r w:rsidDel="00000000" w:rsidR="00000000" w:rsidRPr="00000000">
          <w:rPr>
            <w:rFonts w:ascii="Google Sans" w:cs="Google Sans" w:eastAsia="Google Sans" w:hAnsi="Google Sans"/>
            <w:color w:val="0000ee"/>
            <w:sz w:val="24"/>
            <w:szCs w:val="24"/>
            <w:u w:val="single"/>
            <w:rtl w:val="0"/>
          </w:rPr>
          <w:t xml:space="preserve">https://diversification.com/term/post-moderne-portfolio-theorie</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(PMPT): What it is, How it Works - Investopedia, acessado em novembro 28, 2025, </w:t>
      </w:r>
      <w:hyperlink r:id="rId9">
        <w:r w:rsidDel="00000000" w:rsidR="00000000" w:rsidRPr="00000000">
          <w:rPr>
            <w:rFonts w:ascii="Google Sans" w:cs="Google Sans" w:eastAsia="Google Sans" w:hAnsi="Google Sans"/>
            <w:color w:val="0000ee"/>
            <w:sz w:val="24"/>
            <w:szCs w:val="24"/>
            <w:u w:val="single"/>
            <w:rtl w:val="0"/>
          </w:rPr>
          <w:t xml:space="preserve">https://www.investopedia.com/terms/p/pmpt.asp</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Downside risk - Wikipedia, acessado em novembro 28,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https://en.wikipedia.org/wiki/Downside_risk</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 Risk Explained: Managing Rare Events Leading to Portfolio Losses - Investopedia, acessado em novembro 28, 2025, </w:t>
      </w:r>
      <w:hyperlink r:id="rId11">
        <w:r w:rsidDel="00000000" w:rsidR="00000000" w:rsidRPr="00000000">
          <w:rPr>
            <w:rFonts w:ascii="Google Sans" w:cs="Google Sans" w:eastAsia="Google Sans" w:hAnsi="Google Sans"/>
            <w:color w:val="0000ee"/>
            <w:sz w:val="24"/>
            <w:szCs w:val="24"/>
            <w:u w:val="single"/>
            <w:rtl w:val="0"/>
          </w:rPr>
          <w:t xml:space="preserve">https://www.investopedia.com/terms/t/tailrisk.asp</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Cryptocurrencies as an asset class in portfolio optimisation - ResearchGate, acessado em novembro 28, 2025,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https://www.researchgate.net/publication/344389567_Cryptocurrencies_as_an_asset_class_in_portfolio_optimisation</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downside risk — realised semivariance - Duke Economics, acessado em novembro 28, 2025, </w:t>
      </w:r>
      <w:hyperlink r:id="rId13">
        <w:r w:rsidDel="00000000" w:rsidR="00000000" w:rsidRPr="00000000">
          <w:rPr>
            <w:rFonts w:ascii="Google Sans" w:cs="Google Sans" w:eastAsia="Google Sans" w:hAnsi="Google Sans"/>
            <w:color w:val="0000ee"/>
            <w:sz w:val="24"/>
            <w:szCs w:val="24"/>
            <w:u w:val="single"/>
            <w:rtl w:val="0"/>
          </w:rPr>
          <w:t xml:space="preserve">https://public.econ.duke.edu/~get/browse/courses/201/spr08/DOWNLOADS/New_Methods_and_JumpTests/BNKS-semivariance-2008.pdf</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PDF - Journal of Investment Managment, acessado em novembro 28, 2025, </w:t>
      </w:r>
      <w:hyperlink r:id="rId14">
        <w:r w:rsidDel="00000000" w:rsidR="00000000" w:rsidRPr="00000000">
          <w:rPr>
            <w:rFonts w:ascii="Google Sans" w:cs="Google Sans" w:eastAsia="Google Sans" w:hAnsi="Google Sans"/>
            <w:color w:val="0000ee"/>
            <w:sz w:val="24"/>
            <w:szCs w:val="24"/>
            <w:u w:val="single"/>
            <w:rtl w:val="0"/>
          </w:rPr>
          <w:t xml:space="preserve">https://joim.com/wp-content/uploads/emember/downloads/p0528.pdf</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Turkish Journal of Computer and Mathematics Education Vol.12 No. 5 (2021), 903-917 Research Article Mean- Adjusted Variance - Semantic Scholar, acessado em novembro 28, 2025, </w:t>
      </w:r>
      <w:hyperlink r:id="rId15">
        <w:r w:rsidDel="00000000" w:rsidR="00000000" w:rsidRPr="00000000">
          <w:rPr>
            <w:rFonts w:ascii="Google Sans" w:cs="Google Sans" w:eastAsia="Google Sans" w:hAnsi="Google Sans"/>
            <w:color w:val="0000ee"/>
            <w:sz w:val="24"/>
            <w:szCs w:val="24"/>
            <w:u w:val="single"/>
            <w:rtl w:val="0"/>
          </w:rPr>
          <w:t xml:space="preserve">https://pdfs.semanticscholar.org/39d1/3494e672ad33c326afa7470eadbaac73f1d6.pdf</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Sortino: A 'Sharper' Ratio | By Thomas N. Rollinger &amp; Scott T. Hoffman | Red Rock Capital - CME Group, acessado em novembro 28, 2025, </w:t>
      </w:r>
      <w:hyperlink r:id="rId16">
        <w:r w:rsidDel="00000000" w:rsidR="00000000" w:rsidRPr="00000000">
          <w:rPr>
            <w:rFonts w:ascii="Google Sans" w:cs="Google Sans" w:eastAsia="Google Sans" w:hAnsi="Google Sans"/>
            <w:color w:val="0000ee"/>
            <w:sz w:val="24"/>
            <w:szCs w:val="24"/>
            <w:u w:val="single"/>
            <w:rtl w:val="0"/>
          </w:rPr>
          <w:t xml:space="preserve">https://www.cmegroup.com/education/files/rr-sortino-a-sharper-ratio.pdf</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Insurance, Portfolio Theory, Market Simulation, and Risks of Portfolio Leverage - Jacobs Levy Equity Management, acessado em novembro 28, 2025, </w:t>
      </w:r>
      <w:hyperlink r:id="rId17">
        <w:r w:rsidDel="00000000" w:rsidR="00000000" w:rsidRPr="00000000">
          <w:rPr>
            <w:rFonts w:ascii="Google Sans" w:cs="Google Sans" w:eastAsia="Google Sans" w:hAnsi="Google Sans"/>
            <w:color w:val="0000ee"/>
            <w:sz w:val="24"/>
            <w:szCs w:val="24"/>
            <w:u w:val="single"/>
            <w:rtl w:val="0"/>
          </w:rPr>
          <w:t xml:space="preserve">https://jlem.com/documents/FG/jlem/news/634593_Jacobs_and_Levy_-_Portfolio_Insurance_Portfolio_Theory_Market_Simulation_and_Risks_of_Portfolio_Leverage.pdf</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History of Downside Risk Measures - ResearchGate, acessado em novembro 28, 2025,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https://www.researchgate.net/publication/2382526_A_Brief_History_of_Downside_Risk_Measures</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 Wikipedia, acessado em novembro 28, 2025, </w:t>
      </w:r>
      <w:hyperlink r:id="rId19">
        <w:r w:rsidDel="00000000" w:rsidR="00000000" w:rsidRPr="00000000">
          <w:rPr>
            <w:rFonts w:ascii="Google Sans" w:cs="Google Sans" w:eastAsia="Google Sans" w:hAnsi="Google Sans"/>
            <w:color w:val="0000ee"/>
            <w:sz w:val="24"/>
            <w:szCs w:val="24"/>
            <w:u w:val="single"/>
            <w:rtl w:val="0"/>
          </w:rPr>
          <w:t xml:space="preserve">https://en.wikipedia.org/wiki/Post-modern_portfolio_theory</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supports diversification in an investment portfolio to measure investment's performance - EconStor, acessado em novembro 28, 2025, </w:t>
      </w:r>
      <w:hyperlink r:id="rId20">
        <w:r w:rsidDel="00000000" w:rsidR="00000000" w:rsidRPr="00000000">
          <w:rPr>
            <w:rFonts w:ascii="Google Sans" w:cs="Google Sans" w:eastAsia="Google Sans" w:hAnsi="Google Sans"/>
            <w:color w:val="0000ee"/>
            <w:sz w:val="24"/>
            <w:szCs w:val="24"/>
            <w:u w:val="single"/>
            <w:rtl w:val="0"/>
          </w:rPr>
          <w:t xml:space="preserve">https://www.econstor.eu/bitstream/10419/58003/1/688930476.pdf</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Comes of Age - Casualty Actuarial Society, acessado em novembro 28, 2025, </w:t>
      </w:r>
      <w:hyperlink r:id="rId21">
        <w:r w:rsidDel="00000000" w:rsidR="00000000" w:rsidRPr="00000000">
          <w:rPr>
            <w:rFonts w:ascii="Google Sans" w:cs="Google Sans" w:eastAsia="Google Sans" w:hAnsi="Google Sans"/>
            <w:color w:val="0000ee"/>
            <w:sz w:val="24"/>
            <w:szCs w:val="24"/>
            <w:u w:val="single"/>
            <w:rtl w:val="0"/>
          </w:rPr>
          <w:t xml:space="preserve">https://www.casact.org/abstract/post-modern-portfolio-theory-comes-age</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Sortino Ratio: Definition, Formula, Calculation, and Example - Investopedia, acessado em novembro 28, 2025, </w:t>
      </w:r>
      <w:hyperlink r:id="rId22">
        <w:r w:rsidDel="00000000" w:rsidR="00000000" w:rsidRPr="00000000">
          <w:rPr>
            <w:rFonts w:ascii="Google Sans" w:cs="Google Sans" w:eastAsia="Google Sans" w:hAnsi="Google Sans"/>
            <w:color w:val="0000ee"/>
            <w:sz w:val="24"/>
            <w:szCs w:val="24"/>
            <w:u w:val="single"/>
            <w:rtl w:val="0"/>
          </w:rPr>
          <w:t xml:space="preserve">https://www.investopedia.com/terms/s/sortinoratio.asp</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Expected shortfall - Wikipedia, acessado em novembro 28, 2025, </w:t>
      </w:r>
      <w:hyperlink r:id="rId23">
        <w:r w:rsidDel="00000000" w:rsidR="00000000" w:rsidRPr="00000000">
          <w:rPr>
            <w:rFonts w:ascii="Google Sans" w:cs="Google Sans" w:eastAsia="Google Sans" w:hAnsi="Google Sans"/>
            <w:color w:val="0000ee"/>
            <w:sz w:val="24"/>
            <w:szCs w:val="24"/>
            <w:u w:val="single"/>
            <w:rtl w:val="0"/>
          </w:rPr>
          <w:t xml:space="preserve">https://en.wikipedia.org/wiki/Expected_shortfall</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Portfolio Choice with Fat Tails - National Bureau of Economic Research, acessado em novembro 28, 2025, </w:t>
      </w:r>
      <w:hyperlink r:id="rId24">
        <w:r w:rsidDel="00000000" w:rsidR="00000000" w:rsidRPr="00000000">
          <w:rPr>
            <w:rFonts w:ascii="Google Sans" w:cs="Google Sans" w:eastAsia="Google Sans" w:hAnsi="Google Sans"/>
            <w:color w:val="0000ee"/>
            <w:sz w:val="24"/>
            <w:szCs w:val="24"/>
            <w:u w:val="single"/>
            <w:rtl w:val="0"/>
          </w:rPr>
          <w:t xml:space="preserve">https://www.nber.org/sites/default/files/2023-06/orrc09-16-VD.pdf</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skew and kurtosis - Risk.net, acessado em novembro 28, 2025, </w:t>
      </w:r>
      <w:hyperlink r:id="rId25">
        <w:r w:rsidDel="00000000" w:rsidR="00000000" w:rsidRPr="00000000">
          <w:rPr>
            <w:rFonts w:ascii="Google Sans" w:cs="Google Sans" w:eastAsia="Google Sans" w:hAnsi="Google Sans"/>
            <w:color w:val="0000ee"/>
            <w:sz w:val="24"/>
            <w:szCs w:val="24"/>
            <w:u w:val="single"/>
            <w:rtl w:val="0"/>
          </w:rPr>
          <w:t xml:space="preserve">https://www.risk.net/sites/default/files/import_unmanaged/risk.net/data/risk/pdf/technical/risk_0605_technical_buckle.pdf</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Bruised, Broken, Misunderstood, Misapplied? - CFA Institute Blogs, acessado em novembro 28, 2025, </w:t>
      </w:r>
      <w:hyperlink r:id="rId26">
        <w:r w:rsidDel="00000000" w:rsidR="00000000" w:rsidRPr="00000000">
          <w:rPr>
            <w:rFonts w:ascii="Google Sans" w:cs="Google Sans" w:eastAsia="Google Sans" w:hAnsi="Google Sans"/>
            <w:color w:val="0000ee"/>
            <w:sz w:val="24"/>
            <w:szCs w:val="24"/>
            <w:u w:val="single"/>
            <w:rtl w:val="0"/>
          </w:rPr>
          <w:t xml:space="preserve">https://blogs.cfainstitute.org/investor/2012/10/18/modern-portfolio-theory-bruised-broken-misunderstood-or-misapplied/</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Portfolio optimisation with higher moments of risk at the Pakistan Stock Exchange - Taylor &amp; Francis Online, acessado em novembro 28, 2025, </w:t>
      </w:r>
      <w:hyperlink r:id="rId27">
        <w:r w:rsidDel="00000000" w:rsidR="00000000" w:rsidRPr="00000000">
          <w:rPr>
            <w:rFonts w:ascii="Google Sans" w:cs="Google Sans" w:eastAsia="Google Sans" w:hAnsi="Google Sans"/>
            <w:color w:val="0000ee"/>
            <w:sz w:val="24"/>
            <w:szCs w:val="24"/>
            <w:u w:val="single"/>
            <w:rtl w:val="0"/>
          </w:rPr>
          <w:t xml:space="preserve">https://www.tandfonline.com/doi/full/10.1080/1331677X.2017.1340182</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Limitations of the Sharpe Ratio: Understanding Risk in Hedge Funds - Investopedia, acessado em novembro 28, 2025, </w:t>
      </w:r>
      <w:hyperlink r:id="rId28">
        <w:r w:rsidDel="00000000" w:rsidR="00000000" w:rsidRPr="00000000">
          <w:rPr>
            <w:rFonts w:ascii="Google Sans" w:cs="Google Sans" w:eastAsia="Google Sans" w:hAnsi="Google Sans"/>
            <w:color w:val="0000ee"/>
            <w:sz w:val="24"/>
            <w:szCs w:val="24"/>
            <w:u w:val="single"/>
            <w:rtl w:val="0"/>
          </w:rPr>
          <w:t xml:space="preserve">https://www.investopedia.com/articles/07/sharperatio.asp</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Value at Risk (CVaR) Template - Financial Edge, acessado em novembro 28, 2025, </w:t>
      </w:r>
      <w:hyperlink r:id="rId29">
        <w:r w:rsidDel="00000000" w:rsidR="00000000" w:rsidRPr="00000000">
          <w:rPr>
            <w:rFonts w:ascii="Google Sans" w:cs="Google Sans" w:eastAsia="Google Sans" w:hAnsi="Google Sans"/>
            <w:color w:val="0000ee"/>
            <w:sz w:val="24"/>
            <w:szCs w:val="24"/>
            <w:u w:val="single"/>
            <w:rtl w:val="0"/>
          </w:rPr>
          <w:t xml:space="preserve">https://www.fe.training/free-resources/portfolio-management/conditional-value-at-risk/</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clash between titans - behavioral portfolio theory versus Markowitz's modern portfolio theory - Monetary research center, acessado em novembro 28, 2025, </w:t>
      </w:r>
      <w:hyperlink r:id="rId30">
        <w:r w:rsidDel="00000000" w:rsidR="00000000" w:rsidRPr="00000000">
          <w:rPr>
            <w:rFonts w:ascii="Google Sans" w:cs="Google Sans" w:eastAsia="Google Sans" w:hAnsi="Google Sans"/>
            <w:color w:val="0000ee"/>
            <w:sz w:val="24"/>
            <w:szCs w:val="24"/>
            <w:u w:val="single"/>
            <w:rtl w:val="0"/>
          </w:rPr>
          <w:t xml:space="preserve">https://mrcenter.info/Doc/ConferencePapers/2017/The%20clash%20between%20titans%20-%20behavioral%20portfolio%20theory%20versus%20Markowitz%E2%80%99s%20modern%20portfolio%20theory.pdf</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Prospect Theory: The Missing Link Between Modern Portfolio Theory and Prospect Theory - ResearchGate, acessado em novembro 28, 2025,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https://www.researchgate.net/publication/266794096_Modern_Prospect_Theory_The_Missing_Link_Between_Modern_Portfolio_Theory_and_Prospect_Theory</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post-modern portfolio theory in investing? - Quora, acessado em novembro 28, 2025, </w:t>
      </w:r>
      <w:hyperlink r:id="rId32">
        <w:r w:rsidDel="00000000" w:rsidR="00000000" w:rsidRPr="00000000">
          <w:rPr>
            <w:rFonts w:ascii="Google Sans" w:cs="Google Sans" w:eastAsia="Google Sans" w:hAnsi="Google Sans"/>
            <w:color w:val="0000ee"/>
            <w:sz w:val="24"/>
            <w:szCs w:val="24"/>
            <w:u w:val="single"/>
            <w:rtl w:val="0"/>
          </w:rPr>
          <w:t xml:space="preserve">https://www.quora.com/What-is-the-post-modern-portfolio-theory-in-investing</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the Modern Portfolio Theory and the Post-Modern Portfolio Theory - Teji mandi, acessado em novembro 28, 2025, </w:t>
      </w:r>
      <w:hyperlink r:id="rId33">
        <w:r w:rsidDel="00000000" w:rsidR="00000000" w:rsidRPr="00000000">
          <w:rPr>
            <w:rFonts w:ascii="Google Sans" w:cs="Google Sans" w:eastAsia="Google Sans" w:hAnsi="Google Sans"/>
            <w:color w:val="0000ee"/>
            <w:sz w:val="24"/>
            <w:szCs w:val="24"/>
            <w:u w:val="single"/>
            <w:rtl w:val="0"/>
          </w:rPr>
          <w:t xml:space="preserve">https://tejimandi.com/blog/tm-learn/difference-between-the-modern-portfolio-theory-and-the-post-modern-portfolio-theory</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Selection and Lower Partial Moments - Department of Mathematics, acessado em novembro 28, 2025, </w:t>
      </w:r>
      <w:hyperlink r:id="rId34">
        <w:r w:rsidDel="00000000" w:rsidR="00000000" w:rsidRPr="00000000">
          <w:rPr>
            <w:rFonts w:ascii="Google Sans" w:cs="Google Sans" w:eastAsia="Google Sans" w:hAnsi="Google Sans"/>
            <w:color w:val="0000ee"/>
            <w:sz w:val="24"/>
            <w:szCs w:val="24"/>
            <w:u w:val="single"/>
            <w:rtl w:val="0"/>
          </w:rPr>
          <w:t xml:space="preserve">https://www.math.kth.se/matstat/seminarier/reports/M-exjobb09/091214b.pdf</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Downside Risk-Based Six-Factor Capital Asset Pricing Model (CAPM): A New Paradigm in Asset Pricing - MDPI, acessado em novembro 28, 2025, </w:t>
      </w:r>
      <w:hyperlink r:id="rId35">
        <w:r w:rsidDel="00000000" w:rsidR="00000000" w:rsidRPr="00000000">
          <w:rPr>
            <w:rFonts w:ascii="Google Sans" w:cs="Google Sans" w:eastAsia="Google Sans" w:hAnsi="Google Sans"/>
            <w:color w:val="0000ee"/>
            <w:sz w:val="24"/>
            <w:szCs w:val="24"/>
            <w:u w:val="single"/>
            <w:rtl w:val="0"/>
          </w:rPr>
          <w:t xml:space="preserve">https://www.mdpi.com/2071-1050/12/17/6756</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Lower Partial Moments under Gram Charlier Distribution: Performance Measures and Efficient Frontiers∗, acessado em novembro 28, 2025, </w:t>
      </w:r>
      <w:hyperlink r:id="rId36">
        <w:r w:rsidDel="00000000" w:rsidR="00000000" w:rsidRPr="00000000">
          <w:rPr>
            <w:rFonts w:ascii="Google Sans" w:cs="Google Sans" w:eastAsia="Google Sans" w:hAnsi="Google Sans"/>
            <w:color w:val="0000ee"/>
            <w:sz w:val="24"/>
            <w:szCs w:val="24"/>
            <w:u w:val="single"/>
            <w:rtl w:val="0"/>
          </w:rPr>
          <w:t xml:space="preserve">https://www.ucm.es/data/cont/media/www/pag-37515/LeonMarch05.pdf</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lpm - Compute sample lower partial moments of data - MATLAB - MathWorks, acessado em novembro 28, 2025, </w:t>
      </w:r>
      <w:hyperlink r:id="rId37">
        <w:r w:rsidDel="00000000" w:rsidR="00000000" w:rsidRPr="00000000">
          <w:rPr>
            <w:rFonts w:ascii="Google Sans" w:cs="Google Sans" w:eastAsia="Google Sans" w:hAnsi="Google Sans"/>
            <w:color w:val="0000ee"/>
            <w:sz w:val="24"/>
            <w:szCs w:val="24"/>
            <w:u w:val="single"/>
            <w:rtl w:val="0"/>
          </w:rPr>
          <w:t xml:space="preserve">https://www.mathworks.com/help/finance/lpm.html</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lower partial moments in stochastic modeling, acessado em novembro 28, 2025, </w:t>
      </w:r>
      <w:hyperlink r:id="rId38">
        <w:r w:rsidDel="00000000" w:rsidR="00000000" w:rsidRPr="00000000">
          <w:rPr>
            <w:rFonts w:ascii="Google Sans" w:cs="Google Sans" w:eastAsia="Google Sans" w:hAnsi="Google Sans"/>
            <w:color w:val="0000ee"/>
            <w:sz w:val="24"/>
            <w:szCs w:val="24"/>
            <w:u w:val="single"/>
            <w:rtl w:val="0"/>
          </w:rPr>
          <w:t xml:space="preserve">https://www.dss.uniroma1.it/RePec/mtn/articoli/2008-2-6.pdf</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Sample and Expected Lower Partial Moments - MATLAB &amp; Simulink - MathWorks, acessado em novembro 28, 2025, </w:t>
      </w:r>
      <w:hyperlink r:id="rId39">
        <w:r w:rsidDel="00000000" w:rsidR="00000000" w:rsidRPr="00000000">
          <w:rPr>
            <w:rFonts w:ascii="Google Sans" w:cs="Google Sans" w:eastAsia="Google Sans" w:hAnsi="Google Sans"/>
            <w:color w:val="0000ee"/>
            <w:sz w:val="24"/>
            <w:szCs w:val="24"/>
            <w:u w:val="single"/>
            <w:rtl w:val="0"/>
          </w:rPr>
          <w:t xml:space="preserve">https://www.mathworks.com/help/finance/sample-and-expected-lower-partial-moments.html</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Lower Partial Moments as Measures of Perceived Risk - An Experimental Study Matthias Unser - Universität Münster, acessado em novembro 28, 2025, </w:t>
      </w:r>
      <w:hyperlink r:id="rId40">
        <w:r w:rsidDel="00000000" w:rsidR="00000000" w:rsidRPr="00000000">
          <w:rPr>
            <w:rFonts w:ascii="Google Sans" w:cs="Google Sans" w:eastAsia="Google Sans" w:hAnsi="Google Sans"/>
            <w:color w:val="0000ee"/>
            <w:sz w:val="24"/>
            <w:szCs w:val="24"/>
            <w:u w:val="single"/>
            <w:rtl w:val="0"/>
          </w:rPr>
          <w:t xml:space="preserve">https://www.uni-muenster.de/Physik.TP/~lemm/econoWS99/lower-partial.pdf</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CHARACTERISTICS OF OMEGA-OPTIMIZED PORTFOLIOS AT DIFFERENT LEVELS OF THRESHOLD RETURNS - Vilnius Tech, acessado em novembro 28, 2025, </w:t>
      </w:r>
      <w:hyperlink r:id="rId41">
        <w:r w:rsidDel="00000000" w:rsidR="00000000" w:rsidRPr="00000000">
          <w:rPr>
            <w:rFonts w:ascii="Google Sans" w:cs="Google Sans" w:eastAsia="Google Sans" w:hAnsi="Google Sans"/>
            <w:color w:val="0000ee"/>
            <w:sz w:val="24"/>
            <w:szCs w:val="24"/>
            <w:u w:val="single"/>
            <w:rtl w:val="0"/>
          </w:rPr>
          <w:t xml:space="preserve">https://journals.vilniustech.lt/index.php/BMEE/article/download/3517/2948/7654</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Downside Risk in Investments: Definition and Calculation - Investopedia, acessado em novembro 28, 2025, </w:t>
      </w:r>
      <w:hyperlink r:id="rId42">
        <w:r w:rsidDel="00000000" w:rsidR="00000000" w:rsidRPr="00000000">
          <w:rPr>
            <w:rFonts w:ascii="Google Sans" w:cs="Google Sans" w:eastAsia="Google Sans" w:hAnsi="Google Sans"/>
            <w:color w:val="0000ee"/>
            <w:sz w:val="24"/>
            <w:szCs w:val="24"/>
            <w:u w:val="single"/>
            <w:rtl w:val="0"/>
          </w:rPr>
          <w:t xml:space="preserve">https://www.investopedia.com/terms/d/downsiderisk.asp</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Downside Risk - Overview, How To Calculate and Manage - Corporate Finance Institute, acessado em novembro 28, 2025, </w:t>
      </w:r>
      <w:hyperlink r:id="rId43">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https://corporatefinanceinstitute.com/resources/career-map/sell-side/capital-markets/downside-risk/</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History of Downside Risk Measures - Portfolio Management Research, acessado em novembro 28, 2025, </w:t>
      </w:r>
      <w:hyperlink r:id="rId44">
        <w:r w:rsidDel="00000000" w:rsidR="00000000" w:rsidRPr="00000000">
          <w:rPr>
            <w:rFonts w:ascii="Google Sans" w:cs="Google Sans" w:eastAsia="Google Sans" w:hAnsi="Google Sans"/>
            <w:color w:val="0000ee"/>
            <w:sz w:val="24"/>
            <w:szCs w:val="24"/>
            <w:u w:val="single"/>
            <w:rtl w:val="0"/>
          </w:rPr>
          <w:t xml:space="preserve">https://www.pm-research.com/content/iijinvest%3A%3A%3A8%3A%3A%3A3%3A%3A%3A9.full.pdf?implicit-login=true&amp;sigma-token=odAGsFRmFlsRqq7IrQy5zdxeYP6m3d88742LqRu9_Ow</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measurement in post-modern portfolio theory: Differences from modern portfolio theory, acessado em novembro 28, 2025,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https://www.researchgate.net/publication/286072010_Risk_measurement_in_post-modern_portfolio_theory_Differences_from_modern_portfolio_theory</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Explained | PDF - Scribd, acessado em novembro 28, 2025, </w:t>
      </w:r>
      <w:hyperlink r:id="rId46">
        <w:r w:rsidDel="00000000" w:rsidR="00000000" w:rsidRPr="00000000">
          <w:rPr>
            <w:rFonts w:ascii="Google Sans" w:cs="Google Sans" w:eastAsia="Google Sans" w:hAnsi="Google Sans"/>
            <w:color w:val="0000ee"/>
            <w:sz w:val="24"/>
            <w:szCs w:val="24"/>
            <w:u w:val="single"/>
            <w:rtl w:val="0"/>
          </w:rPr>
          <w:t xml:space="preserve">https://www.scribd.com/document/165205048/Ferguson-Rom-1</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PRACTITIONER'S GUIDE TO ADDRESS FAT TAILS AND DOWNSIDE RISK IN PORTFOLIO CONSTRUCTION - Journal of Investment Managment, acessado em novembro 28, 2025, </w:t>
      </w:r>
      <w:hyperlink r:id="rId47">
        <w:r w:rsidDel="00000000" w:rsidR="00000000" w:rsidRPr="00000000">
          <w:rPr>
            <w:rFonts w:ascii="Google Sans" w:cs="Google Sans" w:eastAsia="Google Sans" w:hAnsi="Google Sans"/>
            <w:color w:val="0000ee"/>
            <w:sz w:val="24"/>
            <w:szCs w:val="24"/>
            <w:u w:val="single"/>
            <w:rtl w:val="0"/>
          </w:rPr>
          <w:t xml:space="preserve">https://www.joim.com/wp-content/uploads/emember/downloads/p0725.pdf</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Multicriteria Portfolio Choice and Downside Risk - MDPI, acessado em novembro 28, 2025, </w:t>
      </w:r>
      <w:hyperlink r:id="rId48">
        <w:r w:rsidDel="00000000" w:rsidR="00000000" w:rsidRPr="00000000">
          <w:rPr>
            <w:rFonts w:ascii="Google Sans" w:cs="Google Sans" w:eastAsia="Google Sans" w:hAnsi="Google Sans"/>
            <w:color w:val="0000ee"/>
            <w:sz w:val="24"/>
            <w:szCs w:val="24"/>
            <w:u w:val="single"/>
            <w:rtl w:val="0"/>
          </w:rPr>
          <w:t xml:space="preserve">https://www.mdpi.com/1911-8074/16/8/367</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introduction of emerging currencies into a portfolio: Towards a more complete diversification model - Cairn, acessado em novembro 28, 2025, </w:t>
      </w:r>
      <w:hyperlink r:id="rId49">
        <w:r w:rsidDel="00000000" w:rsidR="00000000" w:rsidRPr="00000000">
          <w:rPr>
            <w:rFonts w:ascii="Google Sans" w:cs="Google Sans" w:eastAsia="Google Sans" w:hAnsi="Google Sans"/>
            <w:color w:val="0000ee"/>
            <w:sz w:val="24"/>
            <w:szCs w:val="24"/>
            <w:u w:val="single"/>
            <w:rtl w:val="0"/>
          </w:rPr>
          <w:t xml:space="preserve">https://shs.cairn.info/revue-economie-internationale-2010-1-page-5?lang=en&amp;tab=texte-integral</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RiskMetrics in Value at Risk (VaR); Meaning, Methodolgy - Investopedia, acessado em novembro 28, 2025, </w:t>
      </w:r>
      <w:hyperlink r:id="rId50">
        <w:r w:rsidDel="00000000" w:rsidR="00000000" w:rsidRPr="00000000">
          <w:rPr>
            <w:rFonts w:ascii="Google Sans" w:cs="Google Sans" w:eastAsia="Google Sans" w:hAnsi="Google Sans"/>
            <w:color w:val="0000ee"/>
            <w:sz w:val="24"/>
            <w:szCs w:val="24"/>
            <w:u w:val="single"/>
            <w:rtl w:val="0"/>
          </w:rPr>
          <w:t xml:space="preserve">https://www.investopedia.com/ask/answers/041615/what-riskmetrics-value-risk-var.asp</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RiskMetrics - Value-at-Risk: Theory and Practice, acessado em novembro 28, 2025, </w:t>
      </w:r>
      <w:hyperlink r:id="rId51">
        <w:r w:rsidDel="00000000" w:rsidR="00000000" w:rsidRPr="00000000">
          <w:rPr>
            <w:rFonts w:ascii="Google Sans" w:cs="Google Sans" w:eastAsia="Google Sans" w:hAnsi="Google Sans"/>
            <w:color w:val="0000ee"/>
            <w:sz w:val="24"/>
            <w:szCs w:val="24"/>
            <w:u w:val="single"/>
            <w:rtl w:val="0"/>
          </w:rPr>
          <w:t xml:space="preserve">https://www.value-at-risk.net/riskmetrics/</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analyses of expected shortfall and value-at-risk under market stress - Bank for International Settlements, acessado em novembro 28, 2025, </w:t>
      </w:r>
      <w:hyperlink r:id="rId52">
        <w:r w:rsidDel="00000000" w:rsidR="00000000" w:rsidRPr="00000000">
          <w:rPr>
            <w:rFonts w:ascii="Google Sans" w:cs="Google Sans" w:eastAsia="Google Sans" w:hAnsi="Google Sans"/>
            <w:color w:val="0000ee"/>
            <w:sz w:val="24"/>
            <w:szCs w:val="24"/>
            <w:u w:val="single"/>
            <w:rtl w:val="0"/>
          </w:rPr>
          <w:t xml:space="preserve">https://www.bis.org/cgfs/conf/mar02p.pdf</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Coherent risk measure - Wikipedia, acessado em novembro 28, 2025, </w:t>
      </w:r>
      <w:hyperlink r:id="rId53">
        <w:r w:rsidDel="00000000" w:rsidR="00000000" w:rsidRPr="00000000">
          <w:rPr>
            <w:rFonts w:ascii="Google Sans" w:cs="Google Sans" w:eastAsia="Google Sans" w:hAnsi="Google Sans"/>
            <w:color w:val="0000ee"/>
            <w:sz w:val="24"/>
            <w:szCs w:val="24"/>
            <w:u w:val="single"/>
            <w:rtl w:val="0"/>
          </w:rPr>
          <w:t xml:space="preserve">https://en.wikipedia.org/wiki/Coherent_risk_measure</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Coherent Risk Measure? - CQF, acessado em novembro 28, 2025, </w:t>
      </w:r>
      <w:hyperlink r:id="rId54">
        <w:r w:rsidDel="00000000" w:rsidR="00000000" w:rsidRPr="00000000">
          <w:rPr>
            <w:rFonts w:ascii="Google Sans" w:cs="Google Sans" w:eastAsia="Google Sans" w:hAnsi="Google Sans"/>
            <w:color w:val="0000ee"/>
            <w:sz w:val="24"/>
            <w:szCs w:val="24"/>
            <w:u w:val="single"/>
            <w:rtl w:val="0"/>
          </w:rPr>
          <w:t xml:space="preserve">https://www.cqf.com/blog/quant-finance-101/what-is-a-coherent-risk-measure</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Counterexample to prove that the Value-at-Risk is not subadditive, acessado em novembro 28, 2025, </w:t>
      </w:r>
      <w:hyperlink r:id="rId55">
        <w:r w:rsidDel="00000000" w:rsidR="00000000" w:rsidRPr="00000000">
          <w:rPr>
            <w:rFonts w:ascii="Google Sans" w:cs="Google Sans" w:eastAsia="Google Sans" w:hAnsi="Google Sans"/>
            <w:color w:val="0000ee"/>
            <w:sz w:val="24"/>
            <w:szCs w:val="24"/>
            <w:u w:val="single"/>
            <w:rtl w:val="0"/>
          </w:rPr>
          <w:t xml:space="preserve">https://www.karlin.mff.cuni.cz/~vitali/documentsCourses/ValueatRisk_notSubadd.pdf</w:t>
        </w:r>
      </w:hyperlink>
      <w:r w:rsidDel="00000000" w:rsidR="00000000" w:rsidRPr="00000000">
        <w:rPr>
          <w:rtl w:val="0"/>
        </w:rPr>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Theory, Estimation, and Insurance Applications of Quantile-Based Risk Measures - University of Nottingham, acessado em novembro 28, 2025, </w:t>
      </w:r>
      <w:hyperlink r:id="rId56">
        <w:r w:rsidDel="00000000" w:rsidR="00000000" w:rsidRPr="00000000">
          <w:rPr>
            <w:rFonts w:ascii="Google Sans" w:cs="Google Sans" w:eastAsia="Google Sans" w:hAnsi="Google Sans"/>
            <w:color w:val="0000ee"/>
            <w:sz w:val="24"/>
            <w:szCs w:val="24"/>
            <w:u w:val="single"/>
            <w:rtl w:val="0"/>
          </w:rPr>
          <w:t xml:space="preserve">https://www.nottingham.ac.uk/business/who-we-are/centres-and-institutes/gcbfi/documents/cris-reports/cris-paper-2006-2.pdf</w:t>
        </w:r>
      </w:hyperlink>
      <w:r w:rsidDel="00000000" w:rsidR="00000000" w:rsidRPr="00000000">
        <w:rPr>
          <w:rtl w:val="0"/>
        </w:rPr>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example where VAR does not follow sub-additivity? - Quora, acessado em novembro 28, 2025, </w:t>
      </w:r>
      <w:hyperlink r:id="rId57">
        <w:r w:rsidDel="00000000" w:rsidR="00000000" w:rsidRPr="00000000">
          <w:rPr>
            <w:rFonts w:ascii="Google Sans" w:cs="Google Sans" w:eastAsia="Google Sans" w:hAnsi="Google Sans"/>
            <w:color w:val="0000ee"/>
            <w:sz w:val="24"/>
            <w:szCs w:val="24"/>
            <w:u w:val="single"/>
            <w:rtl w:val="0"/>
          </w:rPr>
          <w:t xml:space="preserve">https://www.quora.com/What-is-an-example-where-VAR-does-not-follow-sub-additivity</w:t>
        </w:r>
      </w:hyperlink>
      <w:r w:rsidDel="00000000" w:rsidR="00000000" w:rsidRPr="00000000">
        <w:rPr>
          <w:rtl w:val="0"/>
        </w:rPr>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Structural Properties of Risk-Averse Optimal Stopping Problems - arXiv, acessado em novembro 28, 2025, </w:t>
      </w:r>
      <w:hyperlink r:id="rId58">
        <w:r w:rsidDel="00000000" w:rsidR="00000000" w:rsidRPr="00000000">
          <w:rPr>
            <w:rFonts w:ascii="Google Sans" w:cs="Google Sans" w:eastAsia="Google Sans" w:hAnsi="Google Sans"/>
            <w:color w:val="0000ee"/>
            <w:sz w:val="24"/>
            <w:szCs w:val="24"/>
            <w:u w:val="single"/>
            <w:rtl w:val="0"/>
          </w:rPr>
          <w:t xml:space="preserve">https://arxiv.org/html/2511.01022v2</w:t>
        </w:r>
      </w:hyperlink>
      <w:r w:rsidDel="00000000" w:rsidR="00000000" w:rsidRPr="00000000">
        <w:rPr>
          <w:rtl w:val="0"/>
        </w:rPr>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Value-at-Risk for General Loss Distributions - University of Washington Math Department, acessado em novembro 28, 2025, </w:t>
      </w:r>
      <w:hyperlink r:id="rId59">
        <w:r w:rsidDel="00000000" w:rsidR="00000000" w:rsidRPr="00000000">
          <w:rPr>
            <w:rFonts w:ascii="Google Sans" w:cs="Google Sans" w:eastAsia="Google Sans" w:hAnsi="Google Sans"/>
            <w:color w:val="0000ee"/>
            <w:sz w:val="24"/>
            <w:szCs w:val="24"/>
            <w:u w:val="single"/>
            <w:rtl w:val="0"/>
          </w:rPr>
          <w:t xml:space="preserve">https://sites.math.washington.edu/~rtr/papers/rtr187-CVaR2.pdf</w:t>
        </w:r>
      </w:hyperlink>
      <w:r w:rsidDel="00000000" w:rsidR="00000000" w:rsidRPr="00000000">
        <w:rPr>
          <w:rtl w:val="0"/>
        </w:rPr>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of Conditional Value-at-Risk - University of Washington Math Department, acessado em novembro 28, 2025, </w:t>
      </w:r>
      <w:hyperlink r:id="rId60">
        <w:r w:rsidDel="00000000" w:rsidR="00000000" w:rsidRPr="00000000">
          <w:rPr>
            <w:rFonts w:ascii="Google Sans" w:cs="Google Sans" w:eastAsia="Google Sans" w:hAnsi="Google Sans"/>
            <w:color w:val="0000ee"/>
            <w:sz w:val="24"/>
            <w:szCs w:val="24"/>
            <w:u w:val="single"/>
            <w:rtl w:val="0"/>
          </w:rPr>
          <w:t xml:space="preserve">https://sites.math.washington.edu/~rtr/papers/rtr179-CVaR1.pdf</w:t>
        </w:r>
      </w:hyperlink>
      <w:r w:rsidDel="00000000" w:rsidR="00000000" w:rsidRPr="00000000">
        <w:rPr>
          <w:rtl w:val="0"/>
        </w:rPr>
      </w:r>
    </w:p>
    <w:p w:rsidR="00000000" w:rsidDel="00000000" w:rsidP="00000000" w:rsidRDefault="00000000" w:rsidRPr="00000000" w14:paraId="000001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Value-at-Risk (CVaR): Algorithms and Applications, acessado em novembro 28, 2025, </w:t>
      </w:r>
      <w:hyperlink r:id="rId61">
        <w:r w:rsidDel="00000000" w:rsidR="00000000" w:rsidRPr="00000000">
          <w:rPr>
            <w:rFonts w:ascii="Google Sans" w:cs="Google Sans" w:eastAsia="Google Sans" w:hAnsi="Google Sans"/>
            <w:color w:val="0000ee"/>
            <w:sz w:val="24"/>
            <w:szCs w:val="24"/>
            <w:u w:val="single"/>
            <w:rtl w:val="0"/>
          </w:rPr>
          <w:t xml:space="preserve">https://www2.mathematik.hu-berlin.de/~romisch/SP01/Uryasev.pdf</w:t>
        </w:r>
      </w:hyperlink>
      <w:r w:rsidDel="00000000" w:rsidR="00000000" w:rsidRPr="00000000">
        <w:rPr>
          <w:rtl w:val="0"/>
        </w:rPr>
      </w:r>
    </w:p>
    <w:p w:rsidR="00000000" w:rsidDel="00000000" w:rsidP="00000000" w:rsidRDefault="00000000" w:rsidRPr="00000000" w14:paraId="0000010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at Risk or Expected Shortfall | Quantdare, acessado em novembro 28, 2025, </w:t>
      </w:r>
      <w:hyperlink r:id="rId62">
        <w:r w:rsidDel="00000000" w:rsidR="00000000" w:rsidRPr="00000000">
          <w:rPr>
            <w:rFonts w:ascii="Google Sans" w:cs="Google Sans" w:eastAsia="Google Sans" w:hAnsi="Google Sans"/>
            <w:color w:val="0000ee"/>
            <w:sz w:val="24"/>
            <w:szCs w:val="24"/>
            <w:u w:val="single"/>
            <w:rtl w:val="0"/>
          </w:rPr>
          <w:t xml:space="preserve">https://quantdare.com/value-at-risk-or-expected-shortfall/</w:t>
        </w:r>
      </w:hyperlink>
      <w:r w:rsidDel="00000000" w:rsidR="00000000" w:rsidRPr="00000000">
        <w:rPr>
          <w:rtl w:val="0"/>
        </w:rPr>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 and CVaR, acessado em novembro 28, 2025, </w:t>
      </w:r>
      <w:hyperlink r:id="rId63">
        <w:r w:rsidDel="00000000" w:rsidR="00000000" w:rsidRPr="00000000">
          <w:rPr>
            <w:rFonts w:ascii="Google Sans" w:cs="Google Sans" w:eastAsia="Google Sans" w:hAnsi="Google Sans"/>
            <w:color w:val="0000ee"/>
            <w:sz w:val="24"/>
            <w:szCs w:val="24"/>
            <w:u w:val="single"/>
            <w:rtl w:val="0"/>
          </w:rPr>
          <w:t xml:space="preserve">https://www.karlin.mff.cuni.cz/~rusy/NMEK613/Seminar/1415z/1415z_Bejda.pdf</w:t>
        </w:r>
      </w:hyperlink>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at Risk (VaR) vs Expected Shortfall (ES) - Forrs.de, acessado em novembro 28, 2025, </w:t>
      </w:r>
      <w:hyperlink r:id="rId64">
        <w:r w:rsidDel="00000000" w:rsidR="00000000" w:rsidRPr="00000000">
          <w:rPr>
            <w:rFonts w:ascii="Google Sans" w:cs="Google Sans" w:eastAsia="Google Sans" w:hAnsi="Google Sans"/>
            <w:color w:val="0000ee"/>
            <w:sz w:val="24"/>
            <w:szCs w:val="24"/>
            <w:u w:val="single"/>
            <w:rtl w:val="0"/>
          </w:rPr>
          <w:t xml:space="preserve">https://www.forrs.de/en/news/var-vs-es</w:t>
        </w:r>
      </w:hyperlink>
      <w:r w:rsidDel="00000000" w:rsidR="00000000" w:rsidRPr="00000000">
        <w:rPr>
          <w:rtl w:val="0"/>
        </w:rPr>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asset allocation techniques - International Actuarial Association, acessado em novembro 28, 2025, </w:t>
      </w:r>
      <w:hyperlink r:id="rId65">
        <w:r w:rsidDel="00000000" w:rsidR="00000000" w:rsidRPr="00000000">
          <w:rPr>
            <w:rFonts w:ascii="Google Sans" w:cs="Google Sans" w:eastAsia="Google Sans" w:hAnsi="Google Sans"/>
            <w:color w:val="0000ee"/>
            <w:sz w:val="24"/>
            <w:szCs w:val="24"/>
            <w:u w:val="single"/>
            <w:rtl w:val="0"/>
          </w:rPr>
          <w:t xml:space="preserve">https://actuaries.org/app/uploads/2025/07/ICA2010_AFIR_32_final-paper_Jarvis.pdf</w:t>
        </w:r>
      </w:hyperlink>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Sortino Ratio to Gauge Downside Risk | Charles Schwab, acessado em novembro 28, 2025, </w:t>
      </w:r>
      <w:hyperlink r:id="rId66">
        <w:r w:rsidDel="00000000" w:rsidR="00000000" w:rsidRPr="00000000">
          <w:rPr>
            <w:rFonts w:ascii="Google Sans" w:cs="Google Sans" w:eastAsia="Google Sans" w:hAnsi="Google Sans"/>
            <w:color w:val="0000ee"/>
            <w:sz w:val="24"/>
            <w:szCs w:val="24"/>
            <w:u w:val="single"/>
            <w:rtl w:val="0"/>
          </w:rPr>
          <w:t xml:space="preserve">https://www.schwab.com/learn/story/using-sortino-ratio-to-gauge-downside-risk</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 Ratio: Risk Metrics Series | Swan Insights, acessado em novembro 28, 2025, </w:t>
      </w:r>
      <w:hyperlink r:id="rId67">
        <w:r w:rsidDel="00000000" w:rsidR="00000000" w:rsidRPr="00000000">
          <w:rPr>
            <w:rFonts w:ascii="Google Sans" w:cs="Google Sans" w:eastAsia="Google Sans" w:hAnsi="Google Sans"/>
            <w:color w:val="0000ee"/>
            <w:sz w:val="24"/>
            <w:szCs w:val="24"/>
            <w:u w:val="single"/>
            <w:rtl w:val="0"/>
          </w:rPr>
          <w:t xml:space="preserve">https://www.swanglobalinvestments.com/advisor/omega-ratio/</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Omega ratio | Capital.com, acessado em novembro 28, 2025, </w:t>
      </w:r>
      <w:hyperlink r:id="rId68">
        <w:r w:rsidDel="00000000" w:rsidR="00000000" w:rsidRPr="00000000">
          <w:rPr>
            <w:rFonts w:ascii="Google Sans" w:cs="Google Sans" w:eastAsia="Google Sans" w:hAnsi="Google Sans"/>
            <w:color w:val="0000ee"/>
            <w:sz w:val="24"/>
            <w:szCs w:val="24"/>
            <w:u w:val="single"/>
            <w:rtl w:val="0"/>
          </w:rPr>
          <w:t xml:space="preserve">https://capital.com/en-int/learn/glossary/omega-ratio-definition</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 ratio - Wikipedia, acessado em novembro 28, 2025, </w:t>
      </w:r>
      <w:hyperlink r:id="rId69">
        <w:r w:rsidDel="00000000" w:rsidR="00000000" w:rsidRPr="00000000">
          <w:rPr>
            <w:rFonts w:ascii="Google Sans" w:cs="Google Sans" w:eastAsia="Google Sans" w:hAnsi="Google Sans"/>
            <w:color w:val="0000ee"/>
            <w:sz w:val="24"/>
            <w:szCs w:val="24"/>
            <w:u w:val="single"/>
            <w:rtl w:val="0"/>
          </w:rPr>
          <w:t xml:space="preserve">https://en.wikipedia.org/wiki/Omega_ratio</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Universal Performance Measure - ResearchGate, acessado em novembro 28, 2025,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https://www.researchgate.net/publication/228550687_A_Universal_Performance_Measure</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omega ratio a good portfolio optimization criterion? - SciELO México, acessado em novembro 28, 2025, </w:t>
      </w:r>
      <w:hyperlink r:id="rId71">
        <w:r w:rsidDel="00000000" w:rsidR="00000000" w:rsidRPr="00000000">
          <w:rPr>
            <w:rFonts w:ascii="Google Sans" w:cs="Google Sans" w:eastAsia="Google Sans" w:hAnsi="Google Sans"/>
            <w:color w:val="0000ee"/>
            <w:sz w:val="24"/>
            <w:szCs w:val="24"/>
            <w:u w:val="single"/>
            <w:rtl w:val="0"/>
          </w:rPr>
          <w:t xml:space="preserve">https://www.scielo.org.mx/article_plus.php?pid=S0186-10422023000100097&amp;tlng=en&amp;lng=es</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PAPER: Picking the Right Risk-Adjusted Performance Metric HIGH LEVEL ANALYSIS, acessado em novembro 28, 2025, </w:t>
      </w:r>
      <w:hyperlink r:id="rId72">
        <w:r w:rsidDel="00000000" w:rsidR="00000000" w:rsidRPr="00000000">
          <w:rPr>
            <w:rFonts w:ascii="Google Sans" w:cs="Google Sans" w:eastAsia="Google Sans" w:hAnsi="Google Sans"/>
            <w:color w:val="0000ee"/>
            <w:sz w:val="24"/>
            <w:szCs w:val="24"/>
            <w:u w:val="single"/>
            <w:rtl w:val="0"/>
          </w:rPr>
          <w:t xml:space="preserve">https://s9d6e62ac19c21f7a.jimcontent.com/download/version/1537296680/module/13787459130/name/Picking%20the%20Right%20Risk-Adjusted%20Performance%20Metric.pdf</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Measures of Risk-adjusted Return - Turing Finance, acessado em novembro 28, 2025, </w:t>
      </w:r>
      <w:hyperlink r:id="rId73">
        <w:r w:rsidDel="00000000" w:rsidR="00000000" w:rsidRPr="00000000">
          <w:rPr>
            <w:rFonts w:ascii="Google Sans" w:cs="Google Sans" w:eastAsia="Google Sans" w:hAnsi="Google Sans"/>
            <w:color w:val="0000ee"/>
            <w:sz w:val="24"/>
            <w:szCs w:val="24"/>
            <w:u w:val="single"/>
            <w:rtl w:val="0"/>
          </w:rPr>
          <w:t xml:space="preserve">http://www.turingfinance.com/computational-investing-with-python-week-one/</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 and Kappa Statistics for Hedge Funds - ABC Quant, acessado em novembro 28, 2025, </w:t>
      </w:r>
      <w:hyperlink r:id="rId74">
        <w:r w:rsidDel="00000000" w:rsidR="00000000" w:rsidRPr="00000000">
          <w:rPr>
            <w:rFonts w:ascii="Google Sans" w:cs="Google Sans" w:eastAsia="Google Sans" w:hAnsi="Google Sans"/>
            <w:color w:val="0000ee"/>
            <w:sz w:val="24"/>
            <w:szCs w:val="24"/>
            <w:u w:val="single"/>
            <w:rtl w:val="0"/>
          </w:rPr>
          <w:t xml:space="preserve">https://www.abcquant.com/omega-and-kappa-statistics</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Kappa: A Generalized Downside Risk-Adjusted Performance Measure - ResearchGate, acessado em novembro 28, 2025,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https://www.researchgate.net/publication/284690156_Kappa_A_Generalized_Downside_Risk-Adjusted_Performance_Measure</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relative performance measure to Sharpe ratio for non-IID return, acessado em novembro 28, 2025, </w:t>
      </w:r>
      <w:hyperlink r:id="rId76">
        <w:r w:rsidDel="00000000" w:rsidR="00000000" w:rsidRPr="00000000">
          <w:rPr>
            <w:rFonts w:ascii="Google Sans" w:cs="Google Sans" w:eastAsia="Google Sans" w:hAnsi="Google Sans"/>
            <w:color w:val="0000ee"/>
            <w:sz w:val="24"/>
            <w:szCs w:val="24"/>
            <w:u w:val="single"/>
            <w:rtl w:val="0"/>
          </w:rPr>
          <w:t xml:space="preserve">https://quant.stackexchange.com/questions/48720/alternative-relative-performance-measure-to-sharpe-ratio-for-non-iid-return</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Pitfalls of downside performance measures with arbitrary targets - Fakultät für Wirtschaftswissenschaft -, acessado em novembro 28, 2025, </w:t>
      </w:r>
      <w:hyperlink r:id="rId77">
        <w:r w:rsidDel="00000000" w:rsidR="00000000" w:rsidRPr="00000000">
          <w:rPr>
            <w:rFonts w:ascii="Google Sans" w:cs="Google Sans" w:eastAsia="Google Sans" w:hAnsi="Google Sans"/>
            <w:color w:val="0000ee"/>
            <w:sz w:val="24"/>
            <w:szCs w:val="24"/>
            <w:u w:val="single"/>
            <w:rtl w:val="0"/>
          </w:rPr>
          <w:t xml:space="preserve">https://www.fww.ovgu.de/fww_media/femm/femm_2015/2015_18.pdf</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Kappa: A Generalized Downside Risk-Adjusted Performance Measure, acessado em novembro 28, 2025, </w:t>
      </w:r>
      <w:hyperlink r:id="rId78">
        <w:r w:rsidDel="00000000" w:rsidR="00000000" w:rsidRPr="00000000">
          <w:rPr>
            <w:rFonts w:ascii="Google Sans" w:cs="Google Sans" w:eastAsia="Google Sans" w:hAnsi="Google Sans"/>
            <w:color w:val="0000ee"/>
            <w:sz w:val="24"/>
            <w:szCs w:val="24"/>
            <w:u w:val="single"/>
            <w:rtl w:val="0"/>
          </w:rPr>
          <w:t xml:space="preserve">http://w.performance-measurement.org/KaplanKnowles2004.pdf</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Cryptocurrencies as an asset class in portfolio optimisation - IDEAS/RePEc, acessado em novembro 28, 2025, </w:t>
      </w:r>
      <w:hyperlink r:id="rId79">
        <w:r w:rsidDel="00000000" w:rsidR="00000000" w:rsidRPr="00000000">
          <w:rPr>
            <w:rFonts w:ascii="Google Sans" w:cs="Google Sans" w:eastAsia="Google Sans" w:hAnsi="Google Sans"/>
            <w:color w:val="0000ee"/>
            <w:sz w:val="24"/>
            <w:szCs w:val="24"/>
            <w:u w:val="single"/>
            <w:rtl w:val="0"/>
          </w:rPr>
          <w:t xml:space="preserve">https://ideas.repec.org/a/vrs/ceuecj/v7y2020i54p33-55n2.html</w:t>
        </w:r>
      </w:hyperlink>
      <w:r w:rsidDel="00000000" w:rsidR="00000000" w:rsidRPr="00000000">
        <w:rPr>
          <w:rtl w:val="0"/>
        </w:rPr>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 Bitcoin &amp; Downside Risk' - Lund University Publications, acessado em novembro 28, 2025, </w:t>
      </w:r>
      <w:hyperlink r:id="rId80">
        <w:r w:rsidDel="00000000" w:rsidR="00000000" w:rsidRPr="00000000">
          <w:rPr>
            <w:rFonts w:ascii="Google Sans" w:cs="Google Sans" w:eastAsia="Google Sans" w:hAnsi="Google Sans"/>
            <w:color w:val="0000ee"/>
            <w:sz w:val="24"/>
            <w:szCs w:val="24"/>
            <w:u w:val="single"/>
            <w:rtl w:val="0"/>
          </w:rPr>
          <w:t xml:space="preserve">https://lup.lub.lu.se/student-papers/record/9082849/file/9082852.pdf</w:t>
        </w:r>
      </w:hyperlink>
      <w:r w:rsidDel="00000000" w:rsidR="00000000" w:rsidRPr="00000000">
        <w:rPr>
          <w:rtl w:val="0"/>
        </w:rPr>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Portfolio Management Trends: Navigating the Future in 2025 and Beyond, acessado em novembro 28, 2025, </w:t>
      </w:r>
      <w:hyperlink r:id="rId81">
        <w:r w:rsidDel="00000000" w:rsidR="00000000" w:rsidRPr="00000000">
          <w:rPr>
            <w:rFonts w:ascii="Google Sans" w:cs="Google Sans" w:eastAsia="Google Sans" w:hAnsi="Google Sans"/>
            <w:color w:val="0000ee"/>
            <w:sz w:val="24"/>
            <w:szCs w:val="24"/>
            <w:u w:val="single"/>
            <w:rtl w:val="0"/>
          </w:rPr>
          <w:t xml:space="preserve">https://blog.greenprojectmanagement.org/index.php/2025/01/21/project-portfolio-management-trends-navigating-future-2025-beyond/</w:t>
        </w:r>
      </w:hyperlink>
      <w:r w:rsidDel="00000000" w:rsidR="00000000" w:rsidRPr="00000000">
        <w:rPr>
          <w:rtl w:val="0"/>
        </w:rPr>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Project Management Trends for 2025 - PMI California Inland Empire Chapter, acessado em novembro 28, 2025, </w:t>
      </w:r>
      <w:hyperlink r:id="rId82">
        <w:r w:rsidDel="00000000" w:rsidR="00000000" w:rsidRPr="00000000">
          <w:rPr>
            <w:rFonts w:ascii="Google Sans" w:cs="Google Sans" w:eastAsia="Google Sans" w:hAnsi="Google Sans"/>
            <w:color w:val="0000ee"/>
            <w:sz w:val="24"/>
            <w:szCs w:val="24"/>
            <w:u w:val="single"/>
            <w:rtl w:val="0"/>
          </w:rPr>
          <w:t xml:space="preserve">https://pmicie.org/articles/114-top-project-management-trends-for-2025</w:t>
        </w:r>
      </w:hyperlink>
      <w:r w:rsidDel="00000000" w:rsidR="00000000" w:rsidRPr="00000000">
        <w:rPr>
          <w:rtl w:val="0"/>
        </w:rPr>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Investment Portfolio Optimization: Integrating Portfolio Allocation Methods with RNN LSTM | IEEE Conference Publication | IEEE Xplore, acessado em novembro 28, 2025, </w:t>
      </w:r>
      <w:hyperlink r:id="rId83">
        <w:r w:rsidDel="00000000" w:rsidR="00000000" w:rsidRPr="00000000">
          <w:rPr>
            <w:rFonts w:ascii="Google Sans" w:cs="Google Sans" w:eastAsia="Google Sans" w:hAnsi="Google Sans"/>
            <w:color w:val="0000ee"/>
            <w:sz w:val="24"/>
            <w:szCs w:val="24"/>
            <w:u w:val="single"/>
            <w:rtl w:val="0"/>
          </w:rPr>
          <w:t xml:space="preserve">https://ieeexplore.ieee.org/document/10317711/</w:t>
        </w:r>
      </w:hyperlink>
      <w:r w:rsidDel="00000000" w:rsidR="00000000" w:rsidRPr="00000000">
        <w:rPr>
          <w:rtl w:val="0"/>
        </w:rPr>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Investment Frontiers: Industry-grade Deep Reinforcement Learning for Portfolio Optimization - arXiv, acessado em novembro 28, 2025, </w:t>
      </w:r>
      <w:hyperlink r:id="rId84">
        <w:r w:rsidDel="00000000" w:rsidR="00000000" w:rsidRPr="00000000">
          <w:rPr>
            <w:rFonts w:ascii="Google Sans" w:cs="Google Sans" w:eastAsia="Google Sans" w:hAnsi="Google Sans"/>
            <w:color w:val="0000ee"/>
            <w:sz w:val="24"/>
            <w:szCs w:val="24"/>
            <w:u w:val="single"/>
            <w:rtl w:val="0"/>
          </w:rPr>
          <w:t xml:space="preserve">https://arxiv.org/html/2403.07916v1</w:t>
        </w:r>
      </w:hyperlink>
      <w:r w:rsidDel="00000000" w:rsidR="00000000" w:rsidRPr="00000000">
        <w:rPr>
          <w:rtl w:val="0"/>
        </w:rPr>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Effectiveness of the ESG approach in portfolio selection – an empirical evidence from the US stock market - Vilnius Tech, acessado em novembro 28, 2025, </w:t>
      </w:r>
      <w:hyperlink r:id="rId85">
        <w:r w:rsidDel="00000000" w:rsidR="00000000" w:rsidRPr="00000000">
          <w:rPr>
            <w:rFonts w:ascii="Google Sans" w:cs="Google Sans" w:eastAsia="Google Sans" w:hAnsi="Google Sans"/>
            <w:color w:val="0000ee"/>
            <w:sz w:val="24"/>
            <w:szCs w:val="24"/>
            <w:u w:val="single"/>
            <w:rtl w:val="0"/>
          </w:rPr>
          <w:t xml:space="preserve">https://journals.vilniustech.lt/index.php/JBEM/article/view/24751/13067</w:t>
        </w:r>
      </w:hyperlink>
      <w:r w:rsidDel="00000000" w:rsidR="00000000" w:rsidRPr="00000000">
        <w:rPr>
          <w:rtl w:val="0"/>
        </w:rPr>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a Robust Maximum Diversified Portfolio to a Small Economy's Stock Market: An Application to Fiji's South Pacific Stock Exchange - MDPI, acessado em novembro 28, 2025, </w:t>
      </w:r>
      <w:hyperlink r:id="rId86">
        <w:r w:rsidDel="00000000" w:rsidR="00000000" w:rsidRPr="00000000">
          <w:rPr>
            <w:rFonts w:ascii="Google Sans" w:cs="Google Sans" w:eastAsia="Google Sans" w:hAnsi="Google Sans"/>
            <w:color w:val="0000ee"/>
            <w:sz w:val="24"/>
            <w:szCs w:val="24"/>
            <w:u w:val="single"/>
            <w:rtl w:val="0"/>
          </w:rPr>
          <w:t xml:space="preserve">https://www.mdpi.com/1911-8074/17/9/388</w:t>
        </w:r>
      </w:hyperlink>
      <w:r w:rsidDel="00000000" w:rsidR="00000000" w:rsidRPr="00000000">
        <w:rPr>
          <w:rtl w:val="0"/>
        </w:rPr>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Sortino, Omega, Kappa: The Algebra of Financial Asymmetry | Request PDF - ResearchGate, acessado em novembro 28, 2025,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https://www.researchgate.net/publication/305673511_Sortino_Omega_Kappa_The_Algebra_of_Financial_Asymmetry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ni-muenster.de/Physik.TP/~lemm/econoWS99/lower-partial.pdf" TargetMode="External"/><Relationship Id="rId84" Type="http://schemas.openxmlformats.org/officeDocument/2006/relationships/hyperlink" Target="https://arxiv.org/html/2403.07916v1" TargetMode="External"/><Relationship Id="rId83" Type="http://schemas.openxmlformats.org/officeDocument/2006/relationships/hyperlink" Target="https://ieeexplore.ieee.org/document/10317711/" TargetMode="External"/><Relationship Id="rId42" Type="http://schemas.openxmlformats.org/officeDocument/2006/relationships/hyperlink" Target="https://www.investopedia.com/terms/d/downsiderisk.asp" TargetMode="External"/><Relationship Id="rId86" Type="http://schemas.openxmlformats.org/officeDocument/2006/relationships/hyperlink" Target="https://www.mdpi.com/1911-8074/17/9/388" TargetMode="External"/><Relationship Id="rId41" Type="http://schemas.openxmlformats.org/officeDocument/2006/relationships/hyperlink" Target="https://journals.vilniustech.lt/index.php/BMEE/article/download/3517/2948/7654" TargetMode="External"/><Relationship Id="rId85" Type="http://schemas.openxmlformats.org/officeDocument/2006/relationships/hyperlink" Target="https://journals.vilniustech.lt/index.php/JBEM/article/view/24751/13067" TargetMode="External"/><Relationship Id="rId44" Type="http://schemas.openxmlformats.org/officeDocument/2006/relationships/hyperlink" Target="https://www.pm-research.com/content/iijinvest%3A%3A%3A8%3A%3A%3A3%3A%3A%3A9.full.pdf?implicit-login=true&amp;sigma-token=odAGsFRmFlsRqq7IrQy5zdxeYP6m3d88742LqRu9_Ow" TargetMode="External"/><Relationship Id="rId43" Type="http://schemas.openxmlformats.org/officeDocument/2006/relationships/hyperlink" Target="https://corporatefinanceinstitute.com/resources/career-map/sell-side/capital-markets/downside-risk/" TargetMode="External"/><Relationship Id="rId87" Type="http://schemas.openxmlformats.org/officeDocument/2006/relationships/hyperlink" Target="https://www.researchgate.net/publication/305673511_Sortino_Omega_Kappa_The_Algebra_of_Financial_Asymmetry" TargetMode="External"/><Relationship Id="rId46" Type="http://schemas.openxmlformats.org/officeDocument/2006/relationships/hyperlink" Target="https://www.scribd.com/document/165205048/Ferguson-Rom-1" TargetMode="External"/><Relationship Id="rId45" Type="http://schemas.openxmlformats.org/officeDocument/2006/relationships/hyperlink" Target="https://www.researchgate.net/publication/286072010_Risk_measurement_in_post-modern_portfolio_theory_Differences_from_modern_portfolio_theory" TargetMode="External"/><Relationship Id="rId80" Type="http://schemas.openxmlformats.org/officeDocument/2006/relationships/hyperlink" Target="https://lup.lub.lu.se/student-papers/record/9082849/file/9082852.pdf" TargetMode="External"/><Relationship Id="rId82" Type="http://schemas.openxmlformats.org/officeDocument/2006/relationships/hyperlink" Target="https://pmicie.org/articles/114-top-project-management-trends-for-2025" TargetMode="External"/><Relationship Id="rId81" Type="http://schemas.openxmlformats.org/officeDocument/2006/relationships/hyperlink" Target="https://blog.greenprojectmanagement.org/index.php/2025/01/21/project-portfolio-management-trends-navigating-future-2025-beyo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opedia.com/terms/p/pmpt.asp" TargetMode="External"/><Relationship Id="rId48" Type="http://schemas.openxmlformats.org/officeDocument/2006/relationships/hyperlink" Target="https://www.mdpi.com/1911-8074/16/8/367" TargetMode="External"/><Relationship Id="rId47" Type="http://schemas.openxmlformats.org/officeDocument/2006/relationships/hyperlink" Target="https://www.joim.com/wp-content/uploads/emember/downloads/p0725.pdf" TargetMode="External"/><Relationship Id="rId49" Type="http://schemas.openxmlformats.org/officeDocument/2006/relationships/hyperlink" Target="https://shs.cairn.info/revue-economie-internationale-2010-1-page-5?lang=en&amp;tab=texte-integral" TargetMode="External"/><Relationship Id="rId5" Type="http://schemas.openxmlformats.org/officeDocument/2006/relationships/styles" Target="styles.xml"/><Relationship Id="rId6" Type="http://schemas.openxmlformats.org/officeDocument/2006/relationships/hyperlink" Target="https://en.wikipedia.org/wiki/Modern_portfolio_theory" TargetMode="External"/><Relationship Id="rId7" Type="http://schemas.openxmlformats.org/officeDocument/2006/relationships/hyperlink" Target="https://www.daytrading.com/post-modern-portfolio-theory-pmpt" TargetMode="External"/><Relationship Id="rId8" Type="http://schemas.openxmlformats.org/officeDocument/2006/relationships/hyperlink" Target="https://diversification.com/term/post-moderne-portfolio-theorie" TargetMode="External"/><Relationship Id="rId73" Type="http://schemas.openxmlformats.org/officeDocument/2006/relationships/hyperlink" Target="http://www.turingfinance.com/computational-investing-with-python-week-one/" TargetMode="External"/><Relationship Id="rId72" Type="http://schemas.openxmlformats.org/officeDocument/2006/relationships/hyperlink" Target="https://s9d6e62ac19c21f7a.jimcontent.com/download/version/1537296680/module/13787459130/name/Picking%20the%20Right%20Risk-Adjusted%20Performance%20Metric.pdf" TargetMode="External"/><Relationship Id="rId31" Type="http://schemas.openxmlformats.org/officeDocument/2006/relationships/hyperlink" Target="https://www.researchgate.net/publication/266794096_Modern_Prospect_Theory_The_Missing_Link_Between_Modern_Portfolio_Theory_and_Prospect_Theory" TargetMode="External"/><Relationship Id="rId75" Type="http://schemas.openxmlformats.org/officeDocument/2006/relationships/hyperlink" Target="https://www.researchgate.net/publication/284690156_Kappa_A_Generalized_Downside_Risk-Adjusted_Performance_Measure" TargetMode="External"/><Relationship Id="rId30" Type="http://schemas.openxmlformats.org/officeDocument/2006/relationships/hyperlink" Target="https://mrcenter.info/Doc/ConferencePapers/2017/The%20clash%20between%20titans%20-%20behavioral%20portfolio%20theory%20versus%20Markowitz%E2%80%99s%20modern%20portfolio%20theory.pdf" TargetMode="External"/><Relationship Id="rId74" Type="http://schemas.openxmlformats.org/officeDocument/2006/relationships/hyperlink" Target="https://www.abcquant.com/omega-and-kappa-statistics" TargetMode="External"/><Relationship Id="rId33" Type="http://schemas.openxmlformats.org/officeDocument/2006/relationships/hyperlink" Target="https://tejimandi.com/blog/tm-learn/difference-between-the-modern-portfolio-theory-and-the-post-modern-portfolio-theory" TargetMode="External"/><Relationship Id="rId77" Type="http://schemas.openxmlformats.org/officeDocument/2006/relationships/hyperlink" Target="https://www.fww.ovgu.de/fww_media/femm/femm_2015/2015_18.pdf" TargetMode="External"/><Relationship Id="rId32" Type="http://schemas.openxmlformats.org/officeDocument/2006/relationships/hyperlink" Target="https://www.quora.com/What-is-the-post-modern-portfolio-theory-in-investing" TargetMode="External"/><Relationship Id="rId76" Type="http://schemas.openxmlformats.org/officeDocument/2006/relationships/hyperlink" Target="https://quant.stackexchange.com/questions/48720/alternative-relative-performance-measure-to-sharpe-ratio-for-non-iid-return" TargetMode="External"/><Relationship Id="rId35" Type="http://schemas.openxmlformats.org/officeDocument/2006/relationships/hyperlink" Target="https://www.mdpi.com/2071-1050/12/17/6756" TargetMode="External"/><Relationship Id="rId79" Type="http://schemas.openxmlformats.org/officeDocument/2006/relationships/hyperlink" Target="https://ideas.repec.org/a/vrs/ceuecj/v7y2020i54p33-55n2.html" TargetMode="External"/><Relationship Id="rId34" Type="http://schemas.openxmlformats.org/officeDocument/2006/relationships/hyperlink" Target="https://www.math.kth.se/matstat/seminarier/reports/M-exjobb09/091214b.pdf" TargetMode="External"/><Relationship Id="rId78" Type="http://schemas.openxmlformats.org/officeDocument/2006/relationships/hyperlink" Target="http://w.performance-measurement.org/KaplanKnowles2004.pdf" TargetMode="External"/><Relationship Id="rId71" Type="http://schemas.openxmlformats.org/officeDocument/2006/relationships/hyperlink" Target="https://www.scielo.org.mx/article_plus.php?pid=S0186-10422023000100097&amp;tlng=en&amp;lng=es" TargetMode="External"/><Relationship Id="rId70" Type="http://schemas.openxmlformats.org/officeDocument/2006/relationships/hyperlink" Target="https://www.researchgate.net/publication/228550687_A_Universal_Performance_Measure" TargetMode="External"/><Relationship Id="rId37" Type="http://schemas.openxmlformats.org/officeDocument/2006/relationships/hyperlink" Target="https://www.mathworks.com/help/finance/lpm.html" TargetMode="External"/><Relationship Id="rId36" Type="http://schemas.openxmlformats.org/officeDocument/2006/relationships/hyperlink" Target="https://www.ucm.es/data/cont/media/www/pag-37515/LeonMarch05.pdf" TargetMode="External"/><Relationship Id="rId39" Type="http://schemas.openxmlformats.org/officeDocument/2006/relationships/hyperlink" Target="https://www.mathworks.com/help/finance/sample-and-expected-lower-partial-moments.html" TargetMode="External"/><Relationship Id="rId38" Type="http://schemas.openxmlformats.org/officeDocument/2006/relationships/hyperlink" Target="https://www.dss.uniroma1.it/RePec/mtn/articoli/2008-2-6.pdf" TargetMode="External"/><Relationship Id="rId62" Type="http://schemas.openxmlformats.org/officeDocument/2006/relationships/hyperlink" Target="https://quantdare.com/value-at-risk-or-expected-shortfall/" TargetMode="External"/><Relationship Id="rId61" Type="http://schemas.openxmlformats.org/officeDocument/2006/relationships/hyperlink" Target="https://www2.mathematik.hu-berlin.de/~romisch/SP01/Uryasev.pdf" TargetMode="External"/><Relationship Id="rId20" Type="http://schemas.openxmlformats.org/officeDocument/2006/relationships/hyperlink" Target="https://www.econstor.eu/bitstream/10419/58003/1/688930476.pdf" TargetMode="External"/><Relationship Id="rId64" Type="http://schemas.openxmlformats.org/officeDocument/2006/relationships/hyperlink" Target="https://www.forrs.de/en/news/var-vs-es" TargetMode="External"/><Relationship Id="rId63" Type="http://schemas.openxmlformats.org/officeDocument/2006/relationships/hyperlink" Target="https://www.karlin.mff.cuni.cz/~rusy/NMEK613/Seminar/1415z/1415z_Bejda.pdf" TargetMode="External"/><Relationship Id="rId22" Type="http://schemas.openxmlformats.org/officeDocument/2006/relationships/hyperlink" Target="https://www.investopedia.com/terms/s/sortinoratio.asp" TargetMode="External"/><Relationship Id="rId66" Type="http://schemas.openxmlformats.org/officeDocument/2006/relationships/hyperlink" Target="https://www.schwab.com/learn/story/using-sortino-ratio-to-gauge-downside-risk" TargetMode="External"/><Relationship Id="rId21" Type="http://schemas.openxmlformats.org/officeDocument/2006/relationships/hyperlink" Target="https://www.casact.org/abstract/post-modern-portfolio-theory-comes-age" TargetMode="External"/><Relationship Id="rId65" Type="http://schemas.openxmlformats.org/officeDocument/2006/relationships/hyperlink" Target="https://actuaries.org/app/uploads/2025/07/ICA2010_AFIR_32_final-paper_Jarvis.pdf" TargetMode="External"/><Relationship Id="rId24" Type="http://schemas.openxmlformats.org/officeDocument/2006/relationships/hyperlink" Target="https://www.nber.org/sites/default/files/2023-06/orrc09-16-VD.pdf" TargetMode="External"/><Relationship Id="rId68" Type="http://schemas.openxmlformats.org/officeDocument/2006/relationships/hyperlink" Target="https://capital.com/en-int/learn/glossary/omega-ratio-definition" TargetMode="External"/><Relationship Id="rId23" Type="http://schemas.openxmlformats.org/officeDocument/2006/relationships/hyperlink" Target="https://en.wikipedia.org/wiki/Expected_shortfall" TargetMode="External"/><Relationship Id="rId67" Type="http://schemas.openxmlformats.org/officeDocument/2006/relationships/hyperlink" Target="https://www.swanglobalinvestments.com/advisor/omega-ratio/" TargetMode="External"/><Relationship Id="rId60" Type="http://schemas.openxmlformats.org/officeDocument/2006/relationships/hyperlink" Target="https://sites.math.washington.edu/~rtr/papers/rtr179-CVaR1.pdf" TargetMode="External"/><Relationship Id="rId26" Type="http://schemas.openxmlformats.org/officeDocument/2006/relationships/hyperlink" Target="https://blogs.cfainstitute.org/investor/2012/10/18/modern-portfolio-theory-bruised-broken-misunderstood-or-misapplied/" TargetMode="External"/><Relationship Id="rId25" Type="http://schemas.openxmlformats.org/officeDocument/2006/relationships/hyperlink" Target="https://www.risk.net/sites/default/files/import_unmanaged/risk.net/data/risk/pdf/technical/risk_0605_technical_buckle.pdf" TargetMode="External"/><Relationship Id="rId69" Type="http://schemas.openxmlformats.org/officeDocument/2006/relationships/hyperlink" Target="https://en.wikipedia.org/wiki/Omega_ratio" TargetMode="External"/><Relationship Id="rId28" Type="http://schemas.openxmlformats.org/officeDocument/2006/relationships/hyperlink" Target="https://www.investopedia.com/articles/07/sharperatio.asp" TargetMode="External"/><Relationship Id="rId27" Type="http://schemas.openxmlformats.org/officeDocument/2006/relationships/hyperlink" Target="https://www.tandfonline.com/doi/full/10.1080/1331677X.2017.1340182" TargetMode="External"/><Relationship Id="rId29" Type="http://schemas.openxmlformats.org/officeDocument/2006/relationships/hyperlink" Target="https://www.fe.training/free-resources/portfolio-management/conditional-value-at-risk/" TargetMode="External"/><Relationship Id="rId51" Type="http://schemas.openxmlformats.org/officeDocument/2006/relationships/hyperlink" Target="https://www.value-at-risk.net/riskmetrics/" TargetMode="External"/><Relationship Id="rId50" Type="http://schemas.openxmlformats.org/officeDocument/2006/relationships/hyperlink" Target="https://www.investopedia.com/ask/answers/041615/what-riskmetrics-value-risk-var.asp" TargetMode="External"/><Relationship Id="rId53" Type="http://schemas.openxmlformats.org/officeDocument/2006/relationships/hyperlink" Target="https://en.wikipedia.org/wiki/Coherent_risk_measure" TargetMode="External"/><Relationship Id="rId52" Type="http://schemas.openxmlformats.org/officeDocument/2006/relationships/hyperlink" Target="https://www.bis.org/cgfs/conf/mar02p.pdf" TargetMode="External"/><Relationship Id="rId11" Type="http://schemas.openxmlformats.org/officeDocument/2006/relationships/hyperlink" Target="https://www.investopedia.com/terms/t/tailrisk.asp" TargetMode="External"/><Relationship Id="rId55" Type="http://schemas.openxmlformats.org/officeDocument/2006/relationships/hyperlink" Target="https://www.karlin.mff.cuni.cz/~vitali/documentsCourses/ValueatRisk_notSubadd.pdf" TargetMode="External"/><Relationship Id="rId10" Type="http://schemas.openxmlformats.org/officeDocument/2006/relationships/hyperlink" Target="https://en.wikipedia.org/wiki/Downside_risk" TargetMode="External"/><Relationship Id="rId54" Type="http://schemas.openxmlformats.org/officeDocument/2006/relationships/hyperlink" Target="https://www.cqf.com/blog/quant-finance-101/what-is-a-coherent-risk-measure" TargetMode="External"/><Relationship Id="rId13" Type="http://schemas.openxmlformats.org/officeDocument/2006/relationships/hyperlink" Target="https://public.econ.duke.edu/~get/browse/courses/201/spr08/DOWNLOADS/New_Methods_and_JumpTests/BNKS-semivariance-2008.pdf" TargetMode="External"/><Relationship Id="rId57" Type="http://schemas.openxmlformats.org/officeDocument/2006/relationships/hyperlink" Target="https://www.quora.com/What-is-an-example-where-VAR-does-not-follow-sub-additivity" TargetMode="External"/><Relationship Id="rId12" Type="http://schemas.openxmlformats.org/officeDocument/2006/relationships/hyperlink" Target="https://www.researchgate.net/publication/344389567_Cryptocurrencies_as_an_asset_class_in_portfolio_optimisation" TargetMode="External"/><Relationship Id="rId56" Type="http://schemas.openxmlformats.org/officeDocument/2006/relationships/hyperlink" Target="https://www.nottingham.ac.uk/business/who-we-are/centres-and-institutes/gcbfi/documents/cris-reports/cris-paper-2006-2.pdf" TargetMode="External"/><Relationship Id="rId15" Type="http://schemas.openxmlformats.org/officeDocument/2006/relationships/hyperlink" Target="https://pdfs.semanticscholar.org/39d1/3494e672ad33c326afa7470eadbaac73f1d6.pdf" TargetMode="External"/><Relationship Id="rId59" Type="http://schemas.openxmlformats.org/officeDocument/2006/relationships/hyperlink" Target="https://sites.math.washington.edu/~rtr/papers/rtr187-CVaR2.pdf" TargetMode="External"/><Relationship Id="rId14" Type="http://schemas.openxmlformats.org/officeDocument/2006/relationships/hyperlink" Target="https://joim.com/wp-content/uploads/emember/downloads/p0528.pdf" TargetMode="External"/><Relationship Id="rId58" Type="http://schemas.openxmlformats.org/officeDocument/2006/relationships/hyperlink" Target="https://arxiv.org/html/2511.01022v2" TargetMode="External"/><Relationship Id="rId17" Type="http://schemas.openxmlformats.org/officeDocument/2006/relationships/hyperlink" Target="https://jlem.com/documents/FG/jlem/news/634593_Jacobs_and_Levy_-_Portfolio_Insurance_Portfolio_Theory_Market_Simulation_and_Risks_of_Portfolio_Leverage.pdf" TargetMode="External"/><Relationship Id="rId16" Type="http://schemas.openxmlformats.org/officeDocument/2006/relationships/hyperlink" Target="https://www.cmegroup.com/education/files/rr-sortino-a-sharper-ratio.pdf" TargetMode="External"/><Relationship Id="rId19" Type="http://schemas.openxmlformats.org/officeDocument/2006/relationships/hyperlink" Target="https://en.wikipedia.org/wiki/Post-modern_portfolio_theory" TargetMode="External"/><Relationship Id="rId18" Type="http://schemas.openxmlformats.org/officeDocument/2006/relationships/hyperlink" Target="https://www.researchgate.net/publication/2382526_A_Brief_History_of_Downside_Risk_Meas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