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53B34" w14:textId="77777777" w:rsidR="00F6115E" w:rsidRPr="005D311B" w:rsidRDefault="00F6115E" w:rsidP="00530E72">
      <w:pPr>
        <w:pStyle w:val="Ttulo2"/>
        <w:numPr>
          <w:ilvl w:val="0"/>
          <w:numId w:val="1"/>
        </w:numPr>
        <w:tabs>
          <w:tab w:val="left" w:pos="0"/>
        </w:tabs>
        <w:jc w:val="left"/>
        <w:rPr>
          <w:rStyle w:val="Forte"/>
          <w:bCs/>
          <w:sz w:val="24"/>
          <w:szCs w:val="24"/>
        </w:rPr>
      </w:pPr>
      <w:bookmarkStart w:id="0" w:name="_Toc213918856"/>
      <w:bookmarkStart w:id="1" w:name="_Toc214023660"/>
      <w:r w:rsidRPr="00A752B9">
        <w:rPr>
          <w:rStyle w:val="Forte"/>
          <w:sz w:val="24"/>
          <w:szCs w:val="24"/>
        </w:rPr>
        <w:t>A Teoria Moderna d</w:t>
      </w:r>
      <w:r>
        <w:rPr>
          <w:rStyle w:val="Forte"/>
          <w:sz w:val="24"/>
          <w:szCs w:val="24"/>
        </w:rPr>
        <w:t>o</w:t>
      </w:r>
      <w:r w:rsidRPr="00A752B9">
        <w:rPr>
          <w:rStyle w:val="Forte"/>
          <w:sz w:val="24"/>
          <w:szCs w:val="24"/>
        </w:rPr>
        <w:t xml:space="preserve"> Portfólio (MPT)</w:t>
      </w:r>
      <w:bookmarkEnd w:id="0"/>
      <w:bookmarkEnd w:id="1"/>
    </w:p>
    <w:p w14:paraId="182D196D" w14:textId="77777777" w:rsidR="00F6115E" w:rsidRPr="005D311B" w:rsidRDefault="00F6115E" w:rsidP="00F6115E">
      <w:pPr>
        <w:rPr>
          <w:rStyle w:val="Forte"/>
          <w:b w:val="0"/>
          <w:sz w:val="24"/>
          <w:szCs w:val="24"/>
        </w:rPr>
      </w:pPr>
    </w:p>
    <w:p w14:paraId="153534C8" w14:textId="77777777" w:rsidR="00F6115E" w:rsidRPr="00C45ABC" w:rsidRDefault="00F6115E" w:rsidP="00F6115E">
      <w:pPr>
        <w:pStyle w:val="Ttulo3"/>
        <w:numPr>
          <w:ilvl w:val="2"/>
          <w:numId w:val="1"/>
        </w:numPr>
        <w:rPr>
          <w:rStyle w:val="Forte"/>
          <w:bCs/>
        </w:rPr>
      </w:pPr>
      <w:bookmarkStart w:id="2" w:name="_Toc213918857"/>
      <w:bookmarkStart w:id="3" w:name="_Toc214023661"/>
      <w:r w:rsidRPr="0048305D">
        <w:rPr>
          <w:rStyle w:val="Forte"/>
        </w:rPr>
        <w:t>O Problema da Seleção de Portfólio: A Revolução de Markowitz (1952)</w:t>
      </w:r>
      <w:bookmarkEnd w:id="2"/>
      <w:bookmarkEnd w:id="3"/>
      <w:r>
        <w:rPr>
          <w:rStyle w:val="Forte"/>
        </w:rPr>
        <w:t xml:space="preserve"> </w:t>
      </w:r>
    </w:p>
    <w:p w14:paraId="796A346C" w14:textId="63084D99" w:rsidR="00C45ABC" w:rsidRPr="005D311B" w:rsidRDefault="00C45ABC" w:rsidP="00F6115E">
      <w:pPr>
        <w:pStyle w:val="Ttulo3"/>
        <w:numPr>
          <w:ilvl w:val="2"/>
          <w:numId w:val="1"/>
        </w:numPr>
        <w:rPr>
          <w:rStyle w:val="Forte"/>
          <w:bCs/>
        </w:rPr>
      </w:pPr>
      <w:r>
        <w:rPr>
          <w:rStyle w:val="Forte"/>
        </w:rPr>
        <w:t>Definicao de risco</w:t>
      </w:r>
    </w:p>
    <w:p w14:paraId="35368964" w14:textId="77777777" w:rsidR="00F6115E" w:rsidRPr="002C632F" w:rsidRDefault="00F6115E" w:rsidP="00F6115E">
      <w:pPr>
        <w:pStyle w:val="PargrafodaLista"/>
        <w:numPr>
          <w:ilvl w:val="2"/>
          <w:numId w:val="1"/>
        </w:numPr>
        <w:spacing w:line="360" w:lineRule="auto"/>
        <w:jc w:val="both"/>
        <w:outlineLvl w:val="2"/>
        <w:rPr>
          <w:b/>
          <w:sz w:val="24"/>
        </w:rPr>
      </w:pPr>
      <w:bookmarkStart w:id="4" w:name="_Toc213918858"/>
      <w:bookmarkStart w:id="5" w:name="_Toc214023662"/>
      <w:r w:rsidRPr="002C632F">
        <w:rPr>
          <w:b/>
          <w:sz w:val="24"/>
        </w:rPr>
        <w:t>Pilares do Modelo de Otimização Média-Variância</w:t>
      </w:r>
      <w:bookmarkEnd w:id="4"/>
      <w:bookmarkEnd w:id="5"/>
    </w:p>
    <w:p w14:paraId="084185AB" w14:textId="77777777" w:rsidR="00F6115E" w:rsidRPr="00104916" w:rsidRDefault="00F6115E" w:rsidP="00F6115E">
      <w:pPr>
        <w:pStyle w:val="PargrafodaLista"/>
        <w:widowControl/>
        <w:numPr>
          <w:ilvl w:val="3"/>
          <w:numId w:val="1"/>
        </w:numPr>
        <w:autoSpaceDE/>
        <w:autoSpaceDN/>
        <w:rPr>
          <w:b/>
          <w:bCs/>
          <w:sz w:val="24"/>
          <w:szCs w:val="24"/>
          <w:lang w:val="pt-BR" w:eastAsia="pt-BR"/>
        </w:rPr>
      </w:pPr>
      <w:r w:rsidRPr="00104916">
        <w:rPr>
          <w:b/>
          <w:bCs/>
          <w:sz w:val="24"/>
          <w:szCs w:val="24"/>
          <w:lang w:val="pt-BR" w:eastAsia="pt-BR"/>
        </w:rPr>
        <w:t>Retorno Esperado (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val="pt-BR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pt-BR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pt-BR"/>
                  </w:rPr>
                  <m:t>R</m:t>
                </m:r>
              </m:e>
            </m:ba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pt-BR"/>
              </w:rPr>
              <m:t>p</m:t>
            </m:r>
          </m:sub>
        </m:sSub>
      </m:oMath>
      <w:r w:rsidRPr="00104916">
        <w:rPr>
          <w:b/>
          <w:bCs/>
          <w:sz w:val="24"/>
          <w:szCs w:val="24"/>
          <w:lang w:val="pt-BR" w:eastAsia="pt-BR"/>
        </w:rPr>
        <w:t>):</w:t>
      </w:r>
    </w:p>
    <w:p w14:paraId="54B19769" w14:textId="77777777" w:rsidR="00F6115E" w:rsidRPr="004B6627" w:rsidRDefault="00F6115E" w:rsidP="00F6115E">
      <w:pPr>
        <w:pStyle w:val="PargrafodaLista"/>
        <w:numPr>
          <w:ilvl w:val="3"/>
          <w:numId w:val="1"/>
        </w:numPr>
        <w:spacing w:line="360" w:lineRule="auto"/>
        <w:jc w:val="both"/>
        <w:rPr>
          <w:rStyle w:val="ng-star-inserted"/>
          <w:b/>
          <w:color w:val="303030"/>
          <w:sz w:val="24"/>
          <w:szCs w:val="24"/>
          <w:shd w:val="clear" w:color="auto" w:fill="FFFFFF"/>
        </w:rPr>
      </w:pPr>
      <w:r w:rsidRPr="004B6627">
        <w:rPr>
          <w:b/>
          <w:color w:val="303030"/>
          <w:sz w:val="24"/>
          <w:szCs w:val="24"/>
          <w:shd w:val="clear" w:color="auto" w:fill="FFFFFF"/>
        </w:rPr>
        <w:t xml:space="preserve">Risco (Risco Total): A Quantificação como Variância  </w:t>
      </w:r>
      <w:r>
        <w:rPr>
          <w:b/>
          <w:color w:val="303030"/>
          <w:sz w:val="24"/>
          <w:szCs w:val="24"/>
          <w:shd w:val="clear" w:color="auto" w:fill="FFFFFF"/>
        </w:rPr>
        <w:t>(</w:t>
      </w:r>
      <m:oMath>
        <m:sSubSup>
          <m:sSubSupPr>
            <m:ctrlPr>
              <w:rPr>
                <w:rFonts w:ascii="Cambria Math" w:hAnsi="Cambria Math"/>
                <w:b/>
                <w:i/>
                <w:color w:val="303030"/>
                <w:sz w:val="24"/>
                <w:szCs w:val="24"/>
                <w:shd w:val="clear" w:color="auto" w:fill="FFFFFF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color w:val="303030"/>
                <w:sz w:val="24"/>
                <w:szCs w:val="24"/>
                <w:shd w:val="clear" w:color="auto" w:fill="FFFFFF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303030"/>
                <w:sz w:val="24"/>
                <w:szCs w:val="24"/>
                <w:shd w:val="clear" w:color="auto" w:fill="FFFFFF"/>
              </w:rPr>
              <m:t>p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303030"/>
                <w:sz w:val="24"/>
                <w:szCs w:val="24"/>
                <w:shd w:val="clear" w:color="auto" w:fill="FFFFFF"/>
              </w:rPr>
              <m:t>2</m:t>
            </m:r>
          </m:sup>
        </m:sSubSup>
      </m:oMath>
      <w:r>
        <w:rPr>
          <w:b/>
          <w:color w:val="303030"/>
          <w:sz w:val="24"/>
          <w:szCs w:val="24"/>
          <w:shd w:val="clear" w:color="auto" w:fill="FFFFFF"/>
        </w:rPr>
        <w:t>)</w:t>
      </w:r>
    </w:p>
    <w:p w14:paraId="3C0A6A04" w14:textId="77777777" w:rsidR="00F6115E" w:rsidRPr="009D05CD" w:rsidRDefault="00F6115E" w:rsidP="00F6115E">
      <w:pPr>
        <w:pStyle w:val="PargrafodaLista"/>
        <w:widowControl/>
        <w:numPr>
          <w:ilvl w:val="3"/>
          <w:numId w:val="1"/>
        </w:numPr>
        <w:autoSpaceDE/>
        <w:autoSpaceDN/>
        <w:spacing w:line="300" w:lineRule="atLeast"/>
        <w:rPr>
          <w:sz w:val="24"/>
          <w:szCs w:val="24"/>
          <w:lang w:val="pt-BR" w:eastAsia="pt-BR"/>
        </w:rPr>
      </w:pPr>
      <w:r w:rsidRPr="009D05CD">
        <w:rPr>
          <w:sz w:val="24"/>
          <w:szCs w:val="24"/>
          <w:lang w:val="pt-BR" w:eastAsia="pt-BR"/>
        </w:rPr>
        <w:t>A Importância da Covariância e da Diversificação</w:t>
      </w:r>
    </w:p>
    <w:p w14:paraId="7691F13E" w14:textId="77777777" w:rsidR="00F6115E" w:rsidRPr="00A43B5C" w:rsidRDefault="00F6115E" w:rsidP="00F6115E">
      <w:pPr>
        <w:pStyle w:val="PargrafodaLista"/>
        <w:widowControl/>
        <w:numPr>
          <w:ilvl w:val="2"/>
          <w:numId w:val="1"/>
        </w:numPr>
        <w:autoSpaceDE/>
        <w:autoSpaceDN/>
        <w:spacing w:line="360" w:lineRule="auto"/>
        <w:jc w:val="both"/>
        <w:outlineLvl w:val="2"/>
        <w:rPr>
          <w:b/>
          <w:sz w:val="24"/>
          <w:szCs w:val="24"/>
          <w:lang w:val="pt-BR" w:eastAsia="pt-BR"/>
        </w:rPr>
      </w:pPr>
      <w:bookmarkStart w:id="6" w:name="_Toc213918861"/>
      <w:bookmarkStart w:id="7" w:name="_Toc214023665"/>
      <w:r>
        <w:rPr>
          <w:b/>
          <w:sz w:val="24"/>
          <w:szCs w:val="24"/>
          <w:lang w:val="pt-BR" w:eastAsia="pt-BR"/>
        </w:rPr>
        <w:t xml:space="preserve">Conjunto Viável </w:t>
      </w:r>
      <w:r w:rsidRPr="00660737">
        <w:rPr>
          <w:sz w:val="24"/>
          <w:szCs w:val="24"/>
          <w:lang w:val="pt-BR" w:eastAsia="pt-BR"/>
        </w:rPr>
        <w:t>(</w:t>
      </w:r>
      <w:proofErr w:type="spellStart"/>
      <w:r w:rsidRPr="00660737">
        <w:rPr>
          <w:sz w:val="24"/>
          <w:szCs w:val="24"/>
          <w:lang w:val="pt-BR" w:eastAsia="pt-BR"/>
        </w:rPr>
        <w:t>Feasible</w:t>
      </w:r>
      <w:proofErr w:type="spellEnd"/>
      <w:r w:rsidRPr="00660737">
        <w:rPr>
          <w:sz w:val="24"/>
          <w:szCs w:val="24"/>
          <w:lang w:val="pt-BR" w:eastAsia="pt-BR"/>
        </w:rPr>
        <w:t xml:space="preserve"> Set)</w:t>
      </w:r>
      <w:bookmarkEnd w:id="6"/>
      <w:bookmarkEnd w:id="7"/>
    </w:p>
    <w:p w14:paraId="57E0D6E7" w14:textId="77777777" w:rsidR="00F23E76" w:rsidRPr="00136FC9" w:rsidRDefault="00F23E76" w:rsidP="00F23E76">
      <w:pPr>
        <w:pStyle w:val="PargrafodaLista"/>
        <w:widowControl/>
        <w:numPr>
          <w:ilvl w:val="2"/>
          <w:numId w:val="1"/>
        </w:numPr>
        <w:autoSpaceDE/>
        <w:autoSpaceDN/>
        <w:spacing w:line="360" w:lineRule="auto"/>
        <w:jc w:val="both"/>
        <w:outlineLvl w:val="2"/>
        <w:rPr>
          <w:b/>
          <w:sz w:val="24"/>
          <w:szCs w:val="24"/>
          <w:lang w:val="pt-BR" w:eastAsia="pt-BR"/>
        </w:rPr>
      </w:pPr>
      <w:bookmarkStart w:id="8" w:name="_Toc213918862"/>
      <w:bookmarkStart w:id="9" w:name="_Toc214023666"/>
      <w:r w:rsidRPr="00A43B5C">
        <w:rPr>
          <w:sz w:val="24"/>
          <w:szCs w:val="24"/>
          <w:lang w:val="pt-BR" w:eastAsia="pt-BR"/>
        </w:rPr>
        <w:t>A Fronteira Eficiente</w:t>
      </w:r>
      <w:bookmarkEnd w:id="8"/>
      <w:bookmarkEnd w:id="9"/>
    </w:p>
    <w:p w14:paraId="67A12DAA" w14:textId="77777777" w:rsidR="00F23E76" w:rsidRPr="00342B5C" w:rsidRDefault="00F23E76" w:rsidP="00F23E76">
      <w:pPr>
        <w:pStyle w:val="PargrafodaLista"/>
        <w:widowControl/>
        <w:numPr>
          <w:ilvl w:val="2"/>
          <w:numId w:val="1"/>
        </w:numPr>
        <w:autoSpaceDE/>
        <w:autoSpaceDN/>
        <w:spacing w:line="360" w:lineRule="auto"/>
        <w:jc w:val="both"/>
        <w:outlineLvl w:val="2"/>
        <w:rPr>
          <w:b/>
          <w:sz w:val="24"/>
          <w:szCs w:val="24"/>
          <w:lang w:val="pt-BR" w:eastAsia="pt-BR"/>
        </w:rPr>
      </w:pPr>
      <w:bookmarkStart w:id="10" w:name="_Toc213918863"/>
      <w:bookmarkStart w:id="11" w:name="_Toc214023667"/>
      <w:r w:rsidRPr="00EB27FF">
        <w:rPr>
          <w:sz w:val="24"/>
          <w:szCs w:val="24"/>
          <w:lang w:val="pt-BR" w:eastAsia="pt-BR"/>
        </w:rPr>
        <w:t>O Portfólio de Mínima Variância Global (PMVG)</w:t>
      </w:r>
      <w:bookmarkEnd w:id="10"/>
      <w:bookmarkEnd w:id="11"/>
    </w:p>
    <w:p w14:paraId="2D61B31E" w14:textId="77777777" w:rsidR="00F23E76" w:rsidRPr="00555DDF" w:rsidRDefault="00F23E76" w:rsidP="00F23E76">
      <w:pPr>
        <w:pStyle w:val="PargrafodaLista"/>
        <w:widowControl/>
        <w:numPr>
          <w:ilvl w:val="1"/>
          <w:numId w:val="1"/>
        </w:numPr>
        <w:autoSpaceDE/>
        <w:autoSpaceDN/>
        <w:spacing w:line="360" w:lineRule="auto"/>
        <w:jc w:val="both"/>
        <w:outlineLvl w:val="2"/>
        <w:rPr>
          <w:b/>
          <w:sz w:val="24"/>
          <w:szCs w:val="24"/>
          <w:lang w:val="pt-BR" w:eastAsia="pt-BR"/>
        </w:rPr>
      </w:pPr>
      <w:bookmarkStart w:id="12" w:name="_Toc213918864"/>
      <w:bookmarkStart w:id="13" w:name="_Toc214023668"/>
      <w:r w:rsidRPr="00342B5C">
        <w:rPr>
          <w:sz w:val="24"/>
          <w:szCs w:val="24"/>
          <w:lang w:val="pt-BR" w:eastAsia="pt-BR"/>
        </w:rPr>
        <w:t>A Introdução do Ativo Livre de Risco e o Portfólio Ótimo</w:t>
      </w:r>
      <w:bookmarkEnd w:id="12"/>
      <w:bookmarkEnd w:id="13"/>
    </w:p>
    <w:p w14:paraId="18215001" w14:textId="77777777" w:rsidR="00F23E76" w:rsidRPr="00FB7881" w:rsidRDefault="00F23E76" w:rsidP="00F23E76">
      <w:pPr>
        <w:pStyle w:val="PargrafodaLista"/>
        <w:widowControl/>
        <w:numPr>
          <w:ilvl w:val="2"/>
          <w:numId w:val="1"/>
        </w:numPr>
        <w:autoSpaceDE/>
        <w:autoSpaceDN/>
        <w:spacing w:line="360" w:lineRule="auto"/>
        <w:jc w:val="both"/>
        <w:outlineLvl w:val="2"/>
        <w:rPr>
          <w:b/>
          <w:sz w:val="24"/>
          <w:szCs w:val="24"/>
          <w:lang w:val="pt-BR" w:eastAsia="pt-BR"/>
        </w:rPr>
      </w:pPr>
      <w:bookmarkStart w:id="14" w:name="_Toc213918865"/>
      <w:bookmarkStart w:id="15" w:name="_Toc214023669"/>
      <w:r w:rsidRPr="00342B5C">
        <w:rPr>
          <w:sz w:val="24"/>
          <w:szCs w:val="24"/>
          <w:lang w:val="pt-BR" w:eastAsia="pt-BR"/>
        </w:rPr>
        <w:t>O Princípio da Separação e a Reta do Mercado de Capitais (CML)</w:t>
      </w:r>
      <w:bookmarkEnd w:id="14"/>
      <w:bookmarkEnd w:id="15"/>
    </w:p>
    <w:p w14:paraId="5107027D" w14:textId="77777777" w:rsidR="00F23E76" w:rsidRPr="00F7705C" w:rsidRDefault="00F23E76" w:rsidP="00F23E76">
      <w:pPr>
        <w:pStyle w:val="PargrafodaLista"/>
        <w:widowControl/>
        <w:numPr>
          <w:ilvl w:val="1"/>
          <w:numId w:val="1"/>
        </w:numPr>
        <w:autoSpaceDE/>
        <w:autoSpaceDN/>
        <w:spacing w:line="360" w:lineRule="auto"/>
        <w:jc w:val="both"/>
        <w:outlineLvl w:val="2"/>
        <w:rPr>
          <w:b/>
          <w:sz w:val="24"/>
          <w:szCs w:val="24"/>
          <w:lang w:val="pt-BR" w:eastAsia="pt-BR"/>
        </w:rPr>
      </w:pPr>
      <w:bookmarkStart w:id="16" w:name="_Toc213918866"/>
      <w:bookmarkStart w:id="17" w:name="_Toc214023670"/>
      <w:r>
        <w:rPr>
          <w:rFonts w:ascii="Arial" w:hAnsi="Arial" w:cs="Arial"/>
          <w:color w:val="303030"/>
          <w:sz w:val="21"/>
          <w:szCs w:val="21"/>
          <w:shd w:val="clear" w:color="auto" w:fill="FFFFFF"/>
        </w:rPr>
        <w:t>O Portfólio de Tangência e a Universalidade da Alocação de Ativos</w:t>
      </w:r>
      <w:bookmarkEnd w:id="16"/>
      <w:bookmarkEnd w:id="17"/>
    </w:p>
    <w:p w14:paraId="14F7643B" w14:textId="77777777" w:rsidR="00F7705C" w:rsidRPr="00AD38AA" w:rsidRDefault="00F7705C" w:rsidP="00F7705C">
      <w:pPr>
        <w:pStyle w:val="PargrafodaLista"/>
        <w:widowControl/>
        <w:numPr>
          <w:ilvl w:val="1"/>
          <w:numId w:val="1"/>
        </w:numPr>
        <w:autoSpaceDE/>
        <w:autoSpaceDN/>
        <w:spacing w:line="360" w:lineRule="auto"/>
        <w:jc w:val="both"/>
        <w:outlineLvl w:val="1"/>
        <w:rPr>
          <w:b/>
          <w:sz w:val="24"/>
          <w:szCs w:val="24"/>
          <w:lang w:val="pt-BR" w:eastAsia="pt-BR"/>
        </w:rPr>
      </w:pPr>
      <w:bookmarkStart w:id="18" w:name="_Toc213918870"/>
      <w:bookmarkStart w:id="19" w:name="_Toc214023674"/>
      <w:r w:rsidRPr="00AD38AA">
        <w:rPr>
          <w:b/>
        </w:rPr>
        <w:t>Métricas e Modelos de Equilíbrio Derivados da MPT</w:t>
      </w:r>
      <w:bookmarkEnd w:id="18"/>
      <w:bookmarkEnd w:id="19"/>
    </w:p>
    <w:p w14:paraId="71CCF7B5" w14:textId="77777777" w:rsidR="00F23E76" w:rsidRPr="0035479F" w:rsidRDefault="00F23E76" w:rsidP="00F7705C">
      <w:pPr>
        <w:pStyle w:val="PargrafodaLista"/>
        <w:widowControl/>
        <w:numPr>
          <w:ilvl w:val="2"/>
          <w:numId w:val="1"/>
        </w:numPr>
        <w:autoSpaceDE/>
        <w:autoSpaceDN/>
        <w:spacing w:line="360" w:lineRule="auto"/>
        <w:jc w:val="both"/>
        <w:outlineLvl w:val="2"/>
        <w:rPr>
          <w:b/>
          <w:sz w:val="24"/>
          <w:szCs w:val="24"/>
          <w:lang w:val="pt-BR" w:eastAsia="pt-BR"/>
        </w:rPr>
      </w:pPr>
      <w:bookmarkStart w:id="20" w:name="_Toc213918867"/>
      <w:bookmarkStart w:id="21" w:name="_Toc214023671"/>
      <w:r w:rsidRPr="00342B5C">
        <w:rPr>
          <w:sz w:val="24"/>
          <w:szCs w:val="24"/>
          <w:lang w:val="pt-BR" w:eastAsia="pt-BR"/>
        </w:rPr>
        <w:t>O Índice de Sharpe</w:t>
      </w:r>
      <w:bookmarkEnd w:id="20"/>
      <w:bookmarkEnd w:id="21"/>
    </w:p>
    <w:p w14:paraId="5F47D782" w14:textId="77777777" w:rsidR="00F7705C" w:rsidRPr="00184452" w:rsidRDefault="00F7705C" w:rsidP="00F7705C">
      <w:pPr>
        <w:pStyle w:val="PargrafodaLista"/>
        <w:widowControl/>
        <w:numPr>
          <w:ilvl w:val="2"/>
          <w:numId w:val="1"/>
        </w:numPr>
        <w:autoSpaceDE/>
        <w:autoSpaceDN/>
        <w:spacing w:line="360" w:lineRule="auto"/>
        <w:jc w:val="both"/>
        <w:outlineLvl w:val="2"/>
        <w:rPr>
          <w:b/>
          <w:sz w:val="24"/>
          <w:szCs w:val="24"/>
          <w:lang w:val="pt-BR" w:eastAsia="pt-BR"/>
        </w:rPr>
      </w:pPr>
      <w:bookmarkStart w:id="22" w:name="_Toc213918872"/>
      <w:bookmarkStart w:id="23" w:name="_Toc214023676"/>
      <w:r>
        <w:rPr>
          <w:rFonts w:ascii="Arial" w:hAnsi="Arial" w:cs="Arial"/>
          <w:color w:val="131314"/>
          <w:sz w:val="21"/>
          <w:szCs w:val="21"/>
          <w:shd w:val="clear" w:color="auto" w:fill="FFFFFF"/>
        </w:rPr>
        <w:t>O Capital Asset Pricing Model (CAPM): O Modelo de Equilíbrio</w:t>
      </w:r>
      <w:bookmarkEnd w:id="22"/>
      <w:bookmarkEnd w:id="23"/>
    </w:p>
    <w:p w14:paraId="622380B3" w14:textId="77777777" w:rsidR="008B2713" w:rsidRPr="00591112" w:rsidRDefault="008B2713" w:rsidP="008B2713">
      <w:pPr>
        <w:pStyle w:val="PargrafodaLista"/>
        <w:widowControl/>
        <w:numPr>
          <w:ilvl w:val="3"/>
          <w:numId w:val="1"/>
        </w:numPr>
        <w:autoSpaceDE/>
        <w:autoSpaceDN/>
        <w:spacing w:line="360" w:lineRule="auto"/>
        <w:jc w:val="both"/>
        <w:outlineLvl w:val="2"/>
        <w:rPr>
          <w:rStyle w:val="ng-star-inserted"/>
          <w:b/>
          <w:sz w:val="24"/>
          <w:szCs w:val="24"/>
          <w:lang w:val="pt-BR" w:eastAsia="pt-BR"/>
        </w:rPr>
      </w:pPr>
      <w:bookmarkStart w:id="24" w:name="_Toc213918873"/>
      <w:bookmarkStart w:id="25" w:name="_Toc214023677"/>
      <w:r>
        <w:rPr>
          <w:rStyle w:val="ng-star-inserted"/>
          <w:rFonts w:ascii="Arial" w:hAnsi="Arial" w:cs="Arial"/>
          <w:color w:val="131314"/>
          <w:sz w:val="21"/>
          <w:szCs w:val="21"/>
          <w:shd w:val="clear" w:color="auto" w:fill="FFFFFF"/>
        </w:rPr>
        <w:t>O Coeficiente Beta (</w:t>
      </w:r>
      <w:r>
        <w:rPr>
          <w:rStyle w:val="mord"/>
          <w:rFonts w:ascii="KaTeX_Math" w:hAnsi="KaTeX_Math" w:cs="Arial"/>
          <w:i/>
          <w:iCs/>
          <w:color w:val="131314"/>
          <w:sz w:val="25"/>
          <w:szCs w:val="25"/>
          <w:shd w:val="clear" w:color="auto" w:fill="FFFFFF"/>
        </w:rPr>
        <w:t>β</w:t>
      </w:r>
      <w:r>
        <w:rPr>
          <w:rStyle w:val="ng-star-inserted"/>
          <w:rFonts w:ascii="Arial" w:hAnsi="Arial" w:cs="Arial"/>
          <w:color w:val="131314"/>
          <w:sz w:val="21"/>
          <w:szCs w:val="21"/>
          <w:shd w:val="clear" w:color="auto" w:fill="FFFFFF"/>
        </w:rPr>
        <w:t>): A Medida de Risco Sistemático</w:t>
      </w:r>
      <w:bookmarkEnd w:id="24"/>
      <w:bookmarkEnd w:id="25"/>
    </w:p>
    <w:p w14:paraId="070D3124" w14:textId="77777777" w:rsidR="008B2713" w:rsidRPr="00417587" w:rsidRDefault="008B2713" w:rsidP="008B2713">
      <w:pPr>
        <w:pStyle w:val="PargrafodaLista"/>
        <w:widowControl/>
        <w:numPr>
          <w:ilvl w:val="2"/>
          <w:numId w:val="1"/>
        </w:numPr>
        <w:autoSpaceDE/>
        <w:autoSpaceDN/>
        <w:spacing w:line="360" w:lineRule="auto"/>
        <w:jc w:val="both"/>
        <w:outlineLvl w:val="2"/>
        <w:rPr>
          <w:b/>
          <w:sz w:val="24"/>
          <w:szCs w:val="24"/>
          <w:lang w:val="pt-BR" w:eastAsia="pt-BR"/>
        </w:rPr>
      </w:pPr>
      <w:bookmarkStart w:id="26" w:name="_Toc213918874"/>
      <w:bookmarkStart w:id="27" w:name="_Toc214023678"/>
      <w:r w:rsidRPr="00591112">
        <w:rPr>
          <w:rFonts w:ascii="Arial" w:hAnsi="Arial" w:cs="Arial"/>
          <w:sz w:val="21"/>
          <w:szCs w:val="21"/>
          <w:lang w:val="pt-BR" w:eastAsia="pt-BR"/>
        </w:rPr>
        <w:t>A Reta do Mercado de Títulos (SML)</w:t>
      </w:r>
      <w:bookmarkEnd w:id="26"/>
      <w:bookmarkEnd w:id="27"/>
    </w:p>
    <w:p w14:paraId="2022EAF3" w14:textId="77777777" w:rsidR="008B2713" w:rsidRPr="006B2F5C" w:rsidRDefault="008B2713" w:rsidP="008B2713">
      <w:pPr>
        <w:pStyle w:val="PargrafodaLista"/>
        <w:widowControl/>
        <w:numPr>
          <w:ilvl w:val="3"/>
          <w:numId w:val="1"/>
        </w:numPr>
        <w:autoSpaceDE/>
        <w:autoSpaceDN/>
        <w:spacing w:line="360" w:lineRule="auto"/>
        <w:jc w:val="both"/>
        <w:outlineLvl w:val="2"/>
        <w:rPr>
          <w:b/>
          <w:sz w:val="24"/>
          <w:szCs w:val="24"/>
          <w:lang w:val="pt-BR" w:eastAsia="pt-BR"/>
        </w:rPr>
      </w:pPr>
      <w:bookmarkStart w:id="28" w:name="_Toc213918875"/>
      <w:bookmarkStart w:id="29" w:name="_Toc214023679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>Diferença entre CML e SML:</w:t>
      </w:r>
      <w:bookmarkEnd w:id="28"/>
      <w:bookmarkEnd w:id="29"/>
    </w:p>
    <w:p w14:paraId="769C40F1" w14:textId="77777777" w:rsidR="008B2713" w:rsidRDefault="008B2713" w:rsidP="008B2713">
      <w:pPr>
        <w:pStyle w:val="PargrafodaLista"/>
        <w:widowControl/>
        <w:numPr>
          <w:ilvl w:val="1"/>
          <w:numId w:val="1"/>
        </w:numPr>
        <w:autoSpaceDE/>
        <w:autoSpaceDN/>
        <w:spacing w:line="360" w:lineRule="auto"/>
        <w:jc w:val="both"/>
        <w:outlineLvl w:val="2"/>
        <w:rPr>
          <w:b/>
          <w:sz w:val="24"/>
          <w:szCs w:val="24"/>
          <w:lang w:val="pt-BR" w:eastAsia="pt-BR"/>
        </w:rPr>
      </w:pPr>
      <w:bookmarkStart w:id="30" w:name="_Toc213918876"/>
      <w:bookmarkStart w:id="31" w:name="_Toc214023680"/>
      <w:r w:rsidRPr="008B1DAB">
        <w:rPr>
          <w:sz w:val="24"/>
          <w:szCs w:val="24"/>
          <w:lang w:val="pt-BR" w:eastAsia="pt-BR"/>
        </w:rPr>
        <w:t>Premissas Fundamentais, Críticas e Limitações Práticas</w:t>
      </w:r>
      <w:bookmarkEnd w:id="30"/>
      <w:bookmarkEnd w:id="31"/>
      <w:r>
        <w:rPr>
          <w:b/>
          <w:sz w:val="24"/>
          <w:szCs w:val="24"/>
          <w:lang w:val="pt-BR" w:eastAsia="pt-BR"/>
        </w:rPr>
        <w:t xml:space="preserve"> </w:t>
      </w:r>
    </w:p>
    <w:p w14:paraId="6374677E" w14:textId="77777777" w:rsidR="008B2713" w:rsidRPr="004C58DE" w:rsidRDefault="008B2713" w:rsidP="008B2713">
      <w:pPr>
        <w:pStyle w:val="PargrafodaLista"/>
        <w:widowControl/>
        <w:numPr>
          <w:ilvl w:val="2"/>
          <w:numId w:val="1"/>
        </w:numPr>
        <w:autoSpaceDE/>
        <w:autoSpaceDN/>
        <w:spacing w:line="360" w:lineRule="auto"/>
        <w:jc w:val="both"/>
        <w:outlineLvl w:val="2"/>
        <w:rPr>
          <w:b/>
          <w:sz w:val="24"/>
          <w:szCs w:val="24"/>
          <w:lang w:val="pt-BR" w:eastAsia="pt-BR"/>
        </w:rPr>
      </w:pPr>
      <w:bookmarkStart w:id="32" w:name="_Toc213918879"/>
      <w:bookmarkStart w:id="33" w:name="_Toc214023683"/>
      <w:r>
        <w:rPr>
          <w:rFonts w:ascii="Arial" w:hAnsi="Arial" w:cs="Arial"/>
          <w:color w:val="131314"/>
          <w:sz w:val="21"/>
          <w:szCs w:val="21"/>
          <w:shd w:val="clear" w:color="auto" w:fill="FFFFFF"/>
        </w:rPr>
        <w:t>Crítica à Premissa de Normalidade e a Evolução do Risco</w:t>
      </w:r>
      <w:bookmarkEnd w:id="32"/>
      <w:bookmarkEnd w:id="33"/>
    </w:p>
    <w:p w14:paraId="03B3360D" w14:textId="77777777" w:rsidR="008B2713" w:rsidRPr="008A07EB" w:rsidRDefault="008B2713" w:rsidP="008B2713">
      <w:pPr>
        <w:pStyle w:val="PargrafodaLista"/>
        <w:widowControl/>
        <w:numPr>
          <w:ilvl w:val="2"/>
          <w:numId w:val="1"/>
        </w:numPr>
        <w:autoSpaceDE/>
        <w:autoSpaceDN/>
        <w:spacing w:line="360" w:lineRule="auto"/>
        <w:jc w:val="both"/>
        <w:outlineLvl w:val="2"/>
        <w:rPr>
          <w:b/>
          <w:sz w:val="24"/>
          <w:szCs w:val="24"/>
          <w:lang w:val="pt-BR" w:eastAsia="pt-BR"/>
        </w:rPr>
      </w:pPr>
      <w:bookmarkStart w:id="34" w:name="_Toc213918880"/>
      <w:bookmarkStart w:id="35" w:name="_Toc214023684"/>
      <w:r>
        <w:rPr>
          <w:rFonts w:ascii="Arial" w:hAnsi="Arial" w:cs="Arial"/>
          <w:color w:val="131314"/>
          <w:sz w:val="21"/>
          <w:szCs w:val="21"/>
          <w:shd w:val="clear" w:color="auto" w:fill="FFFFFF"/>
        </w:rPr>
        <w:t>A Justificativa para Extensões e Modelos Alternativos</w:t>
      </w:r>
      <w:bookmarkEnd w:id="34"/>
      <w:bookmarkEnd w:id="35"/>
    </w:p>
    <w:p w14:paraId="0D2D4C12" w14:textId="77777777" w:rsidR="00530E72" w:rsidRPr="00256949" w:rsidRDefault="00530E72" w:rsidP="00530E72">
      <w:pPr>
        <w:pStyle w:val="PargrafodaLista"/>
        <w:widowControl/>
        <w:numPr>
          <w:ilvl w:val="0"/>
          <w:numId w:val="1"/>
        </w:numPr>
        <w:autoSpaceDE/>
        <w:autoSpaceDN/>
        <w:spacing w:line="360" w:lineRule="auto"/>
        <w:jc w:val="both"/>
        <w:outlineLvl w:val="2"/>
        <w:rPr>
          <w:b/>
          <w:sz w:val="24"/>
          <w:szCs w:val="24"/>
          <w:lang w:val="pt-BR" w:eastAsia="pt-BR"/>
        </w:rPr>
      </w:pPr>
      <w:bookmarkStart w:id="36" w:name="_Toc213918881"/>
      <w:bookmarkStart w:id="37" w:name="_Toc214023685"/>
      <w:r w:rsidRPr="008A07EB">
        <w:rPr>
          <w:b/>
          <w:bCs/>
          <w:sz w:val="24"/>
          <w:szCs w:val="24"/>
          <w:lang w:val="pt-BR" w:eastAsia="pt-BR"/>
        </w:rPr>
        <w:t>Pós-Moderna Teoria do Portfólio (PMPT) e Métricas Assimétricas:</w:t>
      </w:r>
      <w:bookmarkEnd w:id="36"/>
      <w:bookmarkEnd w:id="37"/>
    </w:p>
    <w:p w14:paraId="1DCBFC9F" w14:textId="77777777" w:rsidR="00080D69" w:rsidRPr="002330D9" w:rsidRDefault="00080D69" w:rsidP="00080D69">
      <w:pPr>
        <w:pStyle w:val="PargrafodaLista"/>
        <w:widowControl/>
        <w:numPr>
          <w:ilvl w:val="1"/>
          <w:numId w:val="1"/>
        </w:numPr>
        <w:autoSpaceDE/>
        <w:autoSpaceDN/>
        <w:jc w:val="both"/>
        <w:rPr>
          <w:sz w:val="24"/>
          <w:szCs w:val="24"/>
          <w:lang w:val="pt-BR" w:eastAsia="pt-BR"/>
        </w:rPr>
      </w:pPr>
      <w:r w:rsidRPr="002330D9">
        <w:rPr>
          <w:b/>
          <w:bCs/>
          <w:sz w:val="24"/>
          <w:szCs w:val="24"/>
          <w:lang w:val="pt-BR" w:eastAsia="pt-BR"/>
        </w:rPr>
        <w:t xml:space="preserve">Métricas de Risco de Baixa: </w:t>
      </w:r>
      <w:r w:rsidRPr="002330D9">
        <w:rPr>
          <w:sz w:val="24"/>
          <w:szCs w:val="24"/>
          <w:lang w:val="pt-BR" w:eastAsia="pt-BR"/>
        </w:rPr>
        <w:t>A PMPT utiliza métricas que penalizam apenas os desvios abaixo de um alvo, incluindo:</w:t>
      </w:r>
    </w:p>
    <w:p w14:paraId="35A72E70" w14:textId="77777777" w:rsidR="00080D69" w:rsidRPr="002330D9" w:rsidRDefault="00080D69" w:rsidP="00080D69">
      <w:pPr>
        <w:pStyle w:val="PargrafodaLista"/>
        <w:widowControl/>
        <w:numPr>
          <w:ilvl w:val="1"/>
          <w:numId w:val="1"/>
        </w:numPr>
        <w:autoSpaceDE/>
        <w:autoSpaceDN/>
        <w:jc w:val="both"/>
        <w:rPr>
          <w:sz w:val="24"/>
          <w:szCs w:val="24"/>
          <w:lang w:val="pt-BR" w:eastAsia="pt-BR"/>
        </w:rPr>
      </w:pPr>
      <w:proofErr w:type="spellStart"/>
      <w:r w:rsidRPr="002330D9">
        <w:rPr>
          <w:b/>
          <w:bCs/>
          <w:sz w:val="24"/>
          <w:szCs w:val="24"/>
          <w:lang w:val="pt-BR" w:eastAsia="pt-BR"/>
        </w:rPr>
        <w:t>Semivariância</w:t>
      </w:r>
      <w:proofErr w:type="spellEnd"/>
      <w:r w:rsidRPr="002330D9">
        <w:rPr>
          <w:b/>
          <w:bCs/>
          <w:sz w:val="24"/>
          <w:szCs w:val="24"/>
          <w:lang w:val="pt-BR" w:eastAsia="pt-BR"/>
        </w:rPr>
        <w:t xml:space="preserve"> e Lower </w:t>
      </w:r>
      <w:proofErr w:type="spellStart"/>
      <w:r w:rsidRPr="002330D9">
        <w:rPr>
          <w:b/>
          <w:bCs/>
          <w:sz w:val="24"/>
          <w:szCs w:val="24"/>
          <w:lang w:val="pt-BR" w:eastAsia="pt-BR"/>
        </w:rPr>
        <w:t>Partial</w:t>
      </w:r>
      <w:proofErr w:type="spellEnd"/>
      <w:r w:rsidRPr="002330D9">
        <w:rPr>
          <w:b/>
          <w:bCs/>
          <w:sz w:val="24"/>
          <w:szCs w:val="24"/>
          <w:lang w:val="pt-BR" w:eastAsia="pt-BR"/>
        </w:rPr>
        <w:t xml:space="preserve"> </w:t>
      </w:r>
      <w:proofErr w:type="spellStart"/>
      <w:r w:rsidRPr="002330D9">
        <w:rPr>
          <w:b/>
          <w:bCs/>
          <w:sz w:val="24"/>
          <w:szCs w:val="24"/>
          <w:lang w:val="pt-BR" w:eastAsia="pt-BR"/>
        </w:rPr>
        <w:t>Moment</w:t>
      </w:r>
      <w:proofErr w:type="spellEnd"/>
      <w:r w:rsidRPr="002330D9">
        <w:rPr>
          <w:b/>
          <w:bCs/>
          <w:sz w:val="24"/>
          <w:szCs w:val="24"/>
          <w:lang w:val="pt-BR" w:eastAsia="pt-BR"/>
        </w:rPr>
        <w:t xml:space="preserve"> (LPM):</w:t>
      </w:r>
      <w:r>
        <w:rPr>
          <w:sz w:val="24"/>
          <w:szCs w:val="24"/>
          <w:lang w:val="pt-BR" w:eastAsia="pt-BR"/>
        </w:rPr>
        <w:t xml:space="preserve"> </w:t>
      </w:r>
      <w:r w:rsidRPr="002330D9">
        <w:rPr>
          <w:sz w:val="24"/>
          <w:szCs w:val="24"/>
          <w:lang w:val="pt-BR" w:eastAsia="pt-BR"/>
        </w:rPr>
        <w:t>Focam na volatilidade ou dispersão dos retornos negativos.</w:t>
      </w:r>
    </w:p>
    <w:p w14:paraId="69AD4DE2" w14:textId="77777777" w:rsidR="00080D69" w:rsidRPr="002330D9" w:rsidRDefault="00080D69" w:rsidP="00080D69">
      <w:pPr>
        <w:pStyle w:val="PargrafodaLista"/>
        <w:widowControl/>
        <w:numPr>
          <w:ilvl w:val="1"/>
          <w:numId w:val="1"/>
        </w:numPr>
        <w:autoSpaceDE/>
        <w:autoSpaceDN/>
        <w:jc w:val="both"/>
        <w:rPr>
          <w:sz w:val="24"/>
          <w:szCs w:val="24"/>
          <w:lang w:val="pt-BR" w:eastAsia="pt-BR"/>
        </w:rPr>
      </w:pPr>
      <w:proofErr w:type="spellStart"/>
      <w:r w:rsidRPr="002330D9">
        <w:rPr>
          <w:b/>
          <w:bCs/>
          <w:sz w:val="24"/>
          <w:szCs w:val="24"/>
          <w:lang w:val="pt-BR" w:eastAsia="pt-BR"/>
        </w:rPr>
        <w:t>Value</w:t>
      </w:r>
      <w:proofErr w:type="spellEnd"/>
      <w:r w:rsidRPr="002330D9">
        <w:rPr>
          <w:b/>
          <w:bCs/>
          <w:sz w:val="24"/>
          <w:szCs w:val="24"/>
          <w:lang w:val="pt-BR" w:eastAsia="pt-BR"/>
        </w:rPr>
        <w:t xml:space="preserve"> </w:t>
      </w:r>
      <w:proofErr w:type="spellStart"/>
      <w:r w:rsidRPr="002330D9">
        <w:rPr>
          <w:b/>
          <w:bCs/>
          <w:sz w:val="24"/>
          <w:szCs w:val="24"/>
          <w:lang w:val="pt-BR" w:eastAsia="pt-BR"/>
        </w:rPr>
        <w:t>at</w:t>
      </w:r>
      <w:proofErr w:type="spellEnd"/>
      <w:r w:rsidRPr="002330D9">
        <w:rPr>
          <w:b/>
          <w:bCs/>
          <w:sz w:val="24"/>
          <w:szCs w:val="24"/>
          <w:lang w:val="pt-BR" w:eastAsia="pt-BR"/>
        </w:rPr>
        <w:t xml:space="preserve"> Risk (</w:t>
      </w:r>
      <w:proofErr w:type="spellStart"/>
      <w:r w:rsidRPr="002330D9">
        <w:rPr>
          <w:b/>
          <w:bCs/>
          <w:sz w:val="24"/>
          <w:szCs w:val="24"/>
          <w:lang w:val="pt-BR" w:eastAsia="pt-BR"/>
        </w:rPr>
        <w:t>VaR</w:t>
      </w:r>
      <w:proofErr w:type="spellEnd"/>
      <w:r w:rsidRPr="002330D9">
        <w:rPr>
          <w:b/>
          <w:bCs/>
          <w:sz w:val="24"/>
          <w:szCs w:val="24"/>
          <w:lang w:val="pt-BR" w:eastAsia="pt-BR"/>
        </w:rPr>
        <w:t>):</w:t>
      </w:r>
      <w:r>
        <w:rPr>
          <w:sz w:val="24"/>
          <w:szCs w:val="24"/>
          <w:lang w:val="pt-BR" w:eastAsia="pt-BR"/>
        </w:rPr>
        <w:t xml:space="preserve"> </w:t>
      </w:r>
      <w:r w:rsidRPr="002330D9">
        <w:rPr>
          <w:sz w:val="24"/>
          <w:szCs w:val="24"/>
          <w:lang w:val="pt-BR" w:eastAsia="pt-BR"/>
        </w:rPr>
        <w:t xml:space="preserve">Estima a perda máxima esperada em um determinado nível de confiança. O </w:t>
      </w:r>
      <w:proofErr w:type="spellStart"/>
      <w:r w:rsidRPr="002330D9">
        <w:rPr>
          <w:sz w:val="24"/>
          <w:szCs w:val="24"/>
          <w:lang w:val="pt-BR" w:eastAsia="pt-BR"/>
        </w:rPr>
        <w:t>VaR</w:t>
      </w:r>
      <w:proofErr w:type="spellEnd"/>
      <w:r w:rsidRPr="002330D9">
        <w:rPr>
          <w:sz w:val="24"/>
          <w:szCs w:val="24"/>
          <w:lang w:val="pt-BR" w:eastAsia="pt-BR"/>
        </w:rPr>
        <w:t xml:space="preserve"> é uma ferramenta que enriquece a gestão de risco na otimização de portfólios.</w:t>
      </w:r>
    </w:p>
    <w:p w14:paraId="3891D714" w14:textId="77777777" w:rsidR="00080D69" w:rsidRPr="002330D9" w:rsidRDefault="00080D69" w:rsidP="00080D69">
      <w:pPr>
        <w:pStyle w:val="PargrafodaLista"/>
        <w:widowControl/>
        <w:numPr>
          <w:ilvl w:val="1"/>
          <w:numId w:val="1"/>
        </w:numPr>
        <w:autoSpaceDE/>
        <w:autoSpaceDN/>
        <w:jc w:val="both"/>
        <w:rPr>
          <w:sz w:val="24"/>
          <w:szCs w:val="24"/>
          <w:lang w:val="pt-BR" w:eastAsia="pt-BR"/>
        </w:rPr>
      </w:pPr>
      <w:proofErr w:type="spellStart"/>
      <w:r w:rsidRPr="002330D9">
        <w:rPr>
          <w:b/>
          <w:bCs/>
          <w:sz w:val="24"/>
          <w:szCs w:val="24"/>
          <w:lang w:val="pt-BR" w:eastAsia="pt-BR"/>
        </w:rPr>
        <w:t>Conditional</w:t>
      </w:r>
      <w:proofErr w:type="spellEnd"/>
      <w:r w:rsidRPr="002330D9">
        <w:rPr>
          <w:b/>
          <w:bCs/>
          <w:sz w:val="24"/>
          <w:szCs w:val="24"/>
          <w:lang w:val="pt-BR" w:eastAsia="pt-BR"/>
        </w:rPr>
        <w:t xml:space="preserve"> </w:t>
      </w:r>
      <w:proofErr w:type="spellStart"/>
      <w:r w:rsidRPr="002330D9">
        <w:rPr>
          <w:b/>
          <w:bCs/>
          <w:sz w:val="24"/>
          <w:szCs w:val="24"/>
          <w:lang w:val="pt-BR" w:eastAsia="pt-BR"/>
        </w:rPr>
        <w:t>Value</w:t>
      </w:r>
      <w:proofErr w:type="spellEnd"/>
      <w:r w:rsidRPr="002330D9">
        <w:rPr>
          <w:b/>
          <w:bCs/>
          <w:sz w:val="24"/>
          <w:szCs w:val="24"/>
          <w:lang w:val="pt-BR" w:eastAsia="pt-BR"/>
        </w:rPr>
        <w:t xml:space="preserve"> </w:t>
      </w:r>
      <w:proofErr w:type="spellStart"/>
      <w:r w:rsidRPr="002330D9">
        <w:rPr>
          <w:b/>
          <w:bCs/>
          <w:sz w:val="24"/>
          <w:szCs w:val="24"/>
          <w:lang w:val="pt-BR" w:eastAsia="pt-BR"/>
        </w:rPr>
        <w:t>at</w:t>
      </w:r>
      <w:proofErr w:type="spellEnd"/>
      <w:r w:rsidRPr="002330D9">
        <w:rPr>
          <w:b/>
          <w:bCs/>
          <w:sz w:val="24"/>
          <w:szCs w:val="24"/>
          <w:lang w:val="pt-BR" w:eastAsia="pt-BR"/>
        </w:rPr>
        <w:t xml:space="preserve"> Risk (</w:t>
      </w:r>
      <w:proofErr w:type="spellStart"/>
      <w:r w:rsidRPr="002330D9">
        <w:rPr>
          <w:b/>
          <w:bCs/>
          <w:sz w:val="24"/>
          <w:szCs w:val="24"/>
          <w:lang w:val="pt-BR" w:eastAsia="pt-BR"/>
        </w:rPr>
        <w:t>CVaR</w:t>
      </w:r>
      <w:proofErr w:type="spellEnd"/>
      <w:r w:rsidRPr="002330D9">
        <w:rPr>
          <w:b/>
          <w:bCs/>
          <w:sz w:val="24"/>
          <w:szCs w:val="24"/>
          <w:lang w:val="pt-BR" w:eastAsia="pt-BR"/>
        </w:rPr>
        <w:t>):</w:t>
      </w:r>
      <w:r>
        <w:rPr>
          <w:sz w:val="24"/>
          <w:szCs w:val="24"/>
          <w:lang w:val="pt-BR" w:eastAsia="pt-BR"/>
        </w:rPr>
        <w:t xml:space="preserve"> </w:t>
      </w:r>
      <w:r w:rsidRPr="002330D9">
        <w:rPr>
          <w:sz w:val="24"/>
          <w:szCs w:val="24"/>
          <w:lang w:val="pt-BR" w:eastAsia="pt-BR"/>
        </w:rPr>
        <w:t xml:space="preserve">Mede a perda média que excede o </w:t>
      </w:r>
      <w:proofErr w:type="spellStart"/>
      <w:r w:rsidRPr="002330D9">
        <w:rPr>
          <w:sz w:val="24"/>
          <w:szCs w:val="24"/>
          <w:lang w:val="pt-BR" w:eastAsia="pt-BR"/>
        </w:rPr>
        <w:t>VaR</w:t>
      </w:r>
      <w:proofErr w:type="spellEnd"/>
      <w:r w:rsidRPr="002330D9">
        <w:rPr>
          <w:sz w:val="24"/>
          <w:szCs w:val="24"/>
          <w:lang w:val="pt-BR" w:eastAsia="pt-BR"/>
        </w:rPr>
        <w:t>, sendo considerado superior por capturar a magnitude das perdas extremas (cauda da distribuição).</w:t>
      </w:r>
    </w:p>
    <w:p w14:paraId="4DF4FD65" w14:textId="77777777" w:rsidR="00080D69" w:rsidRPr="002330D9" w:rsidRDefault="00080D69" w:rsidP="00080D69">
      <w:pPr>
        <w:pStyle w:val="PargrafodaLista"/>
        <w:widowControl/>
        <w:numPr>
          <w:ilvl w:val="1"/>
          <w:numId w:val="1"/>
        </w:numPr>
        <w:autoSpaceDE/>
        <w:autoSpaceDN/>
        <w:jc w:val="both"/>
        <w:rPr>
          <w:sz w:val="24"/>
          <w:szCs w:val="24"/>
          <w:lang w:val="pt-BR" w:eastAsia="pt-BR"/>
        </w:rPr>
      </w:pPr>
      <w:r w:rsidRPr="002330D9">
        <w:rPr>
          <w:b/>
          <w:bCs/>
          <w:sz w:val="24"/>
          <w:szCs w:val="24"/>
          <w:lang w:val="pt-BR" w:eastAsia="pt-BR"/>
        </w:rPr>
        <w:t>Métricas de Avaliação Ajustadas ao Risco de Baixa:</w:t>
      </w:r>
    </w:p>
    <w:p w14:paraId="4AA9F172" w14:textId="77777777" w:rsidR="00080D69" w:rsidRPr="002330D9" w:rsidRDefault="00080D69" w:rsidP="00080D69">
      <w:pPr>
        <w:pStyle w:val="PargrafodaLista"/>
        <w:widowControl/>
        <w:numPr>
          <w:ilvl w:val="1"/>
          <w:numId w:val="1"/>
        </w:numPr>
        <w:autoSpaceDE/>
        <w:autoSpaceDN/>
        <w:jc w:val="both"/>
        <w:rPr>
          <w:sz w:val="24"/>
          <w:szCs w:val="24"/>
          <w:lang w:val="pt-BR" w:eastAsia="pt-BR"/>
        </w:rPr>
      </w:pPr>
      <w:r w:rsidRPr="002330D9">
        <w:rPr>
          <w:b/>
          <w:bCs/>
          <w:sz w:val="24"/>
          <w:szCs w:val="24"/>
          <w:lang w:val="pt-BR" w:eastAsia="pt-BR"/>
        </w:rPr>
        <w:t xml:space="preserve">Índice de </w:t>
      </w:r>
      <w:proofErr w:type="spellStart"/>
      <w:r w:rsidRPr="002330D9">
        <w:rPr>
          <w:b/>
          <w:bCs/>
          <w:sz w:val="24"/>
          <w:szCs w:val="24"/>
          <w:lang w:val="pt-BR" w:eastAsia="pt-BR"/>
        </w:rPr>
        <w:t>Sortino</w:t>
      </w:r>
      <w:proofErr w:type="spellEnd"/>
      <w:r w:rsidRPr="002330D9">
        <w:rPr>
          <w:b/>
          <w:bCs/>
          <w:sz w:val="24"/>
          <w:szCs w:val="24"/>
          <w:lang w:val="pt-BR" w:eastAsia="pt-BR"/>
        </w:rPr>
        <w:t>:</w:t>
      </w:r>
      <w:r>
        <w:rPr>
          <w:b/>
          <w:bCs/>
          <w:sz w:val="24"/>
          <w:szCs w:val="24"/>
          <w:lang w:val="pt-BR" w:eastAsia="pt-BR"/>
        </w:rPr>
        <w:t xml:space="preserve"> </w:t>
      </w:r>
      <w:r w:rsidRPr="002330D9">
        <w:rPr>
          <w:sz w:val="24"/>
          <w:szCs w:val="24"/>
          <w:lang w:val="pt-BR" w:eastAsia="pt-BR"/>
        </w:rPr>
        <w:t>Similar ao Índice de Sharpe, mas utiliza o</w:t>
      </w:r>
      <w:r>
        <w:rPr>
          <w:sz w:val="24"/>
          <w:szCs w:val="24"/>
          <w:lang w:val="pt-BR" w:eastAsia="pt-BR"/>
        </w:rPr>
        <w:t xml:space="preserve"> </w:t>
      </w:r>
      <w:proofErr w:type="spellStart"/>
      <w:r w:rsidRPr="002330D9">
        <w:rPr>
          <w:i/>
          <w:iCs/>
          <w:sz w:val="24"/>
          <w:szCs w:val="24"/>
          <w:lang w:val="pt-BR" w:eastAsia="pt-BR"/>
        </w:rPr>
        <w:t>downside</w:t>
      </w:r>
      <w:proofErr w:type="spellEnd"/>
      <w:r w:rsidRPr="002330D9">
        <w:rPr>
          <w:i/>
          <w:iCs/>
          <w:sz w:val="24"/>
          <w:szCs w:val="24"/>
          <w:lang w:val="pt-BR" w:eastAsia="pt-BR"/>
        </w:rPr>
        <w:t xml:space="preserve"> </w:t>
      </w:r>
      <w:proofErr w:type="spellStart"/>
      <w:r w:rsidRPr="002330D9">
        <w:rPr>
          <w:i/>
          <w:iCs/>
          <w:sz w:val="24"/>
          <w:szCs w:val="24"/>
          <w:lang w:val="pt-BR" w:eastAsia="pt-BR"/>
        </w:rPr>
        <w:t>deviation</w:t>
      </w:r>
      <w:proofErr w:type="spellEnd"/>
      <w:r>
        <w:rPr>
          <w:i/>
          <w:iCs/>
          <w:sz w:val="24"/>
          <w:szCs w:val="24"/>
          <w:lang w:val="pt-BR" w:eastAsia="pt-BR"/>
        </w:rPr>
        <w:t xml:space="preserve"> </w:t>
      </w:r>
      <w:r w:rsidRPr="002330D9">
        <w:rPr>
          <w:sz w:val="24"/>
          <w:szCs w:val="24"/>
          <w:lang w:val="pt-BR" w:eastAsia="pt-BR"/>
        </w:rPr>
        <w:t>(risco de baixa) no denominador em vez do desvio padrão total (</w:t>
      </w:r>
      <w:proofErr w:type="spellStart"/>
      <w:r w:rsidRPr="002330D9">
        <w:rPr>
          <w:rFonts w:ascii="KaTeX_Math" w:hAnsi="KaTeX_Math"/>
          <w:i/>
          <w:iCs/>
          <w:sz w:val="29"/>
          <w:szCs w:val="29"/>
          <w:lang w:val="pt-BR" w:eastAsia="pt-BR"/>
        </w:rPr>
        <w:t>σ</w:t>
      </w:r>
      <w:r w:rsidRPr="002330D9">
        <w:rPr>
          <w:rFonts w:ascii="KaTeX_Math" w:hAnsi="KaTeX_Math"/>
          <w:i/>
          <w:iCs/>
          <w:sz w:val="20"/>
          <w:szCs w:val="20"/>
          <w:lang w:val="pt-BR" w:eastAsia="pt-BR"/>
        </w:rPr>
        <w:t>p</w:t>
      </w:r>
      <w:proofErr w:type="spellEnd"/>
      <w:r w:rsidRPr="002330D9">
        <w:rPr>
          <w:rFonts w:ascii="KaTeX_Main" w:hAnsi="KaTeX_Main"/>
          <w:sz w:val="2"/>
          <w:szCs w:val="2"/>
          <w:lang w:val="pt-BR" w:eastAsia="pt-BR"/>
        </w:rPr>
        <w:t>​</w:t>
      </w:r>
      <w:r w:rsidRPr="002330D9">
        <w:rPr>
          <w:sz w:val="24"/>
          <w:szCs w:val="24"/>
          <w:lang w:val="pt-BR" w:eastAsia="pt-BR"/>
        </w:rPr>
        <w:t>). Sua relevância reside no foco exclusivo no risco negativo.</w:t>
      </w:r>
    </w:p>
    <w:p w14:paraId="74A06F83" w14:textId="77777777" w:rsidR="00B05BFB" w:rsidRPr="00DD0569" w:rsidRDefault="00080D69" w:rsidP="00080D69">
      <w:pPr>
        <w:pStyle w:val="PargrafodaLista"/>
        <w:numPr>
          <w:ilvl w:val="1"/>
          <w:numId w:val="1"/>
        </w:numPr>
        <w:rPr>
          <w:lang w:val="pt-BR"/>
        </w:rPr>
      </w:pPr>
      <w:proofErr w:type="spellStart"/>
      <w:r w:rsidRPr="00080D69">
        <w:rPr>
          <w:b/>
          <w:bCs/>
          <w:sz w:val="24"/>
          <w:szCs w:val="24"/>
          <w:lang w:val="pt-BR" w:eastAsia="pt-BR"/>
        </w:rPr>
        <w:t>Maximum</w:t>
      </w:r>
      <w:proofErr w:type="spellEnd"/>
      <w:r w:rsidRPr="00080D69">
        <w:rPr>
          <w:b/>
          <w:bCs/>
          <w:sz w:val="24"/>
          <w:szCs w:val="24"/>
          <w:lang w:val="pt-BR" w:eastAsia="pt-BR"/>
        </w:rPr>
        <w:t xml:space="preserve"> </w:t>
      </w:r>
      <w:proofErr w:type="spellStart"/>
      <w:r w:rsidRPr="00080D69">
        <w:rPr>
          <w:b/>
          <w:bCs/>
          <w:sz w:val="24"/>
          <w:szCs w:val="24"/>
          <w:lang w:val="pt-BR" w:eastAsia="pt-BR"/>
        </w:rPr>
        <w:t>Drawdown</w:t>
      </w:r>
      <w:proofErr w:type="spellEnd"/>
      <w:r w:rsidRPr="00080D69">
        <w:rPr>
          <w:b/>
          <w:bCs/>
          <w:sz w:val="24"/>
          <w:szCs w:val="24"/>
          <w:lang w:val="pt-BR" w:eastAsia="pt-BR"/>
        </w:rPr>
        <w:t xml:space="preserve"> (MD): </w:t>
      </w:r>
      <w:r w:rsidRPr="00080D69">
        <w:rPr>
          <w:sz w:val="24"/>
          <w:szCs w:val="24"/>
          <w:lang w:val="pt-BR" w:eastAsia="pt-BR"/>
        </w:rPr>
        <w:t xml:space="preserve">Embora não seja uma medida de risco para otimização em M-V, é uma métrica crucial de avaliação de desempenho </w:t>
      </w:r>
      <w:r w:rsidRPr="00080D69">
        <w:rPr>
          <w:i/>
          <w:iCs/>
          <w:sz w:val="24"/>
          <w:szCs w:val="24"/>
          <w:lang w:val="pt-BR" w:eastAsia="pt-BR"/>
        </w:rPr>
        <w:t>out-</w:t>
      </w:r>
      <w:proofErr w:type="spellStart"/>
      <w:r w:rsidRPr="00080D69">
        <w:rPr>
          <w:i/>
          <w:iCs/>
          <w:sz w:val="24"/>
          <w:szCs w:val="24"/>
          <w:lang w:val="pt-BR" w:eastAsia="pt-BR"/>
        </w:rPr>
        <w:t>of</w:t>
      </w:r>
      <w:proofErr w:type="spellEnd"/>
      <w:r w:rsidRPr="00080D69">
        <w:rPr>
          <w:i/>
          <w:iCs/>
          <w:sz w:val="24"/>
          <w:szCs w:val="24"/>
          <w:lang w:val="pt-BR" w:eastAsia="pt-BR"/>
        </w:rPr>
        <w:t>-sample</w:t>
      </w:r>
      <w:r w:rsidRPr="00080D69">
        <w:rPr>
          <w:sz w:val="24"/>
          <w:szCs w:val="24"/>
          <w:lang w:val="pt-BR" w:eastAsia="pt-BR"/>
        </w:rPr>
        <w:t xml:space="preserve">, pois evidencia a </w:t>
      </w:r>
      <w:r w:rsidRPr="00080D69">
        <w:rPr>
          <w:b/>
          <w:bCs/>
          <w:sz w:val="24"/>
          <w:szCs w:val="24"/>
          <w:lang w:val="pt-BR" w:eastAsia="pt-BR"/>
        </w:rPr>
        <w:t xml:space="preserve">maior perda percentual </w:t>
      </w:r>
      <w:r w:rsidRPr="00080D69">
        <w:rPr>
          <w:sz w:val="24"/>
          <w:szCs w:val="24"/>
          <w:lang w:val="pt-BR" w:eastAsia="pt-BR"/>
        </w:rPr>
        <w:t xml:space="preserve">observada de um pico a um </w:t>
      </w:r>
      <w:r w:rsidRPr="00080D69">
        <w:rPr>
          <w:sz w:val="24"/>
          <w:szCs w:val="24"/>
          <w:lang w:val="pt-BR" w:eastAsia="pt-BR"/>
        </w:rPr>
        <w:lastRenderedPageBreak/>
        <w:t>vale</w:t>
      </w:r>
    </w:p>
    <w:p w14:paraId="49E2F145" w14:textId="77777777" w:rsidR="00DD0569" w:rsidRPr="00E8293C" w:rsidRDefault="00DD0569" w:rsidP="00DD0569">
      <w:pPr>
        <w:pStyle w:val="PargrafodaLista"/>
        <w:widowControl/>
        <w:numPr>
          <w:ilvl w:val="1"/>
          <w:numId w:val="1"/>
        </w:numPr>
        <w:autoSpaceDE/>
        <w:autoSpaceDN/>
        <w:spacing w:line="360" w:lineRule="auto"/>
        <w:jc w:val="both"/>
        <w:outlineLvl w:val="2"/>
        <w:rPr>
          <w:b/>
          <w:sz w:val="24"/>
          <w:szCs w:val="24"/>
          <w:lang w:val="pt-BR" w:eastAsia="pt-BR"/>
        </w:rPr>
      </w:pPr>
      <w:bookmarkStart w:id="38" w:name="_Toc213918882"/>
      <w:bookmarkStart w:id="39" w:name="_Toc214023686"/>
      <w:r w:rsidRPr="00E8293C">
        <w:rPr>
          <w:rFonts w:ascii="Arial" w:hAnsi="Arial" w:cs="Arial"/>
          <w:sz w:val="21"/>
          <w:szCs w:val="21"/>
          <w:lang w:val="pt-BR" w:eastAsia="pt-BR"/>
        </w:rPr>
        <w:t>A Variância como Métrica de Risco</w:t>
      </w:r>
      <w:bookmarkEnd w:id="38"/>
      <w:bookmarkEnd w:id="39"/>
      <w:r>
        <w:rPr>
          <w:rFonts w:ascii="Arial" w:hAnsi="Arial" w:cs="Arial"/>
          <w:sz w:val="21"/>
          <w:szCs w:val="21"/>
          <w:lang w:val="pt-BR" w:eastAsia="pt-BR"/>
        </w:rPr>
        <w:t xml:space="preserve"> </w:t>
      </w:r>
    </w:p>
    <w:p w14:paraId="224EC780" w14:textId="77777777" w:rsidR="00DD0569" w:rsidRPr="00DD0569" w:rsidRDefault="00DD0569" w:rsidP="00DD0569">
      <w:pPr>
        <w:pStyle w:val="PargrafodaLista"/>
        <w:widowControl/>
        <w:numPr>
          <w:ilvl w:val="2"/>
          <w:numId w:val="1"/>
        </w:numPr>
        <w:autoSpaceDE/>
        <w:autoSpaceDN/>
        <w:jc w:val="center"/>
        <w:rPr>
          <w:sz w:val="24"/>
          <w:szCs w:val="24"/>
          <w:lang w:val="pt-BR" w:eastAsia="pt-BR"/>
        </w:rPr>
      </w:pPr>
      <w:r w:rsidRPr="00DD0569">
        <w:rPr>
          <w:b/>
          <w:bCs/>
          <w:sz w:val="24"/>
          <w:szCs w:val="24"/>
          <w:lang w:val="pt-BR" w:eastAsia="pt-BR"/>
        </w:rPr>
        <w:t>A Penalização da Volatilidade Positiva:</w:t>
      </w:r>
    </w:p>
    <w:p w14:paraId="43482E66" w14:textId="77777777" w:rsidR="00DD0569" w:rsidRPr="00DD0569" w:rsidRDefault="00DD0569" w:rsidP="00DD0569">
      <w:pPr>
        <w:pStyle w:val="PargrafodaLista"/>
        <w:widowControl/>
        <w:numPr>
          <w:ilvl w:val="2"/>
          <w:numId w:val="1"/>
        </w:numPr>
        <w:autoSpaceDE/>
        <w:autoSpaceDN/>
        <w:jc w:val="center"/>
        <w:rPr>
          <w:sz w:val="24"/>
          <w:szCs w:val="24"/>
          <w:lang w:val="pt-BR" w:eastAsia="pt-BR"/>
        </w:rPr>
      </w:pPr>
      <w:r w:rsidRPr="00DD0569">
        <w:rPr>
          <w:b/>
          <w:bCs/>
          <w:sz w:val="24"/>
          <w:szCs w:val="24"/>
          <w:lang w:val="pt-BR" w:eastAsia="pt-BR"/>
        </w:rPr>
        <w:t xml:space="preserve">A Distância da Aversão ao Risco </w:t>
      </w:r>
      <w:proofErr w:type="spellStart"/>
      <w:r w:rsidRPr="00DD0569">
        <w:rPr>
          <w:b/>
          <w:bCs/>
          <w:i/>
          <w:iCs/>
          <w:sz w:val="24"/>
          <w:szCs w:val="24"/>
          <w:lang w:val="pt-BR" w:eastAsia="pt-BR"/>
        </w:rPr>
        <w:t>Downside</w:t>
      </w:r>
      <w:proofErr w:type="spellEnd"/>
    </w:p>
    <w:p w14:paraId="4328E209" w14:textId="77777777" w:rsidR="00DD0569" w:rsidRPr="00DD0569" w:rsidRDefault="00DD0569" w:rsidP="00DD0569">
      <w:pPr>
        <w:pStyle w:val="PargrafodaLista"/>
        <w:widowControl/>
        <w:numPr>
          <w:ilvl w:val="2"/>
          <w:numId w:val="1"/>
        </w:numPr>
        <w:autoSpaceDE/>
        <w:autoSpaceDN/>
        <w:jc w:val="center"/>
        <w:rPr>
          <w:sz w:val="24"/>
          <w:szCs w:val="24"/>
          <w:lang w:val="pt-BR" w:eastAsia="pt-BR"/>
        </w:rPr>
      </w:pPr>
    </w:p>
    <w:p w14:paraId="12744B17" w14:textId="77777777" w:rsidR="0065769F" w:rsidRPr="006D4756" w:rsidRDefault="0065769F" w:rsidP="0065769F">
      <w:pPr>
        <w:pStyle w:val="PargrafodaLista"/>
        <w:widowControl/>
        <w:numPr>
          <w:ilvl w:val="1"/>
          <w:numId w:val="1"/>
        </w:numPr>
        <w:autoSpaceDE/>
        <w:autoSpaceDN/>
        <w:spacing w:line="360" w:lineRule="auto"/>
        <w:jc w:val="both"/>
        <w:outlineLvl w:val="2"/>
        <w:rPr>
          <w:rStyle w:val="ng-star-inserted"/>
          <w:sz w:val="24"/>
          <w:szCs w:val="24"/>
          <w:lang w:val="pt-BR" w:eastAsia="pt-BR"/>
        </w:rPr>
      </w:pPr>
      <w:bookmarkStart w:id="40" w:name="_Toc213918883"/>
      <w:bookmarkStart w:id="41" w:name="_Toc214023687"/>
      <w:r>
        <w:rPr>
          <w:rStyle w:val="ng-star-inserted"/>
          <w:rFonts w:ascii="Arial" w:hAnsi="Arial" w:cs="Arial"/>
          <w:color w:val="131314"/>
          <w:sz w:val="21"/>
          <w:szCs w:val="21"/>
          <w:shd w:val="clear" w:color="auto" w:fill="FFFFFF"/>
        </w:rPr>
        <w:t>O Problema do Erro de Estimação (</w:t>
      </w:r>
      <w:r>
        <w:rPr>
          <w:rFonts w:ascii="Arial" w:hAnsi="Arial" w:cs="Arial"/>
          <w:i/>
          <w:iCs/>
          <w:color w:val="131314"/>
          <w:sz w:val="21"/>
          <w:szCs w:val="21"/>
          <w:shd w:val="clear" w:color="auto" w:fill="FFFFFF"/>
        </w:rPr>
        <w:t>Estimation Error</w:t>
      </w:r>
      <w:r>
        <w:rPr>
          <w:rStyle w:val="ng-star-inserted"/>
          <w:rFonts w:ascii="Arial" w:hAnsi="Arial" w:cs="Arial"/>
          <w:color w:val="131314"/>
          <w:sz w:val="21"/>
          <w:szCs w:val="21"/>
          <w:shd w:val="clear" w:color="auto" w:fill="FFFFFF"/>
        </w:rPr>
        <w:t>)</w:t>
      </w:r>
      <w:bookmarkEnd w:id="40"/>
      <w:bookmarkEnd w:id="41"/>
    </w:p>
    <w:p w14:paraId="12716057" w14:textId="77777777" w:rsidR="0065769F" w:rsidRDefault="0065769F" w:rsidP="0065769F">
      <w:pPr>
        <w:rPr>
          <w:sz w:val="24"/>
          <w:szCs w:val="24"/>
          <w:lang w:val="pt-BR" w:eastAsia="pt-BR"/>
        </w:rPr>
      </w:pPr>
    </w:p>
    <w:p w14:paraId="228998D0" w14:textId="77777777" w:rsidR="0065769F" w:rsidRPr="006A4FBC" w:rsidRDefault="0065769F" w:rsidP="001A06E7">
      <w:pPr>
        <w:widowControl/>
        <w:autoSpaceDE/>
        <w:autoSpaceDN/>
        <w:rPr>
          <w:sz w:val="24"/>
          <w:szCs w:val="24"/>
          <w:lang w:val="pt-BR" w:eastAsia="pt-BR"/>
        </w:rPr>
      </w:pPr>
    </w:p>
    <w:p w14:paraId="13B827AD" w14:textId="77777777" w:rsidR="00117D6C" w:rsidRPr="00117D6C" w:rsidRDefault="0065769F" w:rsidP="00117D6C">
      <w:pPr>
        <w:pStyle w:val="PargrafodaLista"/>
        <w:widowControl/>
        <w:numPr>
          <w:ilvl w:val="1"/>
          <w:numId w:val="1"/>
        </w:numPr>
        <w:autoSpaceDE/>
        <w:autoSpaceDN/>
        <w:spacing w:line="300" w:lineRule="atLeast"/>
        <w:jc w:val="center"/>
        <w:rPr>
          <w:rFonts w:ascii="Arial" w:hAnsi="Arial" w:cs="Arial"/>
          <w:sz w:val="21"/>
          <w:szCs w:val="21"/>
          <w:lang w:val="pt-BR" w:eastAsia="pt-BR"/>
        </w:rPr>
      </w:pPr>
      <w:r w:rsidRPr="00117D6C">
        <w:rPr>
          <w:lang w:val="pt-BR"/>
        </w:rPr>
        <w:t xml:space="preserve"> </w:t>
      </w:r>
      <w:proofErr w:type="spellStart"/>
      <w:r w:rsidRPr="00117D6C">
        <w:rPr>
          <w:lang w:val="pt-BR"/>
        </w:rPr>
        <w:t>Dfgdsgds</w:t>
      </w:r>
      <w:proofErr w:type="spellEnd"/>
      <w:r w:rsidRPr="00117D6C">
        <w:rPr>
          <w:lang w:val="pt-BR"/>
        </w:rPr>
        <w:t xml:space="preserve"> </w:t>
      </w:r>
      <w:r w:rsidRPr="00117D6C">
        <w:rPr>
          <w:b/>
          <w:bCs/>
          <w:sz w:val="24"/>
          <w:szCs w:val="24"/>
          <w:lang w:val="pt-BR" w:eastAsia="pt-BR"/>
        </w:rPr>
        <w:t xml:space="preserve">A Inadequação da Média Histórica </w:t>
      </w:r>
      <w:proofErr w:type="spellStart"/>
      <w:r w:rsidRPr="00117D6C">
        <w:rPr>
          <w:b/>
          <w:bCs/>
          <w:sz w:val="24"/>
          <w:szCs w:val="24"/>
          <w:lang w:val="pt-BR" w:eastAsia="pt-BR"/>
        </w:rPr>
        <w:t>Simple</w:t>
      </w:r>
      <w:proofErr w:type="spellEnd"/>
      <w:r w:rsidRPr="00117D6C">
        <w:rPr>
          <w:lang w:val="pt-BR"/>
        </w:rPr>
        <w:t xml:space="preserve"> </w:t>
      </w:r>
    </w:p>
    <w:p w14:paraId="1AD6CF99" w14:textId="77777777" w:rsidR="0065769F" w:rsidRPr="006604BA" w:rsidRDefault="0065769F" w:rsidP="00080D69">
      <w:pPr>
        <w:pStyle w:val="PargrafodaLista"/>
        <w:widowControl/>
        <w:numPr>
          <w:ilvl w:val="1"/>
          <w:numId w:val="1"/>
        </w:numPr>
        <w:autoSpaceDE/>
        <w:autoSpaceDN/>
        <w:spacing w:line="300" w:lineRule="atLeast"/>
        <w:jc w:val="center"/>
        <w:rPr>
          <w:lang w:val="pt-BR"/>
        </w:rPr>
      </w:pPr>
      <w:r w:rsidRPr="00117D6C">
        <w:rPr>
          <w:rFonts w:ascii="Arial" w:hAnsi="Arial" w:cs="Arial"/>
          <w:sz w:val="21"/>
          <w:szCs w:val="21"/>
          <w:lang w:val="pt-BR" w:eastAsia="pt-BR"/>
        </w:rPr>
        <w:t>A Evidência Empírica (</w:t>
      </w:r>
      <w:proofErr w:type="spellStart"/>
      <w:r w:rsidRPr="00117D6C">
        <w:rPr>
          <w:rFonts w:ascii="Arial" w:hAnsi="Arial" w:cs="Arial"/>
          <w:sz w:val="21"/>
          <w:szCs w:val="21"/>
          <w:lang w:val="pt-BR" w:eastAsia="pt-BR"/>
        </w:rPr>
        <w:t>DeMiguel</w:t>
      </w:r>
      <w:proofErr w:type="spellEnd"/>
      <w:r w:rsidRPr="00117D6C">
        <w:rPr>
          <w:rFonts w:ascii="Arial" w:hAnsi="Arial" w:cs="Arial"/>
          <w:sz w:val="21"/>
          <w:szCs w:val="21"/>
          <w:lang w:val="pt-BR" w:eastAsia="pt-BR"/>
        </w:rPr>
        <w:t xml:space="preserve"> &amp; </w:t>
      </w:r>
      <w:proofErr w:type="spellStart"/>
      <w:r w:rsidRPr="00117D6C">
        <w:rPr>
          <w:rFonts w:ascii="Arial" w:hAnsi="Arial" w:cs="Arial"/>
          <w:sz w:val="21"/>
          <w:szCs w:val="21"/>
          <w:lang w:val="pt-BR" w:eastAsia="pt-BR"/>
        </w:rPr>
        <w:t>Nogales</w:t>
      </w:r>
      <w:proofErr w:type="spellEnd"/>
      <w:r w:rsidRPr="00117D6C">
        <w:rPr>
          <w:rFonts w:ascii="Arial" w:hAnsi="Arial" w:cs="Arial"/>
          <w:sz w:val="21"/>
          <w:szCs w:val="21"/>
          <w:lang w:val="pt-BR" w:eastAsia="pt-BR"/>
        </w:rPr>
        <w:t>, 2009)</w:t>
      </w:r>
    </w:p>
    <w:p w14:paraId="3DE6D974" w14:textId="77777777" w:rsidR="006604BA" w:rsidRPr="00CE4C0D" w:rsidRDefault="006604BA" w:rsidP="006604BA">
      <w:pPr>
        <w:pStyle w:val="PargrafodaLista"/>
        <w:widowControl/>
        <w:numPr>
          <w:ilvl w:val="1"/>
          <w:numId w:val="1"/>
        </w:numPr>
        <w:autoSpaceDE/>
        <w:autoSpaceDN/>
        <w:spacing w:after="160" w:line="278" w:lineRule="auto"/>
        <w:contextualSpacing/>
      </w:pPr>
      <w:r w:rsidRPr="00CE4C0D">
        <w:rPr>
          <w:b/>
          <w:bCs/>
        </w:rPr>
        <w:t>Crítica 2: Sensibilidade Extrema aos Inputs e Imprecisão da Média Histórica</w:t>
      </w:r>
    </w:p>
    <w:p w14:paraId="5C310BCF" w14:textId="77777777" w:rsidR="006604BA" w:rsidRPr="00E27530" w:rsidRDefault="006604BA" w:rsidP="006604BA">
      <w:pPr>
        <w:pStyle w:val="PargrafodaLista"/>
        <w:widowControl/>
        <w:numPr>
          <w:ilvl w:val="1"/>
          <w:numId w:val="1"/>
        </w:numPr>
        <w:autoSpaceDE/>
        <w:autoSpaceDN/>
        <w:spacing w:after="160" w:line="278" w:lineRule="auto"/>
        <w:contextualSpacing/>
      </w:pPr>
      <w:r w:rsidRPr="00E27530">
        <w:rPr>
          <w:b/>
          <w:bCs/>
        </w:rPr>
        <w:t>Crítica 3: Geração de Portfólios Não-Intuitivos e Altamente Concentrados</w:t>
      </w:r>
    </w:p>
    <w:p w14:paraId="609EE7C7" w14:textId="77777777" w:rsidR="006604BA" w:rsidRPr="00FC7369" w:rsidRDefault="006604BA" w:rsidP="006604BA">
      <w:pPr>
        <w:pStyle w:val="PargrafodaLista"/>
        <w:widowControl/>
        <w:numPr>
          <w:ilvl w:val="1"/>
          <w:numId w:val="1"/>
        </w:numPr>
        <w:autoSpaceDE/>
        <w:autoSpaceDN/>
        <w:spacing w:after="160" w:line="278" w:lineRule="auto"/>
        <w:contextualSpacing/>
      </w:pPr>
      <w:r w:rsidRPr="00E27530">
        <w:rPr>
          <w:b/>
          <w:bCs/>
        </w:rPr>
        <w:t>Crítica 4: Ignorando Priors (Informações de Equilíbrio e Visões Subjetivas)</w:t>
      </w:r>
    </w:p>
    <w:p w14:paraId="531FD597" w14:textId="77777777" w:rsidR="00FC7369" w:rsidRPr="00FC7369" w:rsidRDefault="00FC7369" w:rsidP="00FC7369">
      <w:pPr>
        <w:widowControl/>
        <w:autoSpaceDE/>
        <w:autoSpaceDN/>
        <w:spacing w:after="160" w:line="278" w:lineRule="auto"/>
        <w:contextualSpacing/>
      </w:pPr>
    </w:p>
    <w:p w14:paraId="4D163544" w14:textId="77777777" w:rsidR="00FC7369" w:rsidRPr="00FC7369" w:rsidRDefault="00FC7369" w:rsidP="00FC7369">
      <w:pPr>
        <w:pStyle w:val="PargrafodaLista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</w:pPr>
    </w:p>
    <w:p w14:paraId="7532E7CB" w14:textId="77777777" w:rsidR="00C45ABC" w:rsidRDefault="00C45ABC" w:rsidP="00C45ABC">
      <w:pPr>
        <w:pStyle w:val="Ttulo2"/>
        <w:rPr>
          <w:rFonts w:ascii="Google Sans" w:hAnsi="Google Sans"/>
          <w:lang w:val="pt-BR"/>
        </w:rPr>
      </w:pPr>
      <w:r>
        <w:rPr>
          <w:rFonts w:ascii="Google Sans" w:hAnsi="Google Sans"/>
        </w:rPr>
        <w:t>Finanças Comportamentais (FC)</w:t>
      </w:r>
    </w:p>
    <w:p w14:paraId="3CF3541A" w14:textId="77777777" w:rsidR="00C45ABC" w:rsidRDefault="00C45ABC" w:rsidP="00C45ABC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A FC desafia a premissa da racionalidade, explicando as anomalias de mercado por meio de vieses.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3773"/>
        <w:gridCol w:w="3262"/>
      </w:tblGrid>
      <w:tr w:rsidR="00C45ABC" w14:paraId="72466843" w14:textId="77777777" w:rsidTr="00C45A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E3EF0" w14:textId="77777777" w:rsidR="00C45ABC" w:rsidRDefault="00C45ABC">
            <w:pPr>
              <w:rPr>
                <w:rFonts w:ascii="Google Sans Text" w:hAnsi="Google Sans Text"/>
              </w:rPr>
            </w:pPr>
            <w:r>
              <w:rPr>
                <w:rStyle w:val="Forte"/>
                <w:rFonts w:ascii="Google Sans Text" w:hAnsi="Google Sans Text"/>
              </w:rPr>
              <w:t>Conceito 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160B2" w14:textId="77777777" w:rsidR="00C45ABC" w:rsidRDefault="00C45ABC">
            <w:pPr>
              <w:rPr>
                <w:rFonts w:ascii="Google Sans Text" w:hAnsi="Google Sans Text"/>
              </w:rPr>
            </w:pPr>
            <w:r>
              <w:rPr>
                <w:rStyle w:val="Forte"/>
                <w:rFonts w:ascii="Google Sans Text" w:hAnsi="Google Sans Text"/>
              </w:rPr>
              <w:t>Explicação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74889" w14:textId="77777777" w:rsidR="00C45ABC" w:rsidRDefault="00C45ABC">
            <w:pPr>
              <w:rPr>
                <w:rFonts w:ascii="Google Sans Text" w:hAnsi="Google Sans Text"/>
              </w:rPr>
            </w:pPr>
            <w:r>
              <w:rPr>
                <w:rStyle w:val="Forte"/>
                <w:rFonts w:ascii="Google Sans Text" w:hAnsi="Google Sans Text"/>
              </w:rPr>
              <w:t>Implicações no Investimento</w:t>
            </w:r>
          </w:p>
        </w:tc>
      </w:tr>
      <w:tr w:rsidR="00C45ABC" w14:paraId="577875BE" w14:textId="77777777" w:rsidTr="00C45A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AD0E6" w14:textId="77777777" w:rsidR="00C45ABC" w:rsidRDefault="00C45ABC">
            <w:pPr>
              <w:rPr>
                <w:rFonts w:ascii="Google Sans Text" w:hAnsi="Google Sans Text"/>
              </w:rPr>
            </w:pPr>
            <w:r>
              <w:rPr>
                <w:rFonts w:ascii="Google Sans Text" w:hAnsi="Google Sans Text"/>
                <w:b/>
                <w:bCs/>
              </w:rPr>
              <w:t>Teoria da Perspectiva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CB317" w14:textId="77777777" w:rsidR="00C45ABC" w:rsidRDefault="00C45ABC">
            <w:pPr>
              <w:rPr>
                <w:rFonts w:ascii="Google Sans Text" w:hAnsi="Google Sans Text"/>
              </w:rPr>
            </w:pPr>
            <w:r>
              <w:rPr>
                <w:rFonts w:ascii="Google Sans Text" w:hAnsi="Google Sans Text"/>
              </w:rPr>
              <w:t>A dor da perda é psicologicamente mais forte do que o prazer de um ganho equivalente (</w:t>
            </w:r>
            <w:r>
              <w:rPr>
                <w:rFonts w:ascii="Google Sans Text" w:hAnsi="Google Sans Text"/>
                <w:b/>
                <w:bCs/>
              </w:rPr>
              <w:t>Aversão à Perda</w:t>
            </w:r>
            <w:r>
              <w:rPr>
                <w:rFonts w:ascii="Google Sans Text" w:hAnsi="Google Sans Text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F414A" w14:textId="77777777" w:rsidR="00C45ABC" w:rsidRDefault="00C45ABC">
            <w:pPr>
              <w:rPr>
                <w:rFonts w:ascii="Google Sans Text" w:hAnsi="Google Sans Text"/>
              </w:rPr>
            </w:pPr>
            <w:r>
              <w:rPr>
                <w:rFonts w:ascii="Google Sans Text" w:hAnsi="Google Sans Text"/>
              </w:rPr>
              <w:t xml:space="preserve">Leva à </w:t>
            </w:r>
            <w:r>
              <w:rPr>
                <w:rFonts w:ascii="Google Sans Text" w:hAnsi="Google Sans Text"/>
                <w:b/>
                <w:bCs/>
              </w:rPr>
              <w:t>propensão ao risco</w:t>
            </w:r>
            <w:r>
              <w:rPr>
                <w:rFonts w:ascii="Google Sans Text" w:hAnsi="Google Sans Text"/>
              </w:rPr>
              <w:t xml:space="preserve"> no domínio das perdas (segurar ações perdedoras).</w:t>
            </w:r>
          </w:p>
        </w:tc>
      </w:tr>
      <w:tr w:rsidR="00C45ABC" w14:paraId="2D583BA8" w14:textId="77777777" w:rsidTr="00C45A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9ED43" w14:textId="77777777" w:rsidR="00C45ABC" w:rsidRDefault="00C45ABC">
            <w:pPr>
              <w:rPr>
                <w:rFonts w:ascii="Google Sans Text" w:hAnsi="Google Sans Text"/>
              </w:rPr>
            </w:pPr>
            <w:r>
              <w:rPr>
                <w:rFonts w:ascii="Google Sans Text" w:hAnsi="Google Sans Text"/>
                <w:b/>
                <w:bCs/>
              </w:rPr>
              <w:t>Viés de Ancoragem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00B1F" w14:textId="77777777" w:rsidR="00C45ABC" w:rsidRDefault="00C45ABC">
            <w:pPr>
              <w:rPr>
                <w:rFonts w:ascii="Google Sans Text" w:hAnsi="Google Sans Text"/>
              </w:rPr>
            </w:pPr>
            <w:r>
              <w:rPr>
                <w:rFonts w:ascii="Google Sans Text" w:hAnsi="Google Sans Text"/>
              </w:rPr>
              <w:t>Confiança excessiva no primeiro preço ou informação recebida (ex: preço de compra).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74755" w14:textId="77777777" w:rsidR="00C45ABC" w:rsidRDefault="00C45ABC">
            <w:pPr>
              <w:rPr>
                <w:rFonts w:ascii="Google Sans Text" w:hAnsi="Google Sans Text"/>
              </w:rPr>
            </w:pPr>
            <w:r>
              <w:rPr>
                <w:rFonts w:ascii="Google Sans Text" w:hAnsi="Google Sans Text"/>
              </w:rPr>
              <w:t xml:space="preserve">O investidor se recusa a vender uma ação que caiu porque está </w:t>
            </w:r>
            <w:r>
              <w:rPr>
                <w:rFonts w:ascii="Google Sans Text" w:hAnsi="Google Sans Text"/>
                <w:b/>
                <w:bCs/>
              </w:rPr>
              <w:t>ancorado</w:t>
            </w:r>
            <w:r>
              <w:rPr>
                <w:rFonts w:ascii="Google Sans Text" w:hAnsi="Google Sans Text"/>
              </w:rPr>
              <w:t xml:space="preserve"> no preço original.</w:t>
            </w:r>
          </w:p>
        </w:tc>
      </w:tr>
      <w:tr w:rsidR="00C45ABC" w14:paraId="60A1BE77" w14:textId="77777777" w:rsidTr="00C45A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56337" w14:textId="77777777" w:rsidR="00C45ABC" w:rsidRDefault="00C45ABC">
            <w:pPr>
              <w:rPr>
                <w:rFonts w:ascii="Google Sans Text" w:hAnsi="Google Sans Text"/>
              </w:rPr>
            </w:pPr>
            <w:r>
              <w:rPr>
                <w:rFonts w:ascii="Google Sans Text" w:hAnsi="Google Sans Text"/>
                <w:b/>
                <w:bCs/>
              </w:rPr>
              <w:t>Excesso de Confiança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BFDE2" w14:textId="77777777" w:rsidR="00C45ABC" w:rsidRDefault="00C45ABC">
            <w:pPr>
              <w:rPr>
                <w:rFonts w:ascii="Google Sans Text" w:hAnsi="Google Sans Text"/>
              </w:rPr>
            </w:pPr>
            <w:r>
              <w:rPr>
                <w:rFonts w:ascii="Google Sans Text" w:hAnsi="Google Sans Text"/>
              </w:rPr>
              <w:t>Superestimação da própria habilidade de obter retornos superiores.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7BD30" w14:textId="77777777" w:rsidR="00C45ABC" w:rsidRDefault="00C45ABC">
            <w:pPr>
              <w:rPr>
                <w:rFonts w:ascii="Google Sans Text" w:hAnsi="Google Sans Text"/>
              </w:rPr>
            </w:pPr>
            <w:r>
              <w:rPr>
                <w:rFonts w:ascii="Google Sans Text" w:hAnsi="Google Sans Text"/>
              </w:rPr>
              <w:t xml:space="preserve">Leva a </w:t>
            </w:r>
            <w:r>
              <w:rPr>
                <w:rFonts w:ascii="Google Sans Text" w:hAnsi="Google Sans Text"/>
                <w:b/>
                <w:bCs/>
              </w:rPr>
              <w:t>alta rotatividade</w:t>
            </w:r>
            <w:r>
              <w:rPr>
                <w:rFonts w:ascii="Google Sans Text" w:hAnsi="Google Sans Text"/>
              </w:rPr>
              <w:t xml:space="preserve"> (negociar demais) e </w:t>
            </w:r>
            <w:r>
              <w:rPr>
                <w:rFonts w:ascii="Google Sans Text" w:hAnsi="Google Sans Text"/>
                <w:b/>
                <w:bCs/>
              </w:rPr>
              <w:t>sub-diversificação</w:t>
            </w:r>
            <w:r>
              <w:rPr>
                <w:rFonts w:ascii="Google Sans Text" w:hAnsi="Google Sans Text"/>
              </w:rPr>
              <w:t>.</w:t>
            </w:r>
          </w:p>
        </w:tc>
      </w:tr>
    </w:tbl>
    <w:p w14:paraId="620F7496" w14:textId="77777777" w:rsidR="00FC7369" w:rsidRPr="00C45ABC" w:rsidRDefault="00FC7369" w:rsidP="00FC7369">
      <w:pPr>
        <w:widowControl/>
        <w:autoSpaceDE/>
        <w:autoSpaceDN/>
        <w:spacing w:after="160" w:line="278" w:lineRule="auto"/>
        <w:contextualSpacing/>
      </w:pPr>
    </w:p>
    <w:p w14:paraId="24C85535" w14:textId="77777777" w:rsidR="00C45ABC" w:rsidRPr="00C45ABC" w:rsidRDefault="00C45ABC" w:rsidP="00C45ABC">
      <w:pPr>
        <w:widowControl/>
        <w:autoSpaceDE/>
        <w:autoSpaceDN/>
        <w:spacing w:after="160" w:line="278" w:lineRule="auto"/>
        <w:contextualSpacing/>
        <w:rPr>
          <w:b/>
          <w:bCs/>
          <w:lang w:val="pt-BR"/>
        </w:rPr>
      </w:pPr>
      <w:r w:rsidRPr="00C45ABC">
        <w:rPr>
          <w:b/>
          <w:bCs/>
          <w:lang w:val="pt-BR"/>
        </w:rPr>
        <w:t>Modelos Evoluídos e Fatores de Risco</w:t>
      </w:r>
    </w:p>
    <w:p w14:paraId="34798CD9" w14:textId="77777777" w:rsidR="00C45ABC" w:rsidRPr="00C45ABC" w:rsidRDefault="00C45ABC" w:rsidP="00C45ABC">
      <w:pPr>
        <w:widowControl/>
        <w:autoSpaceDE/>
        <w:autoSpaceDN/>
        <w:spacing w:after="160" w:line="278" w:lineRule="auto"/>
        <w:contextualSpacing/>
        <w:rPr>
          <w:b/>
          <w:bCs/>
          <w:lang w:val="pt-BR"/>
        </w:rPr>
      </w:pPr>
      <w:r w:rsidRPr="00C45ABC">
        <w:rPr>
          <w:b/>
          <w:bCs/>
          <w:lang w:val="pt-BR"/>
        </w:rPr>
        <w:t>Modelos Multifatoriais (Fama-</w:t>
      </w:r>
      <w:proofErr w:type="spellStart"/>
      <w:r w:rsidRPr="00C45ABC">
        <w:rPr>
          <w:b/>
          <w:bCs/>
          <w:lang w:val="pt-BR"/>
        </w:rPr>
        <w:t>French</w:t>
      </w:r>
      <w:proofErr w:type="spellEnd"/>
      <w:r w:rsidRPr="00C45ABC">
        <w:rPr>
          <w:b/>
          <w:bCs/>
          <w:lang w:val="pt-BR"/>
        </w:rPr>
        <w:t>)</w:t>
      </w:r>
    </w:p>
    <w:p w14:paraId="361D3C52" w14:textId="77777777" w:rsidR="00C45ABC" w:rsidRPr="00C45ABC" w:rsidRDefault="00C45ABC" w:rsidP="00C45ABC">
      <w:pPr>
        <w:widowControl/>
        <w:autoSpaceDE/>
        <w:autoSpaceDN/>
        <w:spacing w:after="160" w:line="278" w:lineRule="auto"/>
        <w:contextualSpacing/>
        <w:rPr>
          <w:lang w:val="pt-BR"/>
        </w:rPr>
      </w:pPr>
      <w:r w:rsidRPr="00C45ABC">
        <w:rPr>
          <w:lang w:val="pt-BR"/>
        </w:rPr>
        <w:t>O modelo FF3 estende o CAPM adicionando fatores de risco que explicam os retornos anômalos.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1870"/>
        <w:gridCol w:w="5987"/>
      </w:tblGrid>
      <w:tr w:rsidR="00C45ABC" w:rsidRPr="00C45ABC" w14:paraId="6E1EEB3C" w14:textId="77777777" w:rsidTr="00C45A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FE750" w14:textId="77777777" w:rsidR="00C45ABC" w:rsidRPr="00C45ABC" w:rsidRDefault="00C45ABC" w:rsidP="00C45ABC">
            <w:pPr>
              <w:widowControl/>
              <w:autoSpaceDE/>
              <w:autoSpaceDN/>
              <w:spacing w:after="160" w:line="278" w:lineRule="auto"/>
              <w:contextualSpacing/>
              <w:rPr>
                <w:lang w:val="pt-BR"/>
              </w:rPr>
            </w:pPr>
            <w:r w:rsidRPr="00C45ABC">
              <w:rPr>
                <w:b/>
                <w:bCs/>
                <w:lang w:val="pt-BR"/>
              </w:rPr>
              <w:t>Fator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9B385" w14:textId="77777777" w:rsidR="00C45ABC" w:rsidRPr="00C45ABC" w:rsidRDefault="00C45ABC" w:rsidP="00C45ABC">
            <w:pPr>
              <w:widowControl/>
              <w:autoSpaceDE/>
              <w:autoSpaceDN/>
              <w:spacing w:after="160" w:line="278" w:lineRule="auto"/>
              <w:contextualSpacing/>
              <w:rPr>
                <w:lang w:val="pt-BR"/>
              </w:rPr>
            </w:pPr>
            <w:r w:rsidRPr="00C45ABC">
              <w:rPr>
                <w:b/>
                <w:bCs/>
                <w:lang w:val="pt-BR"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8A56B" w14:textId="77777777" w:rsidR="00C45ABC" w:rsidRPr="00C45ABC" w:rsidRDefault="00C45ABC" w:rsidP="00C45ABC">
            <w:pPr>
              <w:widowControl/>
              <w:autoSpaceDE/>
              <w:autoSpaceDN/>
              <w:spacing w:after="160" w:line="278" w:lineRule="auto"/>
              <w:contextualSpacing/>
              <w:rPr>
                <w:lang w:val="pt-BR"/>
              </w:rPr>
            </w:pPr>
            <w:r w:rsidRPr="00C45ABC">
              <w:rPr>
                <w:b/>
                <w:bCs/>
                <w:lang w:val="pt-BR"/>
              </w:rPr>
              <w:t>Racional</w:t>
            </w:r>
          </w:p>
        </w:tc>
      </w:tr>
      <w:tr w:rsidR="00C45ABC" w:rsidRPr="00C45ABC" w14:paraId="6348443D" w14:textId="77777777" w:rsidTr="00C45A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35642" w14:textId="77777777" w:rsidR="00C45ABC" w:rsidRPr="00C45ABC" w:rsidRDefault="00C45ABC" w:rsidP="00C45ABC">
            <w:pPr>
              <w:widowControl/>
              <w:autoSpaceDE/>
              <w:autoSpaceDN/>
              <w:spacing w:after="160" w:line="278" w:lineRule="auto"/>
              <w:contextualSpacing/>
              <w:rPr>
                <w:lang w:val="pt-BR"/>
              </w:rPr>
            </w:pPr>
            <w:r w:rsidRPr="00C45ABC">
              <w:rPr>
                <w:b/>
                <w:bCs/>
                <w:lang w:val="pt-BR"/>
              </w:rPr>
              <w:t>SMB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0E663" w14:textId="77777777" w:rsidR="00C45ABC" w:rsidRPr="00C45ABC" w:rsidRDefault="00C45ABC" w:rsidP="00C45ABC">
            <w:pPr>
              <w:widowControl/>
              <w:autoSpaceDE/>
              <w:autoSpaceDN/>
              <w:spacing w:after="160" w:line="278" w:lineRule="auto"/>
              <w:contextualSpacing/>
              <w:rPr>
                <w:lang w:val="pt-BR"/>
              </w:rPr>
            </w:pPr>
            <w:proofErr w:type="spellStart"/>
            <w:r w:rsidRPr="00C45ABC">
              <w:rPr>
                <w:i/>
                <w:iCs/>
                <w:lang w:val="pt-BR"/>
              </w:rPr>
              <w:t>Small</w:t>
            </w:r>
            <w:proofErr w:type="spellEnd"/>
            <w:r w:rsidRPr="00C45ABC">
              <w:rPr>
                <w:i/>
                <w:iCs/>
                <w:lang w:val="pt-BR"/>
              </w:rPr>
              <w:t xml:space="preserve"> </w:t>
            </w:r>
            <w:proofErr w:type="spellStart"/>
            <w:r w:rsidRPr="00C45ABC">
              <w:rPr>
                <w:i/>
                <w:iCs/>
                <w:lang w:val="pt-BR"/>
              </w:rPr>
              <w:t>Minus</w:t>
            </w:r>
            <w:proofErr w:type="spellEnd"/>
            <w:r w:rsidRPr="00C45ABC">
              <w:rPr>
                <w:i/>
                <w:iCs/>
                <w:lang w:val="pt-BR"/>
              </w:rPr>
              <w:t xml:space="preserve"> Big</w:t>
            </w:r>
            <w:r w:rsidRPr="00C45ABC">
              <w:rPr>
                <w:lang w:val="pt-BR"/>
              </w:rPr>
              <w:t xml:space="preserve"> (Tamanho)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33796" w14:textId="77777777" w:rsidR="00C45ABC" w:rsidRPr="00C45ABC" w:rsidRDefault="00C45ABC" w:rsidP="00C45ABC">
            <w:pPr>
              <w:widowControl/>
              <w:autoSpaceDE/>
              <w:autoSpaceDN/>
              <w:spacing w:after="160" w:line="278" w:lineRule="auto"/>
              <w:contextualSpacing/>
              <w:rPr>
                <w:lang w:val="pt-BR"/>
              </w:rPr>
            </w:pPr>
            <w:r w:rsidRPr="00C45ABC">
              <w:rPr>
                <w:lang w:val="pt-BR"/>
              </w:rPr>
              <w:t xml:space="preserve">Compensa o investidor pelo maior risco de liquidez e vulnerabilidade das </w:t>
            </w:r>
            <w:r w:rsidRPr="00C45ABC">
              <w:rPr>
                <w:b/>
                <w:bCs/>
                <w:lang w:val="pt-BR"/>
              </w:rPr>
              <w:t>empresas menores</w:t>
            </w:r>
            <w:r w:rsidRPr="00C45ABC">
              <w:rPr>
                <w:lang w:val="pt-BR"/>
              </w:rPr>
              <w:t xml:space="preserve"> (</w:t>
            </w:r>
            <w:proofErr w:type="spellStart"/>
            <w:r w:rsidRPr="00C45ABC">
              <w:rPr>
                <w:i/>
                <w:iCs/>
                <w:lang w:val="pt-BR"/>
              </w:rPr>
              <w:t>small</w:t>
            </w:r>
            <w:proofErr w:type="spellEnd"/>
            <w:r w:rsidRPr="00C45ABC">
              <w:rPr>
                <w:i/>
                <w:iCs/>
                <w:lang w:val="pt-BR"/>
              </w:rPr>
              <w:t>-caps</w:t>
            </w:r>
            <w:r w:rsidRPr="00C45ABC">
              <w:rPr>
                <w:lang w:val="pt-BR"/>
              </w:rPr>
              <w:t>).</w:t>
            </w:r>
          </w:p>
        </w:tc>
      </w:tr>
      <w:tr w:rsidR="00C45ABC" w:rsidRPr="00C45ABC" w14:paraId="7E6BC37A" w14:textId="77777777" w:rsidTr="00C45A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ED4B0" w14:textId="77777777" w:rsidR="00C45ABC" w:rsidRPr="00C45ABC" w:rsidRDefault="00C45ABC" w:rsidP="00C45ABC">
            <w:pPr>
              <w:widowControl/>
              <w:autoSpaceDE/>
              <w:autoSpaceDN/>
              <w:spacing w:after="160" w:line="278" w:lineRule="auto"/>
              <w:contextualSpacing/>
              <w:rPr>
                <w:lang w:val="pt-BR"/>
              </w:rPr>
            </w:pPr>
            <w:r w:rsidRPr="00C45ABC">
              <w:rPr>
                <w:b/>
                <w:bCs/>
                <w:lang w:val="pt-BR"/>
              </w:rPr>
              <w:t>HML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25FCB" w14:textId="77777777" w:rsidR="00C45ABC" w:rsidRPr="00C45ABC" w:rsidRDefault="00C45ABC" w:rsidP="00C45ABC">
            <w:pPr>
              <w:widowControl/>
              <w:autoSpaceDE/>
              <w:autoSpaceDN/>
              <w:spacing w:after="160" w:line="278" w:lineRule="auto"/>
              <w:contextualSpacing/>
              <w:rPr>
                <w:lang w:val="pt-BR"/>
              </w:rPr>
            </w:pPr>
            <w:r w:rsidRPr="00C45ABC">
              <w:rPr>
                <w:i/>
                <w:iCs/>
                <w:lang w:val="pt-BR"/>
              </w:rPr>
              <w:t xml:space="preserve">High </w:t>
            </w:r>
            <w:proofErr w:type="spellStart"/>
            <w:r w:rsidRPr="00C45ABC">
              <w:rPr>
                <w:i/>
                <w:iCs/>
                <w:lang w:val="pt-BR"/>
              </w:rPr>
              <w:t>Minus</w:t>
            </w:r>
            <w:proofErr w:type="spellEnd"/>
            <w:r w:rsidRPr="00C45ABC">
              <w:rPr>
                <w:i/>
                <w:iCs/>
                <w:lang w:val="pt-BR"/>
              </w:rPr>
              <w:t xml:space="preserve"> </w:t>
            </w:r>
            <w:proofErr w:type="spellStart"/>
            <w:r w:rsidRPr="00C45ABC">
              <w:rPr>
                <w:i/>
                <w:iCs/>
                <w:lang w:val="pt-BR"/>
              </w:rPr>
              <w:t>Low</w:t>
            </w:r>
            <w:proofErr w:type="spellEnd"/>
            <w:r w:rsidRPr="00C45ABC">
              <w:rPr>
                <w:lang w:val="pt-BR"/>
              </w:rPr>
              <w:t xml:space="preserve"> (Valor)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1D240" w14:textId="77777777" w:rsidR="00C45ABC" w:rsidRPr="00C45ABC" w:rsidRDefault="00C45ABC" w:rsidP="00C45ABC">
            <w:pPr>
              <w:widowControl/>
              <w:autoSpaceDE/>
              <w:autoSpaceDN/>
              <w:spacing w:after="160" w:line="278" w:lineRule="auto"/>
              <w:contextualSpacing/>
              <w:rPr>
                <w:lang w:val="pt-BR"/>
              </w:rPr>
            </w:pPr>
            <w:r w:rsidRPr="00C45ABC">
              <w:rPr>
                <w:lang w:val="pt-BR"/>
              </w:rPr>
              <w:t xml:space="preserve">Compensa o investidor pelo risco de falência e sensibilidade a recessões das </w:t>
            </w:r>
            <w:r w:rsidRPr="00C45ABC">
              <w:rPr>
                <w:b/>
                <w:bCs/>
                <w:lang w:val="pt-BR"/>
              </w:rPr>
              <w:t>empresas de Valor</w:t>
            </w:r>
            <w:r w:rsidRPr="00C45ABC">
              <w:rPr>
                <w:lang w:val="pt-BR"/>
              </w:rPr>
              <w:t xml:space="preserve"> (ações baratas).</w:t>
            </w:r>
          </w:p>
        </w:tc>
      </w:tr>
    </w:tbl>
    <w:p w14:paraId="66504032" w14:textId="77777777" w:rsidR="00FC7369" w:rsidRPr="00C45ABC" w:rsidRDefault="00FC7369" w:rsidP="00FC7369">
      <w:pPr>
        <w:widowControl/>
        <w:autoSpaceDE/>
        <w:autoSpaceDN/>
        <w:spacing w:after="160" w:line="278" w:lineRule="auto"/>
        <w:contextualSpacing/>
        <w:rPr>
          <w:lang w:val="pt-BR"/>
        </w:rPr>
      </w:pPr>
    </w:p>
    <w:p w14:paraId="4B305736" w14:textId="77777777" w:rsidR="00C45ABC" w:rsidRPr="00E27530" w:rsidRDefault="00C45ABC" w:rsidP="00FC7369">
      <w:pPr>
        <w:widowControl/>
        <w:autoSpaceDE/>
        <w:autoSpaceDN/>
        <w:spacing w:after="160" w:line="278" w:lineRule="auto"/>
        <w:contextualSpacing/>
      </w:pPr>
    </w:p>
    <w:p w14:paraId="4B2EA67E" w14:textId="77777777" w:rsidR="006604BA" w:rsidRPr="00E27530" w:rsidRDefault="006604BA" w:rsidP="006604BA">
      <w:pPr>
        <w:pStyle w:val="PargrafodaLista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</w:pPr>
      <w:r w:rsidRPr="00E27530">
        <w:rPr>
          <w:b/>
          <w:bCs/>
        </w:rPr>
        <w:t>A Tese: O Modelo Black-Litterman como Solução para o Erro de Estimação</w:t>
      </w:r>
    </w:p>
    <w:p w14:paraId="57B60A83" w14:textId="77777777" w:rsidR="006604BA" w:rsidRPr="00A33F24" w:rsidRDefault="006604BA" w:rsidP="00153D44">
      <w:pPr>
        <w:pStyle w:val="PargrafodaLista"/>
        <w:widowControl/>
        <w:numPr>
          <w:ilvl w:val="1"/>
          <w:numId w:val="1"/>
        </w:numPr>
        <w:autoSpaceDE/>
        <w:autoSpaceDN/>
        <w:spacing w:line="360" w:lineRule="auto"/>
        <w:contextualSpacing/>
        <w:jc w:val="both"/>
      </w:pPr>
      <w:r>
        <w:rPr>
          <w:lang w:val="pt-BR"/>
        </w:rPr>
        <w:lastRenderedPageBreak/>
        <w:t xml:space="preserve">  </w:t>
      </w:r>
      <w:r w:rsidRPr="00A33F24">
        <w:t>O Framework Black-Litterman: Uma Abordagem Bayesiana para Síntese</w:t>
      </w:r>
    </w:p>
    <w:p w14:paraId="7DBE1C27" w14:textId="77777777" w:rsidR="006604BA" w:rsidRPr="00326D97" w:rsidRDefault="006604BA" w:rsidP="00080D69">
      <w:pPr>
        <w:pStyle w:val="PargrafodaLista"/>
        <w:widowControl/>
        <w:numPr>
          <w:ilvl w:val="1"/>
          <w:numId w:val="1"/>
        </w:numPr>
        <w:autoSpaceDE/>
        <w:autoSpaceDN/>
        <w:spacing w:line="300" w:lineRule="atLeast"/>
        <w:jc w:val="center"/>
        <w:rPr>
          <w:lang w:val="pt-BR"/>
        </w:rPr>
      </w:pPr>
      <w:r>
        <w:rPr>
          <w:lang w:val="pt-BR"/>
        </w:rPr>
        <w:t xml:space="preserve"> </w:t>
      </w:r>
      <w:r w:rsidR="00153D44" w:rsidRPr="00393A24">
        <w:t>O "Prior" (Crença Inicial): O Equilíbrio de Mercado (Π)</w:t>
      </w:r>
    </w:p>
    <w:p w14:paraId="014AF8D6" w14:textId="77777777" w:rsidR="00326D97" w:rsidRPr="00DF1636" w:rsidRDefault="00326D97" w:rsidP="00326D97">
      <w:pPr>
        <w:pStyle w:val="PargrafodaLista"/>
        <w:numPr>
          <w:ilvl w:val="2"/>
          <w:numId w:val="1"/>
        </w:numPr>
        <w:spacing w:line="360" w:lineRule="auto"/>
        <w:jc w:val="center"/>
      </w:pPr>
      <w:r w:rsidRPr="00DF1636">
        <w:t>Derivação do Prior: A Otimização Reversa</w:t>
      </w:r>
    </w:p>
    <w:p w14:paraId="3438D62D" w14:textId="77777777" w:rsidR="00326D97" w:rsidRPr="00153D44" w:rsidRDefault="00326D97" w:rsidP="00080D69">
      <w:pPr>
        <w:pStyle w:val="PargrafodaLista"/>
        <w:widowControl/>
        <w:numPr>
          <w:ilvl w:val="1"/>
          <w:numId w:val="1"/>
        </w:numPr>
        <w:autoSpaceDE/>
        <w:autoSpaceDN/>
        <w:spacing w:line="300" w:lineRule="atLeast"/>
        <w:jc w:val="center"/>
        <w:rPr>
          <w:lang w:val="pt-BR"/>
        </w:rPr>
      </w:pPr>
    </w:p>
    <w:p w14:paraId="037D4B2D" w14:textId="77777777" w:rsidR="00D640C7" w:rsidRPr="00D640C7" w:rsidRDefault="00326D97" w:rsidP="00D640C7">
      <w:pPr>
        <w:pStyle w:val="PargrafodaLista"/>
        <w:widowControl/>
        <w:numPr>
          <w:ilvl w:val="1"/>
          <w:numId w:val="1"/>
        </w:numPr>
        <w:autoSpaceDE/>
        <w:autoSpaceDN/>
        <w:spacing w:line="300" w:lineRule="atLeast"/>
        <w:jc w:val="center"/>
        <w:rPr>
          <w:lang w:val="pt-BR"/>
        </w:rPr>
      </w:pPr>
      <w:r w:rsidRPr="00B82F8D">
        <w:t>Componente 2: As "Visões" (</w:t>
      </w:r>
      <w:r w:rsidRPr="00B82F8D">
        <w:rPr>
          <w:b/>
          <w:bCs/>
        </w:rPr>
        <w:t>P</w:t>
      </w:r>
      <w:r w:rsidRPr="00B82F8D">
        <w:t xml:space="preserve"> e </w:t>
      </w:r>
      <w:r w:rsidRPr="00B82F8D">
        <w:rPr>
          <w:b/>
          <w:bCs/>
        </w:rPr>
        <w:t>Q</w:t>
      </w:r>
      <w:r w:rsidRPr="00B82F8D">
        <w:t>) - A Incorporação da Previsão</w:t>
      </w:r>
      <w:r w:rsidRPr="00AE080B">
        <w:t xml:space="preserve"> </w:t>
      </w:r>
    </w:p>
    <w:p w14:paraId="78B9BF9E" w14:textId="77777777" w:rsidR="00D640C7" w:rsidRPr="00DD202E" w:rsidRDefault="00D640C7" w:rsidP="00D640C7">
      <w:pPr>
        <w:pStyle w:val="PargrafodaLista"/>
        <w:widowControl/>
        <w:numPr>
          <w:ilvl w:val="1"/>
          <w:numId w:val="1"/>
        </w:numPr>
        <w:autoSpaceDE/>
        <w:autoSpaceDN/>
        <w:spacing w:line="300" w:lineRule="atLeast"/>
        <w:jc w:val="center"/>
        <w:rPr>
          <w:lang w:val="pt-BR"/>
        </w:rPr>
      </w:pPr>
      <w:r w:rsidRPr="00B81DAD">
        <w:t>Componente 3: A Incerteza da Visão (</w:t>
      </w:r>
      <w:r w:rsidRPr="00B81DAD">
        <w:rPr>
          <w:b/>
          <w:bCs/>
        </w:rPr>
        <w:t>Ω</w:t>
      </w:r>
      <w:r w:rsidRPr="00B81DAD">
        <w:t>) - A Quantificação da Confiança</w:t>
      </w:r>
    </w:p>
    <w:p w14:paraId="08F916C9" w14:textId="77777777" w:rsidR="00D640C7" w:rsidRDefault="00D640C7" w:rsidP="00D640C7">
      <w:pPr>
        <w:pStyle w:val="PargrafodaLista"/>
        <w:numPr>
          <w:ilvl w:val="2"/>
          <w:numId w:val="1"/>
        </w:numPr>
        <w:spacing w:line="360" w:lineRule="auto"/>
        <w:jc w:val="center"/>
      </w:pPr>
      <w:r w:rsidRPr="00B81DAD">
        <w:t xml:space="preserve">A Importância de </w:t>
      </w:r>
      <w:r w:rsidRPr="00DD202E">
        <w:rPr>
          <w:b/>
          <w:bCs/>
        </w:rPr>
        <w:t>Ω</w:t>
      </w:r>
      <w:r w:rsidRPr="00B81DAD">
        <w:t xml:space="preserve"> como Peso Bayesiano</w:t>
      </w:r>
    </w:p>
    <w:p w14:paraId="56EBDAFC" w14:textId="77777777" w:rsidR="00DD202E" w:rsidRPr="00DD202E" w:rsidRDefault="00DD202E" w:rsidP="00D640C7">
      <w:pPr>
        <w:pStyle w:val="PargrafodaLista"/>
        <w:widowControl/>
        <w:autoSpaceDE/>
        <w:autoSpaceDN/>
        <w:spacing w:line="300" w:lineRule="atLeast"/>
        <w:ind w:left="792" w:firstLine="0"/>
        <w:rPr>
          <w:lang w:val="pt-BR"/>
        </w:rPr>
      </w:pPr>
    </w:p>
    <w:p w14:paraId="313CD7B4" w14:textId="77777777" w:rsidR="00153D44" w:rsidRPr="00DD202E" w:rsidRDefault="00153D44" w:rsidP="00080D69">
      <w:pPr>
        <w:pStyle w:val="PargrafodaLista"/>
        <w:widowControl/>
        <w:numPr>
          <w:ilvl w:val="1"/>
          <w:numId w:val="1"/>
        </w:numPr>
        <w:autoSpaceDE/>
        <w:autoSpaceDN/>
        <w:spacing w:line="300" w:lineRule="atLeast"/>
        <w:jc w:val="center"/>
        <w:rPr>
          <w:lang w:val="pt-BR"/>
        </w:rPr>
      </w:pPr>
      <w:r w:rsidRPr="00AE080B">
        <w:t>O "Posterior" (Resultado): O Retorno Esperado Combinado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BL</m:t>
            </m:r>
          </m:sub>
        </m:sSub>
      </m:oMath>
      <w:r w:rsidRPr="00AE080B">
        <w:t>)</w:t>
      </w:r>
    </w:p>
    <w:p w14:paraId="062BEC49" w14:textId="77777777" w:rsidR="00D640C7" w:rsidRPr="00B81DAD" w:rsidRDefault="00D640C7" w:rsidP="00D640C7">
      <w:pPr>
        <w:spacing w:line="360" w:lineRule="auto"/>
        <w:jc w:val="center"/>
      </w:pPr>
      <w:r w:rsidRPr="00B81DAD">
        <w:t>Vantagens do Modelo Black-Litterman</w:t>
      </w:r>
    </w:p>
    <w:p w14:paraId="5E146277" w14:textId="77777777" w:rsidR="00D640C7" w:rsidRPr="00B81DAD" w:rsidRDefault="00D640C7" w:rsidP="001A06E7">
      <w:pPr>
        <w:pStyle w:val="PargrafodaLista"/>
        <w:numPr>
          <w:ilvl w:val="1"/>
          <w:numId w:val="1"/>
        </w:numPr>
        <w:spacing w:line="360" w:lineRule="auto"/>
        <w:jc w:val="both"/>
      </w:pPr>
      <w:r w:rsidRPr="00B81DAD">
        <w:t>As principais vantagens do modelo são:</w:t>
      </w:r>
    </w:p>
    <w:p w14:paraId="4F12670A" w14:textId="77777777" w:rsidR="00D640C7" w:rsidRPr="001F6C0D" w:rsidRDefault="00D640C7" w:rsidP="001A06E7">
      <w:pPr>
        <w:pStyle w:val="PargrafodaLista"/>
        <w:widowControl/>
        <w:numPr>
          <w:ilvl w:val="1"/>
          <w:numId w:val="1"/>
        </w:numPr>
        <w:autoSpaceDE/>
        <w:autoSpaceDN/>
        <w:spacing w:line="360" w:lineRule="auto"/>
        <w:contextualSpacing/>
        <w:jc w:val="both"/>
      </w:pPr>
      <w:r w:rsidRPr="001F6C0D">
        <w:rPr>
          <w:b/>
          <w:bCs/>
        </w:rPr>
        <w:t>Estabilidade e Intuição:</w:t>
      </w:r>
      <w:r w:rsidRPr="001F6C0D">
        <w:t xml:space="preserve"> O BL produz carteiras mais </w:t>
      </w:r>
      <w:r w:rsidRPr="001F6C0D">
        <w:rPr>
          <w:b/>
          <w:bCs/>
        </w:rPr>
        <w:t>equilibradas e estáveis</w:t>
      </w:r>
      <w:r w:rsidRPr="001F6C0D">
        <w:t xml:space="preserve"> no tempo, pois utiliza os retornos de equilíbrio (Π) como um </w:t>
      </w:r>
      <w:r w:rsidRPr="001F6C0D">
        <w:rPr>
          <w:b/>
          <w:bCs/>
        </w:rPr>
        <w:t>centro de gravidade</w:t>
      </w:r>
      <w:r w:rsidRPr="001F6C0D">
        <w:t xml:space="preserve">. Isso leva a carteiras </w:t>
      </w:r>
      <w:r w:rsidRPr="001F6C0D">
        <w:rPr>
          <w:b/>
          <w:bCs/>
        </w:rPr>
        <w:t>mais intuitivas e diversificadas</w:t>
      </w:r>
      <w:r w:rsidRPr="001F6C0D">
        <w:t xml:space="preserve"> em comparação com as soluções extremas geradas pelo M-V.</w:t>
      </w:r>
    </w:p>
    <w:p w14:paraId="1007D57C" w14:textId="77777777" w:rsidR="00D640C7" w:rsidRPr="001F6C0D" w:rsidRDefault="00D640C7" w:rsidP="001A06E7">
      <w:pPr>
        <w:pStyle w:val="PargrafodaLista"/>
        <w:widowControl/>
        <w:numPr>
          <w:ilvl w:val="1"/>
          <w:numId w:val="1"/>
        </w:numPr>
        <w:autoSpaceDE/>
        <w:autoSpaceDN/>
        <w:spacing w:line="360" w:lineRule="auto"/>
        <w:contextualSpacing/>
        <w:jc w:val="both"/>
      </w:pPr>
      <w:r w:rsidRPr="001F6C0D">
        <w:rPr>
          <w:b/>
          <w:bCs/>
        </w:rPr>
        <w:t>Mitigação de Erros de Estimação:</w:t>
      </w:r>
      <w:r w:rsidRPr="001F6C0D">
        <w:t xml:space="preserve"> O BL foi elaborado para </w:t>
      </w:r>
      <w:r w:rsidRPr="001F6C0D">
        <w:rPr>
          <w:b/>
          <w:bCs/>
        </w:rPr>
        <w:t>controlar os comportamentos instáveis</w:t>
      </w:r>
      <w:r w:rsidRPr="001F6C0D">
        <w:t xml:space="preserve"> do otimizador de Markowitz. Ele </w:t>
      </w:r>
      <w:r w:rsidRPr="001F6C0D">
        <w:rPr>
          <w:b/>
          <w:bCs/>
        </w:rPr>
        <w:t>mitiga o problema de maximizar os erros de estimação</w:t>
      </w:r>
      <w:r w:rsidRPr="001F6C0D">
        <w:t xml:space="preserve"> ao espalhar os erros ao longo do vetor de retornos esperados.</w:t>
      </w:r>
    </w:p>
    <w:p w14:paraId="1795AA46" w14:textId="77777777" w:rsidR="00D640C7" w:rsidRPr="001F6C0D" w:rsidRDefault="00D640C7" w:rsidP="001A06E7">
      <w:pPr>
        <w:pStyle w:val="PargrafodaLista"/>
        <w:widowControl/>
        <w:numPr>
          <w:ilvl w:val="1"/>
          <w:numId w:val="1"/>
        </w:numPr>
        <w:autoSpaceDE/>
        <w:autoSpaceDN/>
        <w:spacing w:line="360" w:lineRule="auto"/>
        <w:contextualSpacing/>
        <w:jc w:val="both"/>
      </w:pPr>
      <w:r w:rsidRPr="001F6C0D">
        <w:rPr>
          <w:b/>
          <w:bCs/>
        </w:rPr>
        <w:t>Flexibilidade e Disciplina:</w:t>
      </w:r>
      <w:r w:rsidRPr="001F6C0D">
        <w:t xml:space="preserve"> O modelo permite que o gestor da carteira </w:t>
      </w:r>
      <w:r w:rsidRPr="001F6C0D">
        <w:rPr>
          <w:b/>
          <w:bCs/>
        </w:rPr>
        <w:t>inclua suas expectativas</w:t>
      </w:r>
      <w:r w:rsidRPr="001F6C0D">
        <w:t xml:space="preserve"> sobre o mercado de forma transparente e disciplinada. O gestor precisa apenas estimar os retornos esperados para os ativos sobre os quais possui uma visão, sem a necessidade de estimar o retorno esperado para todos os ativos da carteira.</w:t>
      </w:r>
    </w:p>
    <w:p w14:paraId="63B20A0E" w14:textId="77777777" w:rsidR="00D640C7" w:rsidRPr="001F6C0D" w:rsidRDefault="00D640C7" w:rsidP="001A06E7">
      <w:pPr>
        <w:pStyle w:val="PargrafodaLista"/>
        <w:widowControl/>
        <w:numPr>
          <w:ilvl w:val="1"/>
          <w:numId w:val="1"/>
        </w:numPr>
        <w:autoSpaceDE/>
        <w:autoSpaceDN/>
        <w:spacing w:line="360" w:lineRule="auto"/>
        <w:contextualSpacing/>
        <w:jc w:val="both"/>
      </w:pPr>
      <w:r w:rsidRPr="001F6C0D">
        <w:rPr>
          <w:b/>
          <w:bCs/>
        </w:rPr>
        <w:t>Coerência Teórica:</w:t>
      </w:r>
      <w:r w:rsidRPr="001F6C0D">
        <w:t xml:space="preserve"> O modelo é coerente com a </w:t>
      </w:r>
      <w:r w:rsidRPr="001F6C0D">
        <w:rPr>
          <w:b/>
          <w:bCs/>
        </w:rPr>
        <w:t>teoria financeira moderna</w:t>
      </w:r>
      <w:r w:rsidRPr="001F6C0D">
        <w:t>: se o investidor não manifestar qualquer expectativa, os retornos esperados posteriores serão iguais aos retornos de equilíbrio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BL</m:t>
            </m:r>
          </m:sub>
        </m:sSub>
      </m:oMath>
      <w:r w:rsidRPr="001F6C0D">
        <w:rPr>
          <w:rFonts w:eastAsiaTheme="minorEastAsia"/>
        </w:rPr>
        <w:t xml:space="preserve"> </w:t>
      </w:r>
      <w:r w:rsidRPr="001F6C0D">
        <w:t>= Π).</w:t>
      </w:r>
    </w:p>
    <w:p w14:paraId="4038B7FE" w14:textId="77777777" w:rsidR="00D640C7" w:rsidRPr="00B81DAD" w:rsidRDefault="00D640C7" w:rsidP="001A06E7">
      <w:pPr>
        <w:pStyle w:val="PargrafodaLista"/>
        <w:numPr>
          <w:ilvl w:val="1"/>
          <w:numId w:val="1"/>
        </w:numPr>
        <w:spacing w:line="360" w:lineRule="auto"/>
        <w:jc w:val="both"/>
      </w:pPr>
      <w:r w:rsidRPr="00B81DAD">
        <w:t xml:space="preserve">Em suma, o BL fornece uma </w:t>
      </w:r>
      <w:r w:rsidRPr="001A06E7">
        <w:rPr>
          <w:b/>
          <w:bCs/>
        </w:rPr>
        <w:t>abordagem quantitativa teórica</w:t>
      </w:r>
      <w:r w:rsidRPr="00B81DAD">
        <w:t xml:space="preserve"> para dar suporte à tomada de decisão de investimento, transformando o vetor de retornos esperados, que é o </w:t>
      </w:r>
      <w:r w:rsidRPr="001A06E7">
        <w:rPr>
          <w:i/>
          <w:iCs/>
        </w:rPr>
        <w:t>input</w:t>
      </w:r>
      <w:r w:rsidRPr="00B81DAD">
        <w:t xml:space="preserve"> mais sensível do modelo de Markowitz, em um dado de entrada </w:t>
      </w:r>
      <w:r w:rsidRPr="001A06E7">
        <w:rPr>
          <w:b/>
          <w:bCs/>
        </w:rPr>
        <w:t>robusto, estável e economicamente fundamentado</w:t>
      </w:r>
      <w:r w:rsidRPr="00B81DAD">
        <w:t>.</w:t>
      </w:r>
    </w:p>
    <w:p w14:paraId="5AF75D3E" w14:textId="77777777" w:rsidR="00DD202E" w:rsidRPr="00117D6C" w:rsidRDefault="00DD202E" w:rsidP="001A06E7">
      <w:pPr>
        <w:pStyle w:val="PargrafodaLista"/>
        <w:widowControl/>
        <w:autoSpaceDE/>
        <w:autoSpaceDN/>
        <w:spacing w:line="300" w:lineRule="atLeast"/>
        <w:ind w:left="792" w:firstLine="0"/>
        <w:rPr>
          <w:lang w:val="pt-BR"/>
        </w:rPr>
      </w:pPr>
    </w:p>
    <w:sectPr w:rsidR="00DD202E" w:rsidRPr="00117D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KaTeX_Main">
    <w:altName w:val="Times New Roman"/>
    <w:panose1 w:val="00000000000000000000"/>
    <w:charset w:val="00"/>
    <w:family w:val="roman"/>
    <w:notTrueType/>
    <w:pitch w:val="default"/>
  </w:font>
  <w:font w:name="Google Sans">
    <w:altName w:val="Times New Roman"/>
    <w:charset w:val="00"/>
    <w:family w:val="auto"/>
    <w:pitch w:val="default"/>
  </w:font>
  <w:font w:name="Google Sans Text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6069C"/>
    <w:multiLevelType w:val="hybridMultilevel"/>
    <w:tmpl w:val="7D1E6B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C7765"/>
    <w:multiLevelType w:val="hybridMultilevel"/>
    <w:tmpl w:val="70B660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348C1"/>
    <w:multiLevelType w:val="hybridMultilevel"/>
    <w:tmpl w:val="93AEFD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9523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pacing w:val="0"/>
        <w:w w:val="99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pt-PT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4" w15:restartNumberingAfterBreak="0">
    <w:nsid w:val="51126236"/>
    <w:multiLevelType w:val="multilevel"/>
    <w:tmpl w:val="0C883542"/>
    <w:lvl w:ilvl="0">
      <w:start w:val="2"/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8837D9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DF02C2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69404240">
    <w:abstractNumId w:val="3"/>
  </w:num>
  <w:num w:numId="2" w16cid:durableId="688216937">
    <w:abstractNumId w:val="1"/>
  </w:num>
  <w:num w:numId="3" w16cid:durableId="1628974663">
    <w:abstractNumId w:val="0"/>
  </w:num>
  <w:num w:numId="4" w16cid:durableId="645663542">
    <w:abstractNumId w:val="2"/>
  </w:num>
  <w:num w:numId="5" w16cid:durableId="924875389">
    <w:abstractNumId w:val="5"/>
  </w:num>
  <w:num w:numId="6" w16cid:durableId="754208651">
    <w:abstractNumId w:val="4"/>
  </w:num>
  <w:num w:numId="7" w16cid:durableId="19512747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15E"/>
    <w:rsid w:val="00080D69"/>
    <w:rsid w:val="00117D6C"/>
    <w:rsid w:val="00153D44"/>
    <w:rsid w:val="001A06E7"/>
    <w:rsid w:val="00326D97"/>
    <w:rsid w:val="00530E72"/>
    <w:rsid w:val="0065769F"/>
    <w:rsid w:val="006604BA"/>
    <w:rsid w:val="008B2713"/>
    <w:rsid w:val="00B05BFB"/>
    <w:rsid w:val="00C36E15"/>
    <w:rsid w:val="00C45ABC"/>
    <w:rsid w:val="00D640C7"/>
    <w:rsid w:val="00DD0569"/>
    <w:rsid w:val="00DD202E"/>
    <w:rsid w:val="00F23E76"/>
    <w:rsid w:val="00F36F18"/>
    <w:rsid w:val="00F6115E"/>
    <w:rsid w:val="00F7705C"/>
    <w:rsid w:val="00FC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AF7E0"/>
  <w15:chartTrackingRefBased/>
  <w15:docId w15:val="{AFEE6334-1204-436A-B5BA-40FF96A2C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611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FC73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1"/>
    <w:qFormat/>
    <w:rsid w:val="00F6115E"/>
    <w:pPr>
      <w:ind w:left="14" w:right="6"/>
      <w:jc w:val="center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link w:val="Ttulo3Char"/>
    <w:uiPriority w:val="1"/>
    <w:qFormat/>
    <w:rsid w:val="00F6115E"/>
    <w:pPr>
      <w:ind w:left="841" w:hanging="360"/>
      <w:outlineLvl w:val="2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1"/>
    <w:rsid w:val="00F6115E"/>
    <w:rPr>
      <w:rFonts w:ascii="Times New Roman" w:eastAsia="Times New Roman" w:hAnsi="Times New Roman" w:cs="Times New Roman"/>
      <w:b/>
      <w:bCs/>
      <w:sz w:val="28"/>
      <w:szCs w:val="28"/>
      <w:lang w:val="pt-PT"/>
    </w:rPr>
  </w:style>
  <w:style w:type="character" w:customStyle="1" w:styleId="Ttulo3Char">
    <w:name w:val="Título 3 Char"/>
    <w:basedOn w:val="Fontepargpadro"/>
    <w:link w:val="Ttulo3"/>
    <w:uiPriority w:val="1"/>
    <w:rsid w:val="00F6115E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character" w:styleId="Forte">
    <w:name w:val="Strong"/>
    <w:basedOn w:val="Fontepargpadro"/>
    <w:uiPriority w:val="22"/>
    <w:qFormat/>
    <w:rsid w:val="00F6115E"/>
    <w:rPr>
      <w:b/>
      <w:bCs/>
    </w:rPr>
  </w:style>
  <w:style w:type="paragraph" w:styleId="PargrafodaLista">
    <w:name w:val="List Paragraph"/>
    <w:basedOn w:val="Normal"/>
    <w:uiPriority w:val="34"/>
    <w:qFormat/>
    <w:rsid w:val="00F6115E"/>
    <w:pPr>
      <w:ind w:left="841" w:hanging="360"/>
    </w:pPr>
  </w:style>
  <w:style w:type="character" w:customStyle="1" w:styleId="ng-star-inserted">
    <w:name w:val="ng-star-inserted"/>
    <w:basedOn w:val="Fontepargpadro"/>
    <w:rsid w:val="00F6115E"/>
  </w:style>
  <w:style w:type="character" w:customStyle="1" w:styleId="mord">
    <w:name w:val="mord"/>
    <w:basedOn w:val="Fontepargpadro"/>
    <w:rsid w:val="008B2713"/>
  </w:style>
  <w:style w:type="character" w:customStyle="1" w:styleId="Ttulo1Char">
    <w:name w:val="Título 1 Char"/>
    <w:basedOn w:val="Fontepargpadro"/>
    <w:link w:val="Ttulo1"/>
    <w:uiPriority w:val="9"/>
    <w:rsid w:val="00FC736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PT"/>
    </w:rPr>
  </w:style>
  <w:style w:type="paragraph" w:styleId="NormalWeb">
    <w:name w:val="Normal (Web)"/>
    <w:basedOn w:val="Normal"/>
    <w:uiPriority w:val="99"/>
    <w:semiHidden/>
    <w:unhideWhenUsed/>
    <w:rsid w:val="00C45AB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2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B76B66-3F03-48AD-9869-23065A3D6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891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Augusto Pinheiro Reis</dc:creator>
  <cp:keywords/>
  <dc:description/>
  <cp:lastModifiedBy>Pedro Augusto Pinheiro Reis</cp:lastModifiedBy>
  <cp:revision>2</cp:revision>
  <dcterms:created xsi:type="dcterms:W3CDTF">2025-11-19T16:48:00Z</dcterms:created>
  <dcterms:modified xsi:type="dcterms:W3CDTF">2025-11-19T17:27:00Z</dcterms:modified>
</cp:coreProperties>
</file>