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Entrega_12_Pedro_Reis_05062026_1600 - Versão Markdown (.md)</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Abaixo está o conteúdo integral do seu trabalho de conclusão de curso estruturado e limpo em formato Markdown para utilização direta em plataformas de leitura ou análise de dados.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before="225" w:line="300" w:lineRule="auto"/>
        <w:ind w:left="225" w:right="225" w:firstLine="0"/>
        <w:rPr>
          <w:rFonts w:ascii="Courier" w:cs="Courier" w:eastAsia="Courier" w:hAnsi="Courier"/>
          <w:shd w:fill="f4f6f9" w:val="clear"/>
        </w:rPr>
      </w:pPr>
      <w:r w:rsidDel="00000000" w:rsidR="00000000" w:rsidRPr="00000000">
        <w:rPr>
          <w:rFonts w:ascii="Courier" w:cs="Courier" w:eastAsia="Courier" w:hAnsi="Courier"/>
          <w:shd w:fill="f4f6f9" w:val="clear"/>
          <w:rtl w:val="0"/>
        </w:rPr>
        <w:t xml:space="preserve"># UNIVERSIDADE FEDERAL DE GOIÁS</w:t>
        <w:br w:type="textWrapping"/>
        <w:t xml:space="preserve">## FACULDADE DE ADMINISTRAÇÃO, CIÊNCIAS CONTÁBEIS E CIÊNCIAS ECONÔMICAS</w:t>
        <w:br w:type="textWrapping"/>
        <w:t xml:space="preserve">### CURSO DE CIÊNCIAS CONTÁBEIS</w:t>
        <w:br w:type="textWrapping"/>
        <w:br w:type="textWrapping"/>
        <w:t xml:space="preserve">**Autor:** PEDRO AUGUSTO PINHEIRO REIS</w:t>
        <w:br w:type="textWrapping"/>
        <w:t xml:space="preserve">**Título:** Moderna Teoria das Carteiras no Mercado de Ações Brasileiro: Comparação entre Otimizadores e Inputs</w:t>
        <w:br w:type="textWrapping"/>
        <w:t xml:space="preserve">**Orientador:** Prof. Dr. Moisés Ferreira da Cunha</w:t>
        <w:br w:type="textWrapping"/>
        <w:t xml:space="preserve">**Local e Ano:** Goiânia - GO, 2026</w:t>
        <w:br w:type="textWrapping"/>
        <w:br w:type="textWrapping"/>
        <w:t xml:space="preserve">---</w:t>
        <w:br w:type="textWrapping"/>
        <w:br w:type="textWrapping"/>
        <w:t xml:space="preserve">## RESUMO</w:t>
        <w:br w:type="textWrapping"/>
        <w:t xml:space="preserve">O presente estudo avalia o desempenho de carteiras de investimento no mercado acionário brasileiro, fundamentado na evolução da Teoria Moderna do Portfólio (MPT) para a Teoria Pós-Moderna (PMPT) e o modelo de Black-Litterman (BL). A pesquisa analisa o impacto da variação nas metodologias de estimação de retornos esperados (inputs) — utilizando média histórica e o fator de momentum de 12 meses (momentum 12-1) para geração de visões no modelo Black-Litterman — combinadas a diferentes algoritmos de otimização: Média-Variância, Mínima Variância Global, Maximização do Índice de Sortino e Minimização do Conditional Value at Risk (CVaR). O desempenho das carteiras é confrontado com os benchmarks IBOVESPA e CDI no período de janeiro de 2010 a dezembro de 2025, buscando identificar estratégias de alocação de ativos que ofereçam relações risco-retorno superiores e mais robustas às especificidades do mercado local.</w:t>
        <w:br w:type="textWrapping"/>
        <w:br w:type="textWrapping"/>
        <w:t xml:space="preserve">**Palavras-chave:** Otimização de Portfólio. Black-Litterman. CVaR. Mercado Brasileiro.</w:t>
        <w:br w:type="textWrapping"/>
        <w:br w:type="textWrapping"/>
        <w:t xml:space="preserve">## ABSTRACT</w:t>
        <w:br w:type="textWrapping"/>
        <w:t xml:space="preserve">This study evaluates the performance of investment portfolios in the Brazilian stock market, based on the evolution from Modern Portfolio Theory (MPT) to Post-Modern Portfolio Theory (PMPT) and the Black-Litterman (BL) model. The research analyzes the impact of variation in the methodologies for estimating expected returns (inputs) — using historical averages and the 12-1 momentum factor to generate views in the Black-Litterman model — combined with different optimization algorithms: Mean-Variance, Minimum Global Variance, Sortino Ratio Maximization, and Conditional Value at Risk (CVaR) Minimization. The performance of the portfolios is compared to the IBOVESPA and CDI benchmarks over the period from January 2010 to December 2025, seeking to identify asset allocation strategies that offer superior risk-return ratios and are more robust to the specificities of the local market.</w:t>
        <w:br w:type="textWrapping"/>
        <w:br w:type="textWrapping"/>
        <w:t xml:space="preserve">**Keywords:** Portfolio Optimization. Black-Litterman. CVaR. Brazilian Market.</w:t>
        <w:br w:type="textWrapping"/>
        <w:br w:type="textWrapping"/>
        <w:t xml:space="preserve">---</w:t>
        <w:br w:type="textWrapping"/>
        <w:br w:type="textWrapping"/>
        <w:t xml:space="preserve">## 1. INTRODUÇÃO</w:t>
        <w:br w:type="textWrapping"/>
        <w:t xml:space="preserve">A alocação de capital iniciou-se quase como uma arte, em que a intuição predominava, amadureceu com a adoção de cálculos, estatísticas e métricas bem definidas. Antes da formalização da Teoria Moderna do Portfólio (MPT), a gestão de carteiras carecia de um arcabouço unificado. A Moderna Teoria do Portfólio (MPT), proposta por Harry Markowitz em sua publicação seminal de 1952, inaugurou a abordagem quantitativa para a seleção de ativos e a formação de carteiras eficientes. Fundamentada nos conceitos de diversificação e fronteira eficiente, a teoria busca otimizar a alocação de recursos maximizando o retorno esperado e minimizando o risco, representado pela variância dos retornos (Markowitz, 1952, 1959).</w:t>
        <w:br w:type="textWrapping"/>
        <w:br w:type="textWrapping"/>
        <w:t xml:space="preserve">Posteriormente, William Sharpe (1966) contribuiu ao propor o Índice de Sharpe, que relaciona o retorno excedente ao risco total da carteira, oferecendo uma métrica objetiva de avaliação de desempenho ajustado ao risco. Entretanto, a aplicação prática da MPT enfrenta desafios substanciais, uma vez que assume hipóteses idealizadas — como a normalidade dos retornos e a simetria na distribuição dos riscos — que raramente se confirmam em mercados emergentes como o brasileiro (Damodaran, 2007). Adicionalmente, o modelo de otimização de média-variância é notório por sua sensibilidade extrema aos inputs (estimativas de retorno e covariância), fenômeno conhecido como "maximização de erros", que frequentemente resulta em portfólios instáveis e pouco diversificados, concentrados em soluções de canto (Michaud, 1989).</w:t>
        <w:br w:type="textWrapping"/>
        <w:br w:type="textWrapping"/>
        <w:t xml:space="preserve">Nesse contexto, o Modelo Black-Litterman (1992) foi desenvolvido como uma evolução do modelo de Markowitz, visando mitigar tais instabilidades. Utilizando uma abordagem Bayesiana, o modelo combina o retorno de equilíbrio de mercado (o Prior, derivado do CAPM reverso) com as visões subjetivas do investidor (a Likelihood), gerando uma distribuição Posterior de retornos esperados. Essa fusão gera carteiras mais estáveis, intuitivas e diversificadas, ancoradas na racionalidade do equilíbrio de mercado (Black; Litterman, 1992).</w:t>
        <w:br w:type="textWrapping"/>
        <w:br w:type="textWrapping"/>
        <w:t xml:space="preserve">Paralelamente, em resposta à inadequação da variância como medida de risco em distribuições não normais, surgiu a Teoria Pós-Moderna do Portfólio (PMPT) (Rom; Ferguson, 1994). Esta abordagem propõe métricas assimétricas que se alinham melhor à aversão à perda do investidor, como a semivariância, o Conditional Value at Risk (CVaR) e o Índice de Sortino, priorizando a análise do downside risk em detrimento da volatilidade total (Sortino; Van Der Meer, 1991).</w:t>
        <w:br w:type="textWrapping"/>
        <w:br w:type="textWrapping"/>
        <w:t xml:space="preserve">Diante da evolução teórica que transcende o modelo clássico de média-variância, e considerando a complexidade do mercado acionário brasileiro, este projeto propõe a seguinte questão de pesquisa: **Qual a eficácia comparativa de carteiras construídas sob as óticas da MPT, PMPT e Black-Litterman, quando submetidas a diferentes métodos de estimação de inputs (Média Histórica e Fator de Momentum 12-1) no mercado brasileiro?**</w:t>
        <w:br w:type="textWrapping"/>
        <w:br w:type="textWrapping"/>
        <w:t xml:space="preserve">O objetivo geral deste trabalho é avaliar o desempenho de carteiras otimizadas, variando-se a estimação dos retornos esperados entre a Média Histórica e o fator de momentum de 12 meses (momentum 12-1). Serão testados otimizadores distintos: Média-Variância, Mínima Variância Global, Máximo Índice de Sortino, Mínimo-CVaR e a abordagem mista de Black-Litterman. O estudo abrange o período de janeiro de 2010 a dezembro de 2025, comparando os resultados com benchmarks como o IBOVESPA e o CDI, a fim de demonstrar alternativas robustas para a alocação de ativos no Brasil.</w:t>
        <w:br w:type="textWrapping"/>
        <w:br w:type="textWrapping"/>
        <w:t xml:space="preserve">---</w:t>
        <w:br w:type="textWrapping"/>
        <w:br w:type="textWrapping"/>
        <w:t xml:space="preserve">## 2. REFERENCIAL TEÓRICO</w:t>
        <w:br w:type="textWrapping"/>
        <w:br w:type="textWrapping"/>
        <w:t xml:space="preserve">### 2.1. Gênese da Gestão de Portfólios e o Paradigma Pré-Markowitz</w:t>
        <w:br w:type="textWrapping"/>
        <w:t xml:space="preserve">Até o início da década de 1950, a teoria de investimentos operava sob o "paradigma da seleção de ativos" (stock picking). A literatura seminal da época focava quase exclusivamente na determinação do valor intrínseco de títulos individuais, tratando a construção do portfólio como uma consequência secundária da acumulação de ativos subavaliados (Williams, 2014; Graham &amp; Dodd, 1934). John Burr Williams (1938) introduziu o Modelo de Desconto de Dividendos (DDM), estabelecendo a fórmula:</w:t>
        <w:br w:type="textWrapping"/>
        <w:br w:type="textWrapping"/>
        <w:t xml:space="preserve">$$V_0 = \sum_{t=1}^{\infty} \frac{d_t}{(1+i)^t}$$</w:t>
        <w:br w:type="textWrapping"/>
        <w:br w:type="textWrapping"/>
        <w:t xml:space="preserve">Contudo, a abordagem de Williams assumia que o risco poderia ser virtualmente eliminado através da diversificação pura, focando unicamente na maximização do retorno esperado (Rubinstein, 2002). Markowitz identificou que a prática observada da diversificação era inconsistente com a maximização pura do valor presente. Para racionalizar a diversificação, era necessário introduzir o risco como desvio adverso.</w:t>
        <w:br w:type="textWrapping"/>
        <w:br w:type="textWrapping"/>
        <w:t xml:space="preserve">### 2.2. A Revolução de Markowitz: O Modelo Média-Variância</w:t>
        <w:br w:type="textWrapping"/>
        <w:t xml:space="preserve">A MPT postula que a função de utilidade do investidor depende do Retorno Esperado ($\mu$) e do Risco ($\sigma$). Em sua obra de 1959, Markowitz dedicou um capítulo para discutir uma medida alternativa de risco: a semivariância, reconhecendo sua superioridade teórica (Estrada, 2007). Contudo, optou pela variância devido ao custo computacional da época e à conveniência analítica sob premissa de normalidade.</w:t>
        <w:br w:type="textWrapping"/>
        <w:br w:type="textWrapping"/>
        <w:t xml:space="preserve">### 2.3. Matemática da Diversificação</w:t>
        <w:br w:type="textWrapping"/>
        <w:t xml:space="preserve">O retorno esperado do portfólio é linear:</w:t>
        <w:br w:type="textWrapping"/>
        <w:t xml:space="preserve">$$E(R_p) = \sum_{i=1}^{n} \omega_i E(R_i)$$</w:t>
        <w:br w:type="textWrapping"/>
        <w:br w:type="textWrapping"/>
        <w:t xml:space="preserve">A variância do portfólio não é linear e depende das covariâncias:</w:t>
        <w:br w:type="textWrapping"/>
        <w:t xml:space="preserve">$$\sigma_p^2 = \sum_{i=1}^{n} \omega_i^2 \sigma_i^2 + \sum_{i=1}^{n} \sum_{j \neq i}^{n} \omega_i \omega_j \sigma_{ij}$$</w:t>
        <w:br w:type="textWrapping"/>
        <w:t xml:space="preserve">Em notação matricial: $\sigma_p^2 = \omega^\top \Sigma \omega$ (Kim &amp; Boyd, 2007).</w:t>
        <w:br w:type="textWrapping"/>
        <w:br w:type="textWrapping"/>
        <w:t xml:space="preserve">### 2.4. A Fronteira Eficiente e o Teorema da Separação</w:t>
        <w:br w:type="textWrapping"/>
        <w:t xml:space="preserve">A Fronteira Eficiente é obtida resolvendo o problema quadrático convexo:</w:t>
        <w:br w:type="textWrapping"/>
        <w:t xml:space="preserve">$$\min \omega^\top \Sigma \omega \quad \text{sujeito a} \quad \omega^\top \mu = R_{\text{alvo}} \quad \text{e} \quad \omega^\top \mathbf{1} = 1$$</w:t>
        <w:br w:type="textWrapping"/>
        <w:t xml:space="preserve">Com a introdução do ativo livre de risco ($R_f$), o Teorema da Separação de Tobin (1958) estabelece duas etapas: a decisão técnica de encontrar o Portfólio de Tangência (independente das preferências de risco) e a decisão pessoal de alocação de capital entre o ativo livre de risco e o de tangência. A combinação linear gera a Reta do Mercado de Capitais (CML):</w:t>
        <w:br w:type="textWrapping"/>
        <w:t xml:space="preserve">$$E(R_p) = R_f + \frac{E(R_m) - R_f}{\sigma_m} \sigma_p$$</w:t>
        <w:br w:type="textWrapping"/>
        <w:br w:type="textWrapping"/>
        <w:t xml:space="preserve">### 2.5. O Modelo de Precificação de Ativos de Capital (CAPM)</w:t>
        <w:br w:type="textWrapping"/>
        <w:t xml:space="preserve">Desenvolvido por Sharpe (1964), Lintner (1965) e Mossin (1666), o CAPM decompõe o risco em Sistemático (de mercado) e Não Sistemático (idiossincrático). Utiliza o coeficiente Beta ($\beta$):</w:t>
        <w:br w:type="textWrapping"/>
        <w:t xml:space="preserve">$$\beta_i = \frac{\text{Cov}(R_i, R_m)}{\text{Var}(R_m)}$$</w:t>
        <w:br w:type="textWrapping"/>
        <w:t xml:space="preserve">E estabelece a Reta do Mercado de Títulos (SML):</w:t>
        <w:br w:type="textWrapping"/>
        <w:t xml:space="preserve">$$E(R_i) = R_f + \beta_i (E(R_m) - R_f)$$</w:t>
        <w:br w:type="textWrapping"/>
        <w:br w:type="textWrapping"/>
        <w:t xml:space="preserve">### 2.6. Teoria Pós-Moderna do Portfólio (PMPT)</w:t>
        <w:br w:type="textWrapping"/>
        <w:t xml:space="preserve">A PMPT (Rom &amp; Ferguson, 1993, 1994; Sortino, 1991) substitui a variância simétrica por estruturas baseadas nos Momentos Parciais Inferiores (Lower Partial Moments - LPM) de ordem $n$ em relação a um Retorno Mínimo Aceitável (MAR) $\tau$:</w:t>
        <w:br w:type="textWrapping"/>
        <w:t xml:space="preserve">$$\text{LPM}_n(\tau) = \frac{1}{T} \sum_{t=1}^{T} \max(0, \tau - R_t)^n$$</w:t>
        <w:br w:type="textWrapping"/>
        <w:t xml:space="preserve">Onde $n=1$ fundamenta o Índice Ômega, $n=2$ o desvio de queda do Índice de Sortino, e $n=3$ o Índice Kappa 3 (Kaplan &amp; Knowles, 2004). O Conditional Value at Risk (CVaR) surge como métrica coerente e convexa de risco de cauda extrema (Artzner et al., 1999; Rockafellar &amp; Uryasev, 2000).</w:t>
        <w:br w:type="textWrapping"/>
        <w:br w:type="textWrapping"/>
        <w:t xml:space="preserve">### 2.7. O Modelo de Black-Litterman</w:t>
        <w:br w:type="textWrapping"/>
        <w:t xml:space="preserve">Fischer Black e Robert Litterman (1990, 1992) propuseram a formulação Bayesiana onde o Prior é derivado de uma Otimização Reversa:</w:t>
        <w:br w:type="textWrapping"/>
        <w:t xml:space="preserve">$$\Pi = \lambda \Sigma \omega_{\text{mkt}}$$</w:t>
        <w:br w:type="textWrapping"/>
        <w:t xml:space="preserve">As visões estocásticas são inseridas via $P \cdot \mu = Q + \epsilon$, onde $\epsilon \sim N(0, \Omega)$. A Fórmula Mestra combina as fontes de informação gerando o vetor posterior:</w:t>
        <w:br w:type="textWrapping"/>
        <w:t xml:space="preserve">$$E[R] = [(\tau \Sigma)^{-1} + P^\top \Omega^{-1} P]^{-1} [(\tau \Sigma)^{-1} \Pi + P^\top \Omega^{-1} Q]$$</w:t>
        <w:br w:type="textWrapping"/>
        <w:br w:type="textWrapping"/>
        <w:t xml:space="preserve">---</w:t>
        <w:br w:type="textWrapping"/>
        <w:br w:type="textWrapping"/>
        <w:t xml:space="preserve">## 3. METODOLOGIA DA PESQUISA</w:t>
        <w:br w:type="textWrapping"/>
        <w:t xml:space="preserve">A pesquisa é aplicada, quantitativa e adota o método experimental por simulação histórica (backtesting) com janela expansiva (expanding window) sobre 118 ativos da B3 (período de janeiro de 2010 a dezembro de 2025, totalizando 3.967 pregões).</w:t>
        <w:br w:type="textWrapping"/>
        <w:br w:type="textWrapping"/>
        <w:t xml:space="preserve">### 3.1. Tratamento de Dados e Diagnósticos Econométricos</w:t>
        <w:br w:type="textWrapping"/>
        <w:t xml:space="preserve">* **Crivo de Liquidez:** Presença $\ge 95\%$ dos pregões e exclusão do decil inferior de ADTV ex-ante.</w:t>
        <w:br w:type="textWrapping"/>
        <w:t xml:space="preserve">* **Outliers:** Z-score modificado de Iglewicz e Hoaglin (1993) com limiar $K=3,5$ baseado em MAD.</w:t>
        <w:br w:type="textWrapping"/>
        <w:t xml:space="preserve">* **Testes:** Rejeição generalizada da normalidade pelo teste Jarque-Bera em 118 de 118 ativos (curtose excessiva média de 19,0). Efeito ARCH confirmado pelo teste ARCH LM de Engle em todos os ativos.</w:t>
        <w:br w:type="textWrapping"/>
        <w:t xml:space="preserve">* **Fricção Transacional:** Modelada via penalidade de norma $L_1$ com custo fixo de $c = 0,5\%$ sobre o giro ($turnover$).</w:t>
        <w:br w:type="textWrapping"/>
        <w:t xml:space="preserve">* **Restrições:** Orçamento pleno ($\sum \omega_i = 1$), posições apenas compradas ($\omega_i \ge 0$) e variantes com teto de $10\%$ por emissor ($c10$) baseadas na Resolução CVM nº 175/2022.</w:t>
        <w:br w:type="textWrapping"/>
        <w:br w:type="textWrapping"/>
        <w:t xml:space="preserve">---</w:t>
        <w:br w:type="textWrapping"/>
        <w:br w:type="textWrapping"/>
        <w:t xml:space="preserve">## 4. RESULTADOS E DISCUSSÃO</w:t>
        <w:br w:type="textWrapping"/>
        <w:t xml:space="preserve">A janela out-of-sample (OOS) compreende o período entre 2 de março de 2015 e 30 de dezembro de 2025 (2.690 pregões).</w:t>
        <w:br w:type="textWrapping"/>
        <w:br w:type="textWrapping"/>
        <w:t xml:space="preserve">### Desempenho Consolidado (Janela OOS 2015-2025)</w:t>
        <w:br w:type="textWrapping"/>
        <w:br w:type="textWrapping"/>
        <w:t xml:space="preserve">| Estratégia | CAGR (% a.a.) | Volatilidade (% a.a.) | Sharpe | Max. DD (%) | Turnover (% a.a.) |</w:t>
        <w:br w:type="textWrapping"/>
        <w:t xml:space="preserve">| :--- | :---: | :---: | :---: | :---: | :---: |</w:t>
        <w:br w:type="textWrapping"/>
        <w:t xml:space="preserve">| **BL_classico** | **21,12** | 25,99 | **0,511** | −43,78 | 824,9 |</w:t>
        <w:br w:type="textWrapping"/>
        <w:t xml:space="preserve">| **BL_classico_c10** | 17,99 | 20,30 | 0,460 | −34,33 | 646,5 |</w:t>
        <w:br w:type="textWrapping"/>
        <w:t xml:space="preserve">| **BL_downside** | 20,66 | 32,36 | 0,456 | −59,82 | 990,2 |</w:t>
        <w:br w:type="textWrapping"/>
        <w:t xml:space="preserve">| **EqualWeight_BuyHold** | 15,71 | 19,30 | 0,372 | −34,50 | 0,0 |</w:t>
        <w:br w:type="textWrapping"/>
        <w:t xml:space="preserve">| **BL_downside_c10** | 14,45 | 22,32 | 0,301 | −37,13 | 781,2 |</w:t>
        <w:br w:type="textWrapping"/>
        <w:t xml:space="preserve">| **MaxSharpe** | 13,60 | 17,53 | 0,287 | −22,76 | 122,4 |</w:t>
        <w:br w:type="textWrapping"/>
        <w:t xml:space="preserve">| **MaxKappa3** | 13,32 | 18,26 | 0,269 | −38,10 | 134,8 |</w:t>
        <w:br w:type="textWrapping"/>
        <w:t xml:space="preserve">| **MaxSortino** | 13,16 | 17,78 | 0,263 | −23,26 | 132,0 |</w:t>
        <w:br w:type="textWrapping"/>
        <w:t xml:space="preserve">| **MaxSharpe_c10** | 12,66 | 16,55 | 0,243 | −23,90 | 150,5 |</w:t>
        <w:br w:type="textWrapping"/>
        <w:t xml:space="preserve">| **MinVar_c10** | 11,93 | 12,99 | 0,219 | −25,63 | 80,3 |</w:t>
        <w:br w:type="textWrapping"/>
        <w:t xml:space="preserve">| **MinVar** | 11,89 | **12,96** | 0,217 | −25,62 | 80,9 |</w:t>
        <w:br w:type="textWrapping"/>
        <w:t xml:space="preserve">| **MinCVaR** | 11,85 | **12,96** | 0,214 | −26,26 | 124,3 |</w:t>
        <w:br w:type="textWrapping"/>
        <w:t xml:space="preserve">| **IBOVESPA** | 11,26 | 23,32 | 0,178 | −46,82 | — |</w:t>
        <w:br w:type="textWrapping"/>
        <w:t xml:space="preserve">| **MaxOmega** | 9,82 | 21,21 | 0,111 | −30,61 | 228,7 |</w:t>
        <w:br w:type="textWrapping"/>
        <w:t xml:space="preserve">| **InvVol** | 9,16 | 19,11 | 0,070 | −37,35 | 84,4 |</w:t>
        <w:br w:type="textWrapping"/>
        <w:t xml:space="preserve">| **EqualWeight (1/N)** | 5,97 | 19,84 | −0,075 | −41,97 | 90,7 |</w:t>
        <w:br w:type="textWrapping"/>
        <w:t xml:space="preserve">| **MinCDaR** | −1,75 | 21,09 | −0,417 | **−81,81** | 153,3 |</w:t>
        <w:br w:type="textWrapping"/>
        <w:br w:type="textWrapping"/>
        <w:t xml:space="preserve">### Principais Conclusões do Capítulo 4:</w:t>
        <w:br w:type="textWrapping"/>
        <w:t xml:space="preserve">1. **Predominância Bayesiana:** A família Black-Litterman com visões de momentum 12-1 obteve os maiores retornos e Sharpe do estudo, contudo apresentou alta volatilidade e custos expressivos de rebalanceamento (turnover anual até 990%).</w:t>
        <w:br w:type="textWrapping"/>
        <w:t xml:space="preserve">2. **O Efeito de Fricção do 1/N:** A carteira EqualWeight rebalanceada mensalmente destruiu valor (Sharpe -0,075) devido aos custos de transação de 50 bps, enquanto a sua contraparte `EqualWeight_BuyHold` entregou um Sharpe robusto de 0,372, evidenciando o peso da fricção periódica.</w:t>
        <w:br w:type="textWrapping"/>
        <w:t xml:space="preserve">3. **Mínima Variância como Porto Seguro:** Os modelos `MinVar` e `MinCVaR` entregaram a menor volatilidade absoluta e drawdowns controlados, confirmando a robustez de ignorar vetores ruidosos de retornos esperados históricos.</w:t>
        <w:br w:type="textWrapping"/>
        <w:t xml:space="preserve">4. **Degeneração do CDaR:** O modelo `MinCDaR` foi o pior resultado (drawdown de -81,81%), demonstrando que otimizadores dependentes da trajetória sem âncoras ou restrições de dispersão colapsam diante de janelas longas com quebras estruturais.</w:t>
        <w:br w:type="textWrapping"/>
        <w:br w:type="textWrapping"/>
        <w:t xml:space="preserve">---</w:t>
        <w:br w:type="textWrapping"/>
        <w:br w:type="textWrapping"/>
        <w:t xml:space="preserve">## 5. CONCLUSÃO E LIMITAÇÕES DECLARADAS</w:t>
        <w:br w:type="textWrapping"/>
        <w:t xml:space="preserve">* **Fatores determinantes:** O sucesso out-of-sample não foi ditado pela complexidade pura do modelo, mas sim pela simbiose entre a estabilidade do sinal informacional e a presença de restrições estabilizadoras (prior bayesiano e limites de caixa por emissor).</w:t>
        <w:br w:type="textWrapping"/>
        <w:t xml:space="preserve">* **Limitações:** Ausência de validação preditiva isolada do fator de momentum, turnover exacerbado nas variantes BL clássicas sem restrições, parametrização exógena fixa de $\delta = 2,5$ e $\tau = 0,05$ e indisponibilidade de custos dinâmicos de microestrutura de mercado (bid-ask spreads).</w:t>
        <w:br w:type="textWrapping"/>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