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de Orientação e Prompt de Alta Performance para NotebookLM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contém a análise preliminar detalhada de sua pesquisa acadêmica feita pelo seu orientador de finanças quantitativas e computação, acompanhada do prompt estruturado e rigoroso pronto para ser injetado no NotebookLM.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Parecer de Orientação Acadêmica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Pedro, sua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 12</w:t>
      </w:r>
      <w:r w:rsidDel="00000000" w:rsidR="00000000" w:rsidRPr="00000000">
        <w:rPr>
          <w:rFonts w:ascii="Arial" w:cs="Arial" w:eastAsia="Arial" w:hAnsi="Arial"/>
          <w:rtl w:val="0"/>
        </w:rPr>
        <w:t xml:space="preserve"> demonstra excelente maturidade metodológica e tratamento de dados robusto. O painel out-of-sample com 16 estratégias aplicadas ao mercado brasileiro constitui um avanço científico relevante para o Curso de Ciências Contábeis da UFG. A identificação e correção de erros descritivos cruciais — como a remoção da menção a modelos LSTM/ARIMA que não estavam implementados no pipeline e a correção da fórmula de anualização do desvio-padrão (usando a raiz quadrada de 252) — preservam o rigor ético da sua pesquisa.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Abaixo, organizei os pontos que exigem maior refinamento teórico e crítico em uma matriz analítica, seguidos pelo prompt de revisão sistemática.</w:t>
      </w:r>
    </w:p>
    <w:tbl>
      <w:tblPr>
        <w:tblStyle w:val="Table1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0056b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Capítulo / Dimensão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0056b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Vulnerabilidade Identificada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0056b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Implicação Teórica / Prática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0056b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Diretriz de Correção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2.18 / 3.5.5 (Hiperparâmetros BL)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Calibração exógena fixa de δ = 2,5 e τ = 0,05 baseada em He e Litterman (1999).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 prêmio de risco implícito do mercado brasileiro difere estruturalmente do norte-americano.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Justificar detalhadamente no texto que a estimativa endógena resultou em valores negativos devido a subperíodos de crise na B3, legitimando o uso do padrão da literatura.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4.2.3 / 4.4.3 (Degeneração do CDaR)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 colapso catastrófico do MinCDaR (drawdown de -81,81%).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Modelos lineares dependentes da trajetória tendem à instabilidade extrema se dominados por choques sequenciais (2015, 2020, 2022).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Expandir a discussão mostrando o mecanismo matemático onde o solver concentra pesos em ativos cujo histórico de drawdown mascara o risco futuro por quebra de regime.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4.3.3 / 4.4.1 (Fricção vs. Turnover)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Turnover anual de até 990% na estratégia BL_downside.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 renovação integral da carteira quase 10 vezes ao ano inviabiliza a aplicação real devido ao impacto de mercado (market impact).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Reforçar o valor das variantes c10 (teto de 10%) como ferramentas regulatórias indispensáveis (Resolução CVM 175) para domar o giro.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Prompt de Alta Performance para Injeção no NotebookLM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Copie o conteúdo integral do bloco abaixo e insira no chat ou na caixa de diretrizes do seu NotebookLM para obter a auditoria completa do texto: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rPr>
          <w:rFonts w:ascii="Courier" w:cs="Courier" w:eastAsia="Courier" w:hAnsi="Courier"/>
          <w:shd w:fill="f4f6f9" w:val="clear"/>
        </w:rPr>
      </w:pPr>
      <w:r w:rsidDel="00000000" w:rsidR="00000000" w:rsidRPr="00000000">
        <w:rPr>
          <w:rFonts w:ascii="Courier" w:cs="Courier" w:eastAsia="Courier" w:hAnsi="Courier"/>
          <w:shd w:fill="f4f6f9" w:val="clear"/>
          <w:rtl w:val="0"/>
        </w:rPr>
        <w:t xml:space="preserve"># INSTRUÇÃO DE AUDITORIA ACADÊMICA E REVISÃO CRÍTICA DE ALTO RIGOR (MÁXIMA PERFORMANCE)</w:t>
        <w:br w:type="textWrapping"/>
        <w:br w:type="textWrapping"/>
        <w:t xml:space="preserve">Você atuará como um Comitê de Avaliação de Banca Examinadora de TCC e um Especialista Sênior em Finanças Quantitativas e Econometria. Sua tarefa é auditar de forma exaustiva o manuscrito fornecido ("Moderna Teoria das Carteiras no Mercado de Ações Brasileiro: Comparação entre Otimizadores e Inputs") de autoria de Pedro Augusto Pinheiro Reis (UFG, 2026).</w:t>
        <w:br w:type="textWrapping"/>
        <w:br w:type="textWrapping"/>
        <w:t xml:space="preserve">Execute um escrutínio linha por linha, focado na consistência, completude, voz acadêmica e estrutura lógica. Gere um RELATÓRIO DE AUDITORIA DE TEXTO ACADÊMICO estruturado exatamente nos tópicos abaixo, com o máximo de profundidade analítica:</w:t>
        <w:br w:type="textWrapping"/>
        <w:br w:type="textWrapping"/>
        <w:t xml:space="preserve">## 1. SUMÁRIO EXTENSO DA ANÁLISE</w:t>
        <w:br w:type="textWrapping"/>
        <w:t xml:space="preserve">- Forneça uma síntese detalhada e minuciosa do posicionamento teórico do autor, identificando como ele conecta a MPT (Markowitz, 1952) com as abordagens de Downside Risk da PMPT (Sortino, CVaR) e a engenharia Bayesiana de Black-Litterman.</w:t>
        <w:br w:type="textWrapping"/>
        <w:t xml:space="preserve">- Descreva detalhadamente a engenharia de dados do pipeline metodológico implementado (o filtro de liquidez de 95%, o Z-score modificado por MAD de Iglewicz e Hoaglin, a remoção do viés de antecipação através do truncamento em dezembro de 2025 e o backtest out-of-sample de 10,8 anos).</w:t>
        <w:br w:type="textWrapping"/>
        <w:br w:type="textWrapping"/>
        <w:t xml:space="preserve">## 2. EXAME DE COMPLETUDE E COERÊNCIA MATEMÁTICO-COMPUTACIONAL</w:t>
        <w:br w:type="textWrapping"/>
        <w:t xml:space="preserve">- Avalie se as definições estatísticas (como os Momentos Parciais Inferiores - LPM, a Otimização Reversa para extração do Prior, a aplicação das matrizes P, Q e Ω e a matriz de semicovariância de Estrada) estão formalizadas com absoluto rigor matemático.</w:t>
        <w:br w:type="textWrapping"/>
        <w:t xml:space="preserve">- Verifique a consistência interna da narrativa: certifique-se de que não existem resquícios textuais de modelos que não foram de fato implementados no pipeline computacional (ex: validação com redes neurais recorrentes LSTM ou modelos ARIMA, que a auditoria interna do autor sinalizou estarem ausentes no repositório final). O texto está purgado desses termos?</w:t>
        <w:br w:type="textWrapping"/>
        <w:br w:type="textWrapping"/>
        <w:t xml:space="preserve">## 3. VOZ, TOM E ADEQUAÇÃO ÀS NORMAS ACADÊMICAS (ABNT)</w:t>
        <w:br w:type="textWrapping"/>
        <w:t xml:space="preserve">- Analise a voz e o tom do manuscrito. Ele mantém o padrão formal, técnico, impessoal e administrativo exigido para documentos oficiais e acadêmicos? Identifique quaisquer desvios de informalidade.</w:t>
        <w:br w:type="textWrapping"/>
        <w:t xml:space="preserve">- Verifique se a estrutura de tópicos, o encadeamento das ideias e a transição lógica entre a revisão de literatura (Capítulo 2), a especificação metodológica (Capítulo 3) e o plano de análise dos resultados (Capítulo 4) estão fluidos e concatenados.</w:t>
        <w:br w:type="textWrapping"/>
        <w:br w:type="textWrapping"/>
        <w:t xml:space="preserve">## 4. CRÍTICAS E VULNERABILIDADES IDENTIFICADAS</w:t>
        <w:br w:type="textWrapping"/>
        <w:t xml:space="preserve">Apereça com as fraquezas metodológicas ocultas ou limites do estudo, focando especialmente em:</w:t>
        <w:br w:type="textWrapping"/>
        <w:t xml:space="preserve">- **Calibração de Hiperparâmetros:** O impacto e a falta de calibração endógena do escalar τ (tau) e do coeficiente de aversão ao risco δ (delta) para a realidade do mercado brasileiro da B3.</w:t>
        <w:br w:type="textWrapping"/>
        <w:t xml:space="preserve">- **Inviabilidade Operacional por Atrito:** O turnover excessivo de até 990% ao ano registrado nas variantes de Black-Litterman e como isso consome o alfa líquido em condições reais de microestrutura de mercado (spreads bid-ask e custos de liquidez não modelados).</w:t>
        <w:br w:type="textWrapping"/>
        <w:t xml:space="preserve">- **Instabilidade Dinâmica:** O caso de degeneração da otimização do Mínimo CDaR, explicitando por que formulações dependentes da trajetória colapsam na presença de quebras estruturais (como a recessão de 2015-2016 e o crash de 2020).</w:t>
        <w:br w:type="textWrapping"/>
        <w:br w:type="textWrapping"/>
        <w:t xml:space="preserve">## 5. RECOMENDAÇÕES ESPECÍFICAS DE MELHORIA E REESCRITA</w:t>
        <w:br w:type="textWrapping"/>
        <w:t xml:space="preserve">- Apresente propostas práticas de correção de parágrafos ou complementação teórica para mitigar as limitações assumidas no Capítulo 5.</w:t>
        <w:br w:type="textWrapping"/>
        <w:t xml:space="preserve">- Indique de forma clara as ações prioritárias que o autor deve tomar antes da submissão final da tese à banca examinadora para garantir a nota máxima.</w:t>
        <w:br w:type="textWrapping"/>
        <w:br w:type="textWrapping"/>
        <w:t xml:space="preserve">Exija do seu motor de processamento o máximo rigor científico. Escreva o relatório em formato Markdown estruturado, claro e direto.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