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1BBA" w:rsidRDefault="00B23D66">
      <w:pPr>
        <w:pStyle w:val="Ttulo1"/>
      </w:pPr>
      <w:bookmarkStart w:id="0" w:name="Xd41f795a5ecb148790671204e1fd56577b620f1"/>
      <w:bookmarkStart w:id="1" w:name="_GoBack"/>
      <w:bookmarkEnd w:id="1"/>
      <w:r>
        <w:t>3.7 Métricas de Avaliação e Inferência Estatística</w:t>
      </w:r>
    </w:p>
    <w:p w:rsidR="00111BBA" w:rsidRDefault="00B23D66">
      <w:pPr>
        <w:pStyle w:val="FirstParagraph"/>
      </w:pPr>
      <w:r>
        <w:t>Esta seção define formalmente as métricas de desempenho utilizadas para avaliar as estratégias e descreve o protocolo de inferência estatística empregado para aferir se as diferenças de desempenho observadas são estatisticamente significativas, e não meros</w:t>
      </w:r>
      <w:r>
        <w:t xml:space="preserve"> artefatos do ruído amostral. Avaliam-se as quinze estratégias de otimização da Seção 3.5 acrescidas de uma variante de controle — a equiponderação sem rebalanceamento (</w:t>
      </w:r>
      <w:r>
        <w:rPr>
          <w:i/>
          <w:iCs/>
        </w:rPr>
        <w:t>buy-and-hold</w:t>
      </w:r>
      <w:r>
        <w:t>) —, totalizando dezesseis séries de retorno submetidas à inferência. A inc</w:t>
      </w:r>
      <w:r>
        <w:t>lusão de testes formais distingue este trabalho de avaliações puramente descritivas e responde à exigência de robustez inferencial em comparações de carteiras.</w:t>
      </w:r>
    </w:p>
    <w:p w:rsidR="00111BBA" w:rsidRDefault="00B23D66">
      <w:pPr>
        <w:pStyle w:val="Ttulo2"/>
      </w:pPr>
      <w:bookmarkStart w:id="2" w:name="métricas-de-desempenho"/>
      <w:r>
        <w:t>3.7.1 Métricas de Desempenho</w:t>
      </w:r>
    </w:p>
    <w:p w:rsidR="00111BBA" w:rsidRDefault="00B23D66">
      <w:pPr>
        <w:pStyle w:val="FirstParagraph"/>
      </w:pPr>
      <w:r>
        <w:t xml:space="preserve">Seja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>
        <w:t xml:space="preserve"> a série de retornos diários de uma carteira ao</w:t>
      </w:r>
      <w:r>
        <w:t xml:space="preserve"> longo dos </w:t>
      </w:r>
      <m:oMath>
        <m:r>
          <w:rPr>
            <w:rFonts w:ascii="Cambria Math" w:hAnsi="Cambria Math"/>
          </w:rPr>
          <m:t>T</m:t>
        </m:r>
      </m:oMath>
      <w:r>
        <w:t xml:space="preserve"> pregões do período </w:t>
      </w:r>
      <w:r>
        <w:rPr>
          <w:i/>
          <w:iCs/>
        </w:rPr>
        <w:t>out-of-sample</w:t>
      </w:r>
      <w:r>
        <w:t xml:space="preserve">, e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a série diária da taxa livre de risco (CDI). Define-se o retorno em excesso diário como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>.</w:t>
      </w:r>
    </w:p>
    <w:p w:rsidR="00111BBA" w:rsidRDefault="00B23D66">
      <w:pPr>
        <w:pStyle w:val="Corpodetexto"/>
      </w:pPr>
      <w:r>
        <w:rPr>
          <w:b/>
          <w:bCs/>
        </w:rPr>
        <w:t>Retorno acumulado.</w:t>
      </w:r>
      <w:r>
        <w:t xml:space="preserve"> Variação total do capital no período:</w:t>
      </w:r>
    </w:p>
    <w:p w:rsidR="00111BBA" w:rsidRDefault="00B23D66">
      <w:pPr>
        <w:pStyle w:val="Corpodetex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acum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111BBA" w:rsidRDefault="00B23D66">
      <w:pPr>
        <w:pStyle w:val="FirstParagraph"/>
      </w:pPr>
      <w:r>
        <w:rPr>
          <w:b/>
          <w:bCs/>
        </w:rPr>
        <w:t>CAG</w:t>
      </w:r>
      <w:r>
        <w:rPr>
          <w:b/>
          <w:bCs/>
        </w:rPr>
        <w:t>R (taxa de crescimento anual composta).</w:t>
      </w:r>
      <w:r>
        <w:t xml:space="preserve"> Anualiza o retorno acumulado por um fator de 252 pregões:</w:t>
      </w:r>
    </w:p>
    <w:p w:rsidR="00111BBA" w:rsidRDefault="00B23D66">
      <w:pPr>
        <w:pStyle w:val="Corpodetexto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CAGR=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</m:e>
            <m:sup>
              <m:r>
                <w:rPr>
                  <w:rFonts w:ascii="Cambria Math" w:hAnsi="Cambria Math"/>
                </w:rPr>
                <m:t>252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111BBA" w:rsidRDefault="00B23D66">
      <w:pPr>
        <w:pStyle w:val="FirstParagraph"/>
      </w:pPr>
      <w:r>
        <w:rPr>
          <w:b/>
          <w:bCs/>
        </w:rPr>
        <w:t>Volatilidade anualizada.</w:t>
      </w:r>
      <w:r>
        <w:t xml:space="preserve"> Desvio-padrão dos retornos diários escalado pela raiz do número de pregões anuais:</w:t>
      </w:r>
    </w:p>
    <w:p w:rsidR="00111BBA" w:rsidRDefault="00B23D66">
      <w:pPr>
        <w:pStyle w:val="Corpodetex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ann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‾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111BBA" w:rsidRDefault="00B23D66">
      <w:pPr>
        <w:pStyle w:val="FirstParagraph"/>
      </w:pPr>
      <w:r>
        <w:rPr>
          <w:b/>
          <w:bCs/>
        </w:rPr>
        <w:t>Índice de Sharpe (anualizado).</w:t>
      </w:r>
      <w:r>
        <w:t xml:space="preserve"> Razão entre o retorno em excesso médio e a volatilidade, ambos anualizados:</w:t>
      </w:r>
    </w:p>
    <w:p w:rsidR="00111BBA" w:rsidRDefault="00B23D66">
      <w:pPr>
        <w:pStyle w:val="Corpodetexto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  <m:r>
                <w:rPr>
                  <w:rFonts w:ascii="Cambria Math" w:hAnsi="Cambria Math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252</m:t>
                  </m:r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111BBA" w:rsidRDefault="00B23D66">
      <w:pPr>
        <w:pStyle w:val="FirstParagraph"/>
      </w:pPr>
      <w:r>
        <w:rPr>
          <w:b/>
          <w:bCs/>
        </w:rPr>
        <w:lastRenderedPageBreak/>
        <w:t>Índice de Sortino (anualizado).</w:t>
      </w:r>
      <w:r>
        <w:t xml:space="preserve"> Substitui a volatilidade total pelo desvio de queda (</w:t>
      </w:r>
      <w:r>
        <w:rPr>
          <w:i/>
          <w:iCs/>
        </w:rPr>
        <w:t>downside deviation</w:t>
      </w:r>
      <w:r>
        <w:t xml:space="preserve">), que considera apenas as realizações abaixo do alvo </w:t>
      </w:r>
      <m:oMath>
        <m:r>
          <w:rPr>
            <w:rFonts w:ascii="Cambria Math" w:hAnsi="Cambria Math"/>
          </w:rPr>
          <m:t>τ</m:t>
        </m:r>
      </m:oMath>
      <w:r>
        <w:t xml:space="preserve"> (fixado no CDI):</w:t>
      </w:r>
    </w:p>
    <w:p w:rsidR="00111BBA" w:rsidRDefault="00B23D66">
      <w:pPr>
        <w:pStyle w:val="Corpodetexto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So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  <m:r>
                <w:rPr>
                  <w:rFonts w:ascii="Cambria Math" w:hAnsi="Cambria Math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252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DD</m:t>
              </m:r>
              <m:r>
                <w:rPr>
                  <w:rFonts w:ascii="Cambria Math" w:hAnsi="Cambria Math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252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DD=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min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 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111BBA" w:rsidRDefault="00B23D66">
      <w:pPr>
        <w:pStyle w:val="FirstParagraph"/>
      </w:pPr>
      <w:r>
        <w:rPr>
          <w:b/>
          <w:bCs/>
        </w:rPr>
        <w:t>Maximum Drawdown (MDD).</w:t>
      </w:r>
      <w:r>
        <w:t xml:space="preserve"> Maior queda percentual do pico ao vale ao longo de toda a curva de capital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∏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e>
            </m:d>
          </m:e>
        </m:nary>
      </m:oMath>
      <w:r>
        <w:t>:</w:t>
      </w:r>
    </w:p>
    <w:p w:rsidR="00111BBA" w:rsidRDefault="00B23D66">
      <w:pPr>
        <w:pStyle w:val="Corpodetexto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MDD=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T</m:t>
              </m:r>
            </m:lim>
          </m:limLow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≤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lim>
                  </m:limLow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num>
                <m:den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≤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lim>
                  </m:limLow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111BBA" w:rsidRDefault="00B23D66">
      <w:pPr>
        <w:pStyle w:val="FirstParagraph"/>
      </w:pPr>
      <w:r>
        <w:rPr>
          <w:b/>
          <w:bCs/>
        </w:rPr>
        <w:t>Turnover médio mensal.</w:t>
      </w:r>
      <w:r>
        <w:t xml:space="preserve"> Indicador do custo operacional implícito, calculado como a média, sobre os </w:t>
      </w:r>
      <m:oMath>
        <m:r>
          <w:rPr>
            <w:rFonts w:ascii="Cambria Math" w:hAnsi="Cambria Math"/>
          </w:rPr>
          <m:t>M</m:t>
        </m:r>
      </m:oMath>
      <w:r>
        <w:t xml:space="preserve"> rebalanceamentos, da variação absoluta de pesos:</w:t>
      </w:r>
    </w:p>
    <w:p w:rsidR="00111BBA" w:rsidRDefault="00B23D66">
      <w:pPr>
        <w:pStyle w:val="Corpodetexto"/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m:rPr>
                  <m:sty m:val="p"/>
                </m:rPr>
                <w:rPr>
                  <w:rFonts w:ascii="Cambria Math" w:hAnsi="Cambria Math"/>
                </w:rPr>
                <m:t>TO</m:t>
              </m:r>
            </m:e>
          </m:ba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</m:sup>
                          </m:sSup>
                        </m:sub>
                      </m:sSub>
                    </m:e>
                  </m:d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111BBA" w:rsidRDefault="00B23D66">
      <w:pPr>
        <w:pStyle w:val="FirstParagraph"/>
      </w:pPr>
      <w:r>
        <w:t xml:space="preserve">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p>
          </m:sub>
        </m:sSub>
      </m:oMath>
      <w:r>
        <w:t xml:space="preserve"> </w:t>
      </w:r>
      <w:r>
        <w:t xml:space="preserve">é o peso do ativo </w:t>
      </w:r>
      <m:oMath>
        <m:r>
          <w:rPr>
            <w:rFonts w:ascii="Cambria Math" w:hAnsi="Cambria Math"/>
          </w:rPr>
          <m:t>i</m:t>
        </m:r>
      </m:oMath>
      <w:r>
        <w:t xml:space="preserve"> imediatamente antes do rebalanceamento </w:t>
      </w:r>
      <m:oMath>
        <m:r>
          <w:rPr>
            <w:rFonts w:ascii="Cambria Math" w:hAnsi="Cambria Math"/>
          </w:rPr>
          <m:t>m</m:t>
        </m:r>
      </m:oMath>
      <w:r>
        <w:t xml:space="preserve"> (após a deriva dos preços).</w:t>
      </w:r>
    </w:p>
    <w:p w:rsidR="00111BBA" w:rsidRDefault="00B23D66">
      <w:pPr>
        <w:pStyle w:val="Ttulo2"/>
      </w:pPr>
      <w:bookmarkStart w:id="3" w:name="X32764641adefa6c0d2f1c04fd179fbdae3244cb"/>
      <w:bookmarkEnd w:id="2"/>
      <w:r>
        <w:t>3.7.2 Intervalos de Confiança por Bootstrap Estacionário</w:t>
      </w:r>
    </w:p>
    <w:p w:rsidR="00111BBA" w:rsidRDefault="00B23D66">
      <w:pPr>
        <w:pStyle w:val="FirstParagraph"/>
      </w:pPr>
      <w:r>
        <w:t>Como as séries de retorno exibem heteroscedasticidade condicional e autocorrelação (confirmadas pelos testes</w:t>
      </w:r>
      <w:r>
        <w:t xml:space="preserve"> da Seção 4.1), os intervalos de confiança assintóticos sob normalidade seriam inválidos. Adota-se, portanto, o </w:t>
      </w:r>
      <w:r>
        <w:rPr>
          <w:i/>
          <w:iCs/>
        </w:rPr>
        <w:t>bootstrap</w:t>
      </w:r>
      <w:r>
        <w:t xml:space="preserve"> estacionário de Politis e Romano (1994), que reamostra blocos de comprimento aleatório com distribuição geométrica de média </w:t>
      </w:r>
      <m:oMath>
        <m:r>
          <w:rPr>
            <w:rFonts w:ascii="Cambria Math" w:hAnsi="Cambria Math"/>
          </w:rPr>
          <m:t>b</m:t>
        </m:r>
      </m:oMath>
      <w:r>
        <w:t>, preser</w:t>
      </w:r>
      <w:r>
        <w:t>vando a estrutura de dependência temporal das séries.</w:t>
      </w:r>
    </w:p>
    <w:p w:rsidR="00111BBA" w:rsidRDefault="00B23D66">
      <w:pPr>
        <w:pStyle w:val="Corpodetexto"/>
      </w:pPr>
      <w:r>
        <w:t xml:space="preserve">Para cada métrica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m:rPr>
            <m:sty m:val="p"/>
          </m:rPr>
          <w:rPr>
            <w:rFonts w:ascii="Cambria Math" w:hAnsi="Cambria Math"/>
          </w:rPr>
          <m:t>∈{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So</m:t>
            </m:r>
          </m:e>
        </m:acc>
        <m:r>
          <m:rPr>
            <m:sty m:val="p"/>
          </m:rPr>
          <w:rPr>
            <w:rFonts w:ascii="Cambria Math" w:hAnsi="Cambria Math"/>
          </w:rPr>
          <m:t>,CAGR}</m:t>
        </m:r>
      </m:oMath>
      <w:r>
        <w:t xml:space="preserve">, geram-se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000</m:t>
        </m:r>
      </m:oMath>
      <w:r>
        <w:t xml:space="preserve"> reamostras </w:t>
      </w:r>
      <m:oMath>
        <m:r>
          <m:rPr>
            <m:sty m:val="p"/>
          </m:rPr>
          <w:rPr>
            <w:rFonts w:ascii="Cambria Math" w:hAnsi="Cambria Math"/>
          </w:rPr>
          <m:t>{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θ</m:t>
                </m:r>
              </m:e>
            </m:acc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,…,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θ</m:t>
                </m:r>
              </m:e>
            </m:acc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com bloco médio de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 pregões. O intervalo de confiança de 95% é obtido pelos percentis empíricos da distribuição reamos</w:t>
      </w:r>
      <w:r>
        <w:t>trada:</w:t>
      </w:r>
    </w:p>
    <w:p w:rsidR="00111BBA" w:rsidRDefault="00B23D66">
      <w:pPr>
        <w:pStyle w:val="Corpodetex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IC</m:t>
              </m:r>
            </m:e>
            <m:sub>
              <m:r>
                <w:rPr>
                  <w:rFonts w:ascii="Cambria Math" w:hAnsi="Cambria Math"/>
                </w:rPr>
                <m:t>95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acc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%</m:t>
                      </m:r>
                    </m:e>
                  </m:d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  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acc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%</m:t>
                      </m:r>
                    </m:e>
                  </m:d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111BBA" w:rsidRDefault="00B23D66">
      <w:pPr>
        <w:pStyle w:val="FirstParagraph"/>
      </w:pPr>
      <w:r>
        <w:t>A semente aleatória é fixada em 42, garantindo reprodutibilidade integral.</w:t>
      </w:r>
    </w:p>
    <w:p w:rsidR="00111BBA" w:rsidRDefault="00B23D66">
      <w:pPr>
        <w:pStyle w:val="Ttulo2"/>
      </w:pPr>
      <w:bookmarkStart w:id="4" w:name="X1581277cf59eb49ef5af2686c0373e4fff49bdf"/>
      <w:bookmarkEnd w:id="3"/>
      <w:r>
        <w:t>3.7.3 Testes de Diferença de Índice de Sharpe e Sortino</w:t>
      </w:r>
    </w:p>
    <w:p w:rsidR="00111BBA" w:rsidRDefault="00B23D66">
      <w:pPr>
        <w:pStyle w:val="FirstParagraph"/>
      </w:pPr>
      <w:r>
        <w:t xml:space="preserve">A comparação central do estudo é entre cada estratégia e o </w:t>
      </w:r>
      <w:r>
        <w:rPr>
          <w:i/>
          <w:iCs/>
        </w:rPr>
        <w:t>benchmark</w:t>
      </w:r>
      <w:r>
        <w:t xml:space="preserve"> ingênuo de equipond</w:t>
      </w:r>
      <w:r>
        <w:t xml:space="preserve">eração com rebalanceamento mensal (1/N), o desafiante canônico de DeMiguel, Garlappi e Uppal (2009). Para testar a hipótese nula de igualdade dos índices de Sharpe,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​</m:t>
        </m:r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, empregam-se dois procedimentos complementares.</w:t>
      </w:r>
    </w:p>
    <w:p w:rsidR="00111BBA" w:rsidRDefault="00B23D66">
      <w:pPr>
        <w:pStyle w:val="Ttulo3"/>
      </w:pPr>
      <w:bookmarkStart w:id="5" w:name="Xbb43921e78adc88880e4ea6b40259d9b7d34ed1"/>
      <w:r>
        <w:lastRenderedPageBreak/>
        <w:t>Teste de Jobson-Korkie com c</w:t>
      </w:r>
      <w:r>
        <w:t>orreção de Memmel</w:t>
      </w:r>
    </w:p>
    <w:p w:rsidR="00111BBA" w:rsidRDefault="00B23D66">
      <w:pPr>
        <w:pStyle w:val="FirstParagraph"/>
      </w:pPr>
      <w:r>
        <w:t>O teste paramétrico de Jobson e Korkie (1981), com a correção de Memmel (2003) que sana um erro no termo de variância original, baseia-se na estatística:</w:t>
      </w:r>
    </w:p>
    <w:p w:rsidR="00111BBA" w:rsidRDefault="00B23D66">
      <w:pPr>
        <w:pStyle w:val="Corpodetexto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ϑ</m:t>
                      </m:r>
                    </m:e>
                  </m:acc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111BBA" w:rsidRDefault="00B23D66">
      <w:pPr>
        <w:pStyle w:val="FirstParagraph"/>
      </w:pPr>
      <w:r>
        <w:t xml:space="preserve">cuja variância assintótica, sendo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>
        <w:t xml:space="preserve"> </w:t>
      </w:r>
      <w:r>
        <w:t>a correlação entre as séries de retorno das duas carteiras, é:</w:t>
      </w:r>
    </w:p>
    <w:p w:rsidR="00111BBA" w:rsidRDefault="00B23D66">
      <w:pPr>
        <w:pStyle w:val="Corpodetexto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ϑ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 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111BBA" w:rsidRDefault="00B23D66">
      <w:pPr>
        <w:pStyle w:val="FirstParagraph"/>
      </w:pPr>
      <w:r>
        <w:t xml:space="preserve">Sob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z</m:t>
        </m:r>
      </m:oMath>
      <w:r>
        <w:t xml:space="preserve"> converge para uma distribuição normal padrão, </w:t>
      </w:r>
      <m:oMath>
        <m:r>
          <w:rPr>
            <w:rFonts w:ascii="Cambria Math" w:hAnsi="Cambria Math"/>
          </w:rPr>
          <m:t>z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e>
          <m:lim>
            <m:r>
              <w:rPr>
                <w:rFonts w:ascii="Cambria Math" w:hAnsi="Cambria Math"/>
              </w:rPr>
              <m:t>d</m:t>
            </m:r>
          </m:lim>
        </m:limUpp>
        <m:r>
          <m:rPr>
            <m:scr m:val="script"/>
            <m:sty m:val="p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.</w:t>
      </w:r>
    </w:p>
    <w:p w:rsidR="00111BBA" w:rsidRDefault="00B23D66">
      <w:pPr>
        <w:pStyle w:val="Ttulo3"/>
      </w:pPr>
      <w:bookmarkStart w:id="6" w:name="X6c21514b33e3be5b597137d0a64457400c4c880"/>
      <w:bookmarkEnd w:id="5"/>
      <w:r>
        <w:t>Teste de Ledoit-Wolf (bootstrap estudentizado)</w:t>
      </w:r>
    </w:p>
    <w:p w:rsidR="00111BBA" w:rsidRDefault="00B23D66">
      <w:pPr>
        <w:pStyle w:val="FirstParagraph"/>
      </w:pPr>
      <w:r>
        <w:t xml:space="preserve">Como o teste de Jobson-Korkie-Memmel pressupõe retornos independentes e identicamente distribuídos — premissa rejeitada pela amostra —, aplica-se também o teste de Ledoit e Wolf (2008), que utiliza um </w:t>
      </w:r>
      <w:r>
        <w:rPr>
          <w:i/>
          <w:iCs/>
        </w:rPr>
        <w:t>bootstrap</w:t>
      </w:r>
      <w:r>
        <w:t xml:space="preserve"> estacionário estudentizado, robusto à não-nor</w:t>
      </w:r>
      <w:r>
        <w:t>malidade e à dependência temporal. A estatística de interesse é a diferença direta dos índices:</w:t>
      </w:r>
    </w:p>
    <w:p w:rsidR="00111BBA" w:rsidRDefault="00B23D66">
      <w:pPr>
        <w:pStyle w:val="Corpodetexto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111BBA" w:rsidRDefault="00B23D66">
      <w:pPr>
        <w:pStyle w:val="FirstParagraph"/>
      </w:pPr>
      <w:r>
        <w:t xml:space="preserve">A distribuição nula é construída centrando as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000</m:t>
        </m:r>
      </m:oMath>
      <w:r>
        <w:t xml:space="preserve"> reamostras de forma a impor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​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 e o valor-</w:t>
      </w:r>
      <m:oMath>
        <m:r>
          <w:rPr>
            <w:rFonts w:ascii="Cambria Math" w:hAnsi="Cambria Math"/>
          </w:rPr>
          <m:t>p</m:t>
        </m:r>
      </m:oMath>
      <w:r>
        <w:t xml:space="preserve"> bilateral é a proporção de estatísticas</w:t>
      </w:r>
      <w:r>
        <w:t xml:space="preserve"> reamostradas cujo módulo excede o da estatística observada:</w:t>
      </w:r>
    </w:p>
    <w:p w:rsidR="00111BBA" w:rsidRDefault="00B23D66">
      <w:pPr>
        <w:pStyle w:val="Corpodetexto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e>
          </m:nary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Δ</m:t>
                          </m:r>
                        </m:e>
                      </m:acc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d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</m:acc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111BBA" w:rsidRDefault="00B23D66">
      <w:pPr>
        <w:pStyle w:val="FirstParagraph"/>
      </w:pPr>
      <w:r>
        <w:t>Procedimento análogo é aplicado às diferenças de Índice de Sortino.</w:t>
      </w:r>
    </w:p>
    <w:p w:rsidR="00111BBA" w:rsidRDefault="00B23D66">
      <w:pPr>
        <w:pStyle w:val="Ttulo2"/>
      </w:pPr>
      <w:bookmarkStart w:id="7" w:name="Xabd58807c9c3996accc936cf2d3bacd1ad0d6fa"/>
      <w:bookmarkEnd w:id="4"/>
      <w:bookmarkEnd w:id="6"/>
      <w:r>
        <w:t>3.7.4 Regressão CAPM com Erros-Padrão Robustos (HAC)</w:t>
      </w:r>
    </w:p>
    <w:p w:rsidR="00111BBA" w:rsidRDefault="00B23D66">
      <w:pPr>
        <w:pStyle w:val="FirstParagraph"/>
      </w:pPr>
      <w:r>
        <w:t>Para estimar o retorno anormal (alfa) e a expo</w:t>
      </w:r>
      <w:r>
        <w:t xml:space="preserve">sição sistemática (beta) de cada estratégia, regride-se o excesso de retorno da carteira sobre o excesso de retorno do mercado, representado pelo IBOVESPA — note-se que o fator de mercado da regressão CAPM (IBOVESPA) é distinto do </w:t>
      </w:r>
      <w:r>
        <w:rPr>
          <w:i/>
          <w:iCs/>
        </w:rPr>
        <w:t>benchmark</w:t>
      </w:r>
      <w:r>
        <w:t xml:space="preserve"> de comparação d</w:t>
      </w:r>
      <w:r>
        <w:t>e Sharpe (1/N) da Seção 3.7.3:</w:t>
      </w:r>
    </w:p>
    <w:p w:rsidR="00111BBA" w:rsidRDefault="00B23D66">
      <w:pPr>
        <w:pStyle w:val="Corpodetex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111BBA" w:rsidRDefault="00B23D66">
      <w:pPr>
        <w:pStyle w:val="FirstParagraph"/>
      </w:pPr>
      <w:r>
        <w:t xml:space="preserve">Os coeficientes são estimados por Mínimos Quadrados Ordinários (MQO). Dado que os resíduos exibem autocorrelação e heteroscedasticidade, a matriz de covariância dos estimadores é corrigida pelo estimador consistente a heteroscedasticidade e autocorrelação </w:t>
      </w:r>
      <w:r>
        <w:t>(HAC) de Newey e West (1987):</w:t>
      </w:r>
    </w:p>
    <w:p w:rsidR="00111BBA" w:rsidRDefault="00B23D66">
      <w:pPr>
        <w:pStyle w:val="Corpodetex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HAC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⊤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⊤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111BBA" w:rsidRDefault="00B23D66">
      <w:pPr>
        <w:pStyle w:val="FirstParagraph"/>
      </w:pPr>
      <w:r>
        <w:t xml:space="preserve">com pesos de Bartlett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j</m:t>
            </m:r>
          </m:num>
          <m:den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Γ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a autocovariância amostral de defasagem </w:t>
      </w:r>
      <m:oMath>
        <m:r>
          <w:rPr>
            <w:rFonts w:ascii="Cambria Math" w:hAnsi="Cambria Math"/>
          </w:rPr>
          <m:t>j</m:t>
        </m:r>
      </m:oMath>
      <w:r>
        <w:t xml:space="preserve"> dos produtos regressor-resíduo. O alfa anualizado é reportado como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ann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252 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>, e sua</w:t>
      </w:r>
      <w:r>
        <w:t xml:space="preserve"> significância é avaliada pela estatística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HAC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</m:d>
      </m:oMath>
      <w:r>
        <w:t>.</w:t>
      </w:r>
    </w:p>
    <w:p w:rsidR="00111BBA" w:rsidRDefault="00B23D66">
      <w:pPr>
        <w:pStyle w:val="Ttulo2"/>
      </w:pPr>
      <w:bookmarkStart w:id="8" w:name="teste-de-spanning-de-huberman-kandel"/>
      <w:bookmarkEnd w:id="7"/>
      <w:r>
        <w:t>3.7.5 Teste de Spanning de Huberman-Kandel</w:t>
      </w:r>
    </w:p>
    <w:p w:rsidR="00111BBA" w:rsidRDefault="00B23D66">
      <w:pPr>
        <w:pStyle w:val="FirstParagraph"/>
      </w:pPr>
      <w:r>
        <w:t xml:space="preserve">Para verificar se uma estratégia expande genuinamente o conjunto de oportunidades de investimento disponível ao detentor do </w:t>
      </w:r>
      <w:r>
        <w:rPr>
          <w:i/>
          <w:iCs/>
        </w:rPr>
        <w:t>benchmark</w:t>
      </w:r>
      <w:r>
        <w:t xml:space="preserve">, aplica-se o teste </w:t>
      </w:r>
      <w:r>
        <w:t xml:space="preserve">de </w:t>
      </w:r>
      <w:r>
        <w:rPr>
          <w:i/>
          <w:iCs/>
        </w:rPr>
        <w:t>spanning</w:t>
      </w:r>
      <w:r>
        <w:t xml:space="preserve"> de Huberman e Kandel (1987). Na regressão da Seção 3.7.4, a hipótese nula conjunta de que o ativo testado é redundante (está contido no </w:t>
      </w:r>
      <w:r>
        <w:rPr>
          <w:i/>
          <w:iCs/>
        </w:rPr>
        <w:t>span</w:t>
      </w:r>
      <w:r>
        <w:t xml:space="preserve"> do mercado) é:</w:t>
      </w:r>
    </w:p>
    <w:p w:rsidR="00111BBA" w:rsidRDefault="00B23D66">
      <w:pPr>
        <w:pStyle w:val="Corpodetex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​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0  </m:t>
          </m:r>
          <m:r>
            <m:rPr>
              <m:nor/>
            </m:rPr>
            <m:t>e</m:t>
          </m:r>
          <m:r>
            <w:rPr>
              <w:rFonts w:ascii="Cambria Math" w:hAnsi="Cambria Math"/>
            </w:rPr>
            <m:t>  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111BBA" w:rsidRDefault="00B23D66">
      <w:pPr>
        <w:pStyle w:val="FirstParagraph"/>
      </w:pPr>
      <w:r>
        <w:t>A hipótese é avaliada por uma estatística de Wald que utiliza a matr</w:t>
      </w:r>
      <w:r>
        <w:t xml:space="preserve">iz HAC. Seja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θ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</m:acc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>
        <w:t xml:space="preserve">, </w:t>
      </w:r>
      <m:oMath>
        <m:r>
          <m:rPr>
            <m:sty m:val="b"/>
          </m:rP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e </w:t>
      </w:r>
      <m:oMath>
        <m:r>
          <m:rPr>
            <m:sty m:val="b"/>
          </m:rP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>
        <w:t>:</w:t>
      </w:r>
    </w:p>
    <w:p w:rsidR="00111BBA" w:rsidRDefault="00B23D66">
      <w:pPr>
        <w:pStyle w:val="Corpodetexto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R</m:t>
                  </m:r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q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R</m:t>
                  </m:r>
                  <m:r>
                    <w:rPr>
                      <w:rFonts w:ascii="Cambria Math" w:hAnsi="Cambria Math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HAC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 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θ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 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e>
            <m:lim>
              <m:r>
                <w:rPr>
                  <w:rFonts w:ascii="Cambria Math" w:hAnsi="Cambria Math"/>
                </w:rPr>
                <m:t>d</m:t>
              </m:r>
            </m:lim>
          </m:limUpp>
          <m:r>
            <w:rPr>
              <w:rFonts w:ascii="Cambria Math" w:hAnsi="Cambria Math"/>
            </w:rPr>
            <m:t> 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111BBA" w:rsidRDefault="00B23D66">
      <w:pPr>
        <w:pStyle w:val="FirstParagraph"/>
      </w:pPr>
      <w:r>
        <w:t xml:space="preserve">A implementação reporta a estatística em sua forma </w:t>
      </w:r>
      <m:oMath>
        <m:r>
          <w:rPr>
            <w:rFonts w:ascii="Cambria Math" w:hAnsi="Cambria Math"/>
          </w:rPr>
          <m:t>F</m:t>
        </m:r>
      </m:oMath>
      <w:r>
        <w:t xml:space="preserve"> equivalente,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q</m:t>
        </m:r>
      </m:oMath>
      <w:r>
        <w:t xml:space="preserve">, com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restrições, distribuída como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sob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; as duas formas conduzem à mesma decisão, adotando-se a forma </w:t>
      </w:r>
      <m:oMath>
        <m:r>
          <w:rPr>
            <w:rFonts w:ascii="Cambria Math" w:hAnsi="Cambria Math"/>
          </w:rPr>
          <m:t>F</m:t>
        </m:r>
      </m:oMath>
      <w:r>
        <w:t xml:space="preserve"> por seu melhor desempenho em amostras finitas.</w:t>
      </w:r>
    </w:p>
    <w:p w:rsidR="00111BBA" w:rsidRDefault="00B23D66">
      <w:pPr>
        <w:pStyle w:val="Corpodetexto"/>
      </w:pPr>
      <w:r>
        <w:t xml:space="preserve">A rejeição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indica que a estratégia oferece um perfil de risco-retorno não replicável por uma combinação do ativo livre de risco com o ín</w:t>
      </w:r>
      <w:r>
        <w:t>dice de mercado, justificando sua complexidade adicional.</w:t>
      </w:r>
    </w:p>
    <w:p w:rsidR="00111BBA" w:rsidRDefault="00B23D66">
      <w:pPr>
        <w:pStyle w:val="Ttulo2"/>
      </w:pPr>
      <w:bookmarkStart w:id="9" w:name="Xb3b9e083744a68dbd1e35349a4ceaaf9f0a83f0"/>
      <w:bookmarkEnd w:id="8"/>
      <w:r>
        <w:t>3.7.6 Correção para Múltiplas Comparações (Holm-Bonferroni)</w:t>
      </w:r>
    </w:p>
    <w:p w:rsidR="00111BBA" w:rsidRDefault="00B23D66">
      <w:pPr>
        <w:pStyle w:val="FirstParagraph"/>
      </w:pPr>
      <w:r>
        <w:t xml:space="preserve">Como o Índice de Sharpe de cada uma das estratégias é testado simultaneamente contra o mesmo </w:t>
      </w:r>
      <w:r>
        <w:rPr>
          <w:i/>
          <w:iCs/>
        </w:rPr>
        <w:t>benchmark</w:t>
      </w:r>
      <w:r>
        <w:t>, o número de comparações eleva a pr</w:t>
      </w:r>
      <w:r>
        <w:t>obabilidade de ao menos um falso positivo (erro tipo I por família). Para controlar a taxa de erro familiar (</w:t>
      </w:r>
      <w:r>
        <w:rPr>
          <w:i/>
          <w:iCs/>
        </w:rPr>
        <w:t>family-wise error rate</w:t>
      </w:r>
      <w:r>
        <w:t xml:space="preserve">), aplica-se o procedimento sequencial de Holm (1979). Ordenando os </w:t>
      </w:r>
      <m:oMath>
        <m:r>
          <w:rPr>
            <w:rFonts w:ascii="Cambria Math" w:hAnsi="Cambria Math"/>
          </w:rPr>
          <m:t>K</m:t>
        </m:r>
      </m:oMath>
      <w:r>
        <w:t xml:space="preserve"> valores-</w:t>
      </w:r>
      <m:oMath>
        <m:r>
          <w:rPr>
            <w:rFonts w:ascii="Cambria Math" w:hAnsi="Cambria Math"/>
          </w:rPr>
          <m:t>p</m:t>
        </m:r>
      </m:oMath>
      <w:r>
        <w:t xml:space="preserve"> de forma crescente,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</w:rPr>
          <m:t>≤…≤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b>
        </m:sSub>
      </m:oMath>
      <w:r>
        <w:t>, rejeita</w:t>
      </w:r>
      <w:r>
        <w:t xml:space="preserve">-se a hipótese associada 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b>
        </m:sSub>
      </m:oMath>
      <w:r>
        <w:t xml:space="preserve"> se, e somente se:</w:t>
      </w:r>
    </w:p>
    <w:p w:rsidR="00111BBA" w:rsidRDefault="00B23D66">
      <w:pPr>
        <w:pStyle w:val="Corpodetex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 </m:t>
          </m:r>
          <m:r>
            <m:rPr>
              <m:nor/>
            </m:rPr>
            <m:t xml:space="preserve">para todo 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111BBA" w:rsidRDefault="00B23D66">
      <w:pPr>
        <w:pStyle w:val="FirstParagraph"/>
      </w:pPr>
      <w:r>
        <w:t xml:space="preserve">com nível de significância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. O procedimento é uniformemente mais poderoso que a correção clássica de Bonferroni, preservando o controle do erro familiar sem pressupor independência entre os testes.</w:t>
      </w:r>
    </w:p>
    <w:p w:rsidR="00111BBA" w:rsidRDefault="00B23D66">
      <w:pPr>
        <w:pStyle w:val="Ttulo2"/>
      </w:pPr>
      <w:bookmarkStart w:id="10" w:name="síntese-do-protocolo-inferencial"/>
      <w:bookmarkEnd w:id="9"/>
      <w:r>
        <w:lastRenderedPageBreak/>
        <w:t>3.7.7 Síntese do Protocolo Inferencial</w:t>
      </w:r>
    </w:p>
    <w:p w:rsidR="00111BBA" w:rsidRDefault="00B23D66">
      <w:pPr>
        <w:pStyle w:val="FirstParagraph"/>
      </w:pPr>
      <w:r>
        <w:t>O Quadro a seguir resume a arquitetura de inferência em quatro camadas, indicando a hipótese avaliada e a robustez de cada procedimento.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81"/>
        <w:gridCol w:w="2412"/>
        <w:gridCol w:w="1544"/>
        <w:gridCol w:w="2917"/>
      </w:tblGrid>
      <w:tr w:rsidR="00111BBA" w:rsidTr="00111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11BBA" w:rsidRDefault="00B23D66">
            <w:pPr>
              <w:pStyle w:val="Compact"/>
            </w:pPr>
            <w:r>
              <w:t>Camada</w:t>
            </w:r>
          </w:p>
        </w:tc>
        <w:tc>
          <w:tcPr>
            <w:tcW w:w="0" w:type="auto"/>
          </w:tcPr>
          <w:p w:rsidR="00111BBA" w:rsidRDefault="00B23D66">
            <w:pPr>
              <w:pStyle w:val="Compact"/>
            </w:pPr>
            <w:r>
              <w:t>Procedimento</w:t>
            </w:r>
          </w:p>
        </w:tc>
        <w:tc>
          <w:tcPr>
            <w:tcW w:w="0" w:type="auto"/>
          </w:tcPr>
          <w:p w:rsidR="00111BBA" w:rsidRDefault="00B23D66">
            <w:pPr>
              <w:pStyle w:val="Compact"/>
            </w:pPr>
            <w:r>
              <w:t>Hipótese nula</w:t>
            </w:r>
          </w:p>
        </w:tc>
        <w:tc>
          <w:tcPr>
            <w:tcW w:w="0" w:type="auto"/>
          </w:tcPr>
          <w:p w:rsidR="00111BBA" w:rsidRDefault="00B23D66">
            <w:pPr>
              <w:pStyle w:val="Compact"/>
            </w:pPr>
            <w:r>
              <w:t>Robustez</w:t>
            </w:r>
          </w:p>
        </w:tc>
      </w:tr>
      <w:tr w:rsidR="00111BBA">
        <w:tc>
          <w:tcPr>
            <w:tcW w:w="0" w:type="auto"/>
          </w:tcPr>
          <w:p w:rsidR="00111BBA" w:rsidRDefault="00B23D66">
            <w:pPr>
              <w:pStyle w:val="Compact"/>
            </w:pPr>
            <w:r>
              <w:t>Estimação por intervalo</w:t>
            </w:r>
          </w:p>
        </w:tc>
        <w:tc>
          <w:tcPr>
            <w:tcW w:w="0" w:type="auto"/>
          </w:tcPr>
          <w:p w:rsidR="00111BBA" w:rsidRDefault="00B23D66">
            <w:pPr>
              <w:pStyle w:val="Compact"/>
            </w:pPr>
            <w:r>
              <w:t>Bootstrap estacionário (Politis-Romano)</w:t>
            </w:r>
          </w:p>
        </w:tc>
        <w:tc>
          <w:tcPr>
            <w:tcW w:w="0" w:type="auto"/>
          </w:tcPr>
          <w:p w:rsidR="00111BBA" w:rsidRDefault="00B23D66">
            <w:pPr>
              <w:pStyle w:val="Compact"/>
            </w:pPr>
            <w:r>
              <w:t>— (IC de 95</w:t>
            </w:r>
            <w:r>
              <w:t>%)</w:t>
            </w:r>
          </w:p>
        </w:tc>
        <w:tc>
          <w:tcPr>
            <w:tcW w:w="0" w:type="auto"/>
          </w:tcPr>
          <w:p w:rsidR="00111BBA" w:rsidRDefault="00B23D66">
            <w:pPr>
              <w:pStyle w:val="Compact"/>
            </w:pPr>
            <w:r>
              <w:t>Dependência temporal</w:t>
            </w:r>
          </w:p>
        </w:tc>
      </w:tr>
      <w:tr w:rsidR="00111BBA">
        <w:tc>
          <w:tcPr>
            <w:tcW w:w="0" w:type="auto"/>
          </w:tcPr>
          <w:p w:rsidR="00111BBA" w:rsidRDefault="00B23D66">
            <w:pPr>
              <w:pStyle w:val="Compact"/>
            </w:pPr>
            <w:r>
              <w:t>Diferença de Sharpe/Sortino</w:t>
            </w:r>
          </w:p>
        </w:tc>
        <w:tc>
          <w:tcPr>
            <w:tcW w:w="0" w:type="auto"/>
          </w:tcPr>
          <w:p w:rsidR="00111BBA" w:rsidRDefault="00B23D66">
            <w:pPr>
              <w:pStyle w:val="Compact"/>
            </w:pPr>
            <w:r>
              <w:t>Jobson-Korkie-Memmel</w:t>
            </w:r>
          </w:p>
        </w:tc>
        <w:tc>
          <w:tcPr>
            <w:tcW w:w="0" w:type="auto"/>
          </w:tcPr>
          <w:p w:rsidR="00111BBA" w:rsidRDefault="00B23D66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111BBA" w:rsidRDefault="00B23D66">
            <w:pPr>
              <w:pStyle w:val="Compact"/>
            </w:pPr>
            <w:r>
              <w:t>Assintótica (normalidade)</w:t>
            </w:r>
          </w:p>
        </w:tc>
      </w:tr>
      <w:tr w:rsidR="00111BBA">
        <w:tc>
          <w:tcPr>
            <w:tcW w:w="0" w:type="auto"/>
          </w:tcPr>
          <w:p w:rsidR="00111BBA" w:rsidRDefault="00B23D66">
            <w:pPr>
              <w:pStyle w:val="Compact"/>
            </w:pPr>
            <w:r>
              <w:t>Diferença de Sharpe/Sortino</w:t>
            </w:r>
          </w:p>
        </w:tc>
        <w:tc>
          <w:tcPr>
            <w:tcW w:w="0" w:type="auto"/>
          </w:tcPr>
          <w:p w:rsidR="00111BBA" w:rsidRDefault="00B23D66">
            <w:pPr>
              <w:pStyle w:val="Compact"/>
            </w:pPr>
            <w:r>
              <w:t>Ledoit-Wolf bootstrap</w:t>
            </w:r>
          </w:p>
        </w:tc>
        <w:tc>
          <w:tcPr>
            <w:tcW w:w="0" w:type="auto"/>
          </w:tcPr>
          <w:p w:rsidR="00111BBA" w:rsidRDefault="00B23D66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111BBA" w:rsidRDefault="00B23D66">
            <w:pPr>
              <w:pStyle w:val="Compact"/>
            </w:pPr>
            <w:r>
              <w:t>Não-normalidade + autocorrelação</w:t>
            </w:r>
          </w:p>
        </w:tc>
      </w:tr>
      <w:tr w:rsidR="00111BBA">
        <w:tc>
          <w:tcPr>
            <w:tcW w:w="0" w:type="auto"/>
          </w:tcPr>
          <w:p w:rsidR="00111BBA" w:rsidRDefault="00B23D66">
            <w:pPr>
              <w:pStyle w:val="Compact"/>
            </w:pPr>
            <w:r>
              <w:t>Retorno anormal</w:t>
            </w:r>
          </w:p>
        </w:tc>
        <w:tc>
          <w:tcPr>
            <w:tcW w:w="0" w:type="auto"/>
          </w:tcPr>
          <w:p w:rsidR="00111BBA" w:rsidRDefault="00B23D66">
            <w:pPr>
              <w:pStyle w:val="Compact"/>
            </w:pPr>
            <w:r>
              <w:t>Regressão CAPM com HAC</w:t>
            </w:r>
          </w:p>
        </w:tc>
        <w:tc>
          <w:tcPr>
            <w:tcW w:w="0" w:type="auto"/>
          </w:tcPr>
          <w:p w:rsidR="00111BBA" w:rsidRDefault="00B23D66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:rsidR="00111BBA" w:rsidRDefault="00B23D66">
            <w:pPr>
              <w:pStyle w:val="Compact"/>
            </w:pPr>
            <w:r>
              <w:t>Heteroscedasticidade + autocorrelação</w:t>
            </w:r>
          </w:p>
        </w:tc>
      </w:tr>
      <w:tr w:rsidR="00111BBA">
        <w:tc>
          <w:tcPr>
            <w:tcW w:w="0" w:type="auto"/>
          </w:tcPr>
          <w:p w:rsidR="00111BBA" w:rsidRDefault="00B23D66">
            <w:pPr>
              <w:pStyle w:val="Compact"/>
            </w:pPr>
            <w:r>
              <w:t>Expansão da fronteira</w:t>
            </w:r>
          </w:p>
        </w:tc>
        <w:tc>
          <w:tcPr>
            <w:tcW w:w="0" w:type="auto"/>
          </w:tcPr>
          <w:p w:rsidR="00111BBA" w:rsidRDefault="00B23D66">
            <w:pPr>
              <w:pStyle w:val="Compact"/>
            </w:pPr>
            <w:r>
              <w:t>Spanning de Huberman-Kandel</w:t>
            </w:r>
          </w:p>
        </w:tc>
        <w:tc>
          <w:tcPr>
            <w:tcW w:w="0" w:type="auto"/>
          </w:tcPr>
          <w:p w:rsidR="00111BBA" w:rsidRDefault="00B23D66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 </m:t>
                </m:r>
                <m:r>
                  <w:rPr>
                    <w:rFonts w:ascii="Cambria Math" w:hAnsi="Cambria Math"/>
                  </w:rPr>
                  <m:t>β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:rsidR="00111BBA" w:rsidRDefault="00B23D66">
            <w:pPr>
              <w:pStyle w:val="Compact"/>
            </w:pPr>
            <w:r>
              <w:t>HAC (Wald)</w:t>
            </w:r>
          </w:p>
        </w:tc>
      </w:tr>
      <w:tr w:rsidR="00111BBA">
        <w:tc>
          <w:tcPr>
            <w:tcW w:w="0" w:type="auto"/>
          </w:tcPr>
          <w:p w:rsidR="00111BBA" w:rsidRDefault="00B23D66">
            <w:pPr>
              <w:pStyle w:val="Compact"/>
            </w:pPr>
            <w:r>
              <w:t>Controle do erro familiar</w:t>
            </w:r>
          </w:p>
        </w:tc>
        <w:tc>
          <w:tcPr>
            <w:tcW w:w="0" w:type="auto"/>
          </w:tcPr>
          <w:p w:rsidR="00111BBA" w:rsidRDefault="00B23D66">
            <w:pPr>
              <w:pStyle w:val="Compact"/>
            </w:pPr>
            <w:r>
              <w:t>Holm-Bonferroni</w:t>
            </w:r>
          </w:p>
        </w:tc>
        <w:tc>
          <w:tcPr>
            <w:tcW w:w="0" w:type="auto"/>
          </w:tcPr>
          <w:p w:rsidR="00111BBA" w:rsidRDefault="00B23D66">
            <w:pPr>
              <w:pStyle w:val="Compact"/>
            </w:pPr>
            <w:r>
              <w:t>— (ajuste de valores-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>)</w:t>
            </w:r>
          </w:p>
        </w:tc>
        <w:tc>
          <w:tcPr>
            <w:tcW w:w="0" w:type="auto"/>
          </w:tcPr>
          <w:p w:rsidR="00111BBA" w:rsidRDefault="00B23D66">
            <w:pPr>
              <w:pStyle w:val="Compact"/>
            </w:pPr>
            <w:r>
              <w:t>Sem pressuposto de independência</w:t>
            </w:r>
          </w:p>
        </w:tc>
      </w:tr>
    </w:tbl>
    <w:p w:rsidR="00111BBA" w:rsidRDefault="00B23D66">
      <w:pPr>
        <w:pStyle w:val="Corpodetexto"/>
      </w:pPr>
      <w:r>
        <w:t>Fonte: elaboração própria.</w:t>
      </w:r>
    </w:p>
    <w:p w:rsidR="00111BBA" w:rsidRDefault="00B23D66">
      <w:pPr>
        <w:pStyle w:val="Corpodetexto"/>
      </w:pPr>
      <w:r>
        <w:t xml:space="preserve">A combinação de </w:t>
      </w:r>
      <w:r>
        <w:t xml:space="preserve">um teste paramétrico (Jobson-Korkie-Memmel) com sua contraparte por </w:t>
      </w:r>
      <w:r>
        <w:rPr>
          <w:i/>
          <w:iCs/>
        </w:rPr>
        <w:t>bootstrap</w:t>
      </w:r>
      <w:r>
        <w:t xml:space="preserve"> (Ledoit-Wolf) permite verificar a robustez das conclusões à violação da hipótese de normalidade: convergência entre os dois métodos reforça a confiabilidade do resultado, enquant</w:t>
      </w:r>
      <w:r>
        <w:t>o divergência sinaliza sensibilidade às premissas distribucionais. Todos os procedimentos utilizam semente aleatória fixa, assegurando a reprodutibilidade integral da inferência.</w:t>
      </w:r>
      <w:bookmarkEnd w:id="0"/>
      <w:bookmarkEnd w:id="10"/>
    </w:p>
    <w:sectPr w:rsidR="00111BBA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3D66" w:rsidRDefault="00B23D66">
      <w:pPr>
        <w:spacing w:after="0"/>
      </w:pPr>
      <w:r>
        <w:separator/>
      </w:r>
    </w:p>
  </w:endnote>
  <w:endnote w:type="continuationSeparator" w:id="0">
    <w:p w:rsidR="00B23D66" w:rsidRDefault="00B23D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3D66" w:rsidRDefault="00B23D66">
      <w:r>
        <w:separator/>
      </w:r>
    </w:p>
  </w:footnote>
  <w:footnote w:type="continuationSeparator" w:id="0">
    <w:p w:rsidR="00B23D66" w:rsidRDefault="00B23D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4C26E1D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BBA"/>
    <w:rsid w:val="00111BBA"/>
    <w:rsid w:val="00B23D66"/>
    <w:rsid w:val="00E2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541C5DA-03C2-4670-9DC8-AAF5D1D81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1410</Words>
  <Characters>7615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Conta da Microsoft</dc:creator>
  <cp:keywords/>
  <cp:lastModifiedBy>Conta da Microsoft</cp:lastModifiedBy>
  <cp:revision>2</cp:revision>
  <dcterms:created xsi:type="dcterms:W3CDTF">2026-06-03T17:45:00Z</dcterms:created>
  <dcterms:modified xsi:type="dcterms:W3CDTF">2026-06-03T17:45:00Z</dcterms:modified>
</cp:coreProperties>
</file>