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B2E" w:rsidRDefault="00D24AF1">
      <w:pPr>
        <w:pStyle w:val="Ttulo1"/>
      </w:pPr>
      <w:bookmarkStart w:id="0" w:name="resultados-da-inferência-estatística"/>
      <w:bookmarkStart w:id="1" w:name="_GoBack"/>
      <w:bookmarkEnd w:id="1"/>
      <w:r>
        <w:t>4.3 Resultados da Inferência Estatística</w:t>
      </w:r>
    </w:p>
    <w:p w:rsidR="00E94B2E" w:rsidRDefault="00D24AF1">
      <w:pPr>
        <w:pStyle w:val="FirstParagraph"/>
      </w:pPr>
      <w:r>
        <w:t xml:space="preserve">Esta seção apresenta os resultados da avaliação formal das dezesseis séries de retorno, segundo o protocolo descrito na Seção 3.7. A análise é organizada em quatro etapas: (i) o painel comparativo de desempenho e risco; (ii) o diagnóstico distributivo que </w:t>
      </w:r>
      <w:r>
        <w:t xml:space="preserve">justifica o uso de inferência não-paramétrica; (iii) os testes de significância da diferença de desempenho frente ao </w:t>
      </w:r>
      <w:r>
        <w:rPr>
          <w:i/>
          <w:iCs/>
        </w:rPr>
        <w:t>benchmark</w:t>
      </w:r>
      <w:r>
        <w:t xml:space="preserve"> ingênuo; e (iv) a caracterização do retorno anormal e da expansão da fronteira de investimento. Os resultados conduzem a uma revi</w:t>
      </w:r>
      <w:r>
        <w:t>são substantiva da hipótese do “paradoxo da complexidade” levantada em versões anteriores deste trabalho.</w:t>
      </w:r>
    </w:p>
    <w:p w:rsidR="00E94B2E" w:rsidRDefault="00D24AF1">
      <w:pPr>
        <w:pStyle w:val="Ttulo2"/>
      </w:pPr>
      <w:bookmarkStart w:id="2" w:name="painel-comparativo-de-desempenho-e-risco"/>
      <w:r>
        <w:t>4.3.1 Painel Comparativo de Desempenho e Risco</w:t>
      </w:r>
    </w:p>
    <w:p w:rsidR="00E94B2E" w:rsidRDefault="00D24AF1">
      <w:pPr>
        <w:pStyle w:val="FirstParagraph"/>
      </w:pPr>
      <w:r>
        <w:t xml:space="preserve">A Tabela 13 consolida as métricas de desempenho e risco das dezesseis séries no período </w:t>
      </w:r>
      <w:r>
        <w:rPr>
          <w:i/>
          <w:iCs/>
        </w:rPr>
        <w:t>out-of-sample</w:t>
      </w:r>
      <w:r>
        <w:t xml:space="preserve">, </w:t>
      </w:r>
      <w:r>
        <w:t>ordenadas por Índice de Sharpe decrescente, com o IBOVESPA reportado como referência de mercado.</w:t>
      </w:r>
    </w:p>
    <w:p w:rsidR="00E94B2E" w:rsidRDefault="00D24AF1">
      <w:pPr>
        <w:pStyle w:val="Corpodetexto"/>
      </w:pPr>
      <w:r>
        <w:rPr>
          <w:b/>
          <w:bCs/>
        </w:rPr>
        <w:t>Tabela 13 — Painel comparativo de desempenho e risco (período out-of-sample)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8"/>
        <w:gridCol w:w="1475"/>
        <w:gridCol w:w="1116"/>
        <w:gridCol w:w="1069"/>
        <w:gridCol w:w="935"/>
        <w:gridCol w:w="971"/>
        <w:gridCol w:w="970"/>
      </w:tblGrid>
      <w:tr w:rsidR="00E94B2E" w:rsidTr="00E94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Estratégia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Retorno acum. (%)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CAGR (% a.a.)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Vol. (% a.a.)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Sharpe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Sortino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MDD (%)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</w:t>
            </w:r>
            <w:r>
              <w:t>L_downside_c10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580,9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19,69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21,07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0,519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0,730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36,9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671,9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21,10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26,04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0,738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43,9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708,5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21,63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32,47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0,480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54,9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484,0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17,98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20,30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0,460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34,4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EqualWeight_BuyHold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374,6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15,71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19,30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0,372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0,520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34,5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MaxOmega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295,8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13,76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17,40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0,416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22,5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290,2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13,60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17,53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0,287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0,404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−</w:t>
            </w:r>
            <w:r>
              <w:rPr>
                <w:b/>
                <w:bCs/>
              </w:rPr>
              <w:t>22,8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MaxKappa3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280,0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13,32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18,26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0,269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0,381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22,6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MaxSortino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274,2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13,16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17,78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0,263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0,371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23,3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257,1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12,66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16,55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0,340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23,9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233,0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11,93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12,99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0,219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25,6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232,7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11,92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12,96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0,219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25,6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230,6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11,85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12,96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26,3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MinCDaR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202,0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10,91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14,71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0,148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0,205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25,7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InvVol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154,9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9,16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19,11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0,095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37,4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EqualWeight (1/N)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85,7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5,97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19,84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0,075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0,103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42,0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rPr>
                <w:i/>
                <w:iCs/>
              </w:rPr>
              <w:t>IBOVESPA (ref.)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212,4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11,26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23,32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0,178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0,245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i/>
                <w:iCs/>
              </w:rPr>
              <w:t>−</w:t>
            </w:r>
            <w:r>
              <w:rPr>
                <w:i/>
                <w:iCs/>
              </w:rPr>
              <w:t>46,8</w:t>
            </w:r>
          </w:p>
        </w:tc>
      </w:tr>
    </w:tbl>
    <w:p w:rsidR="00E94B2E" w:rsidRDefault="00D24AF1">
      <w:pPr>
        <w:pStyle w:val="Corpodetexto"/>
      </w:pPr>
      <w:r>
        <w:t>Fonte: elaboração própria a partir do Apêndice H.</w:t>
      </w:r>
    </w:p>
    <w:p w:rsidR="00E94B2E" w:rsidRDefault="00D24AF1">
      <w:pPr>
        <w:pStyle w:val="Corpodetexto"/>
      </w:pPr>
      <w:r>
        <w:lastRenderedPageBreak/>
        <w:t xml:space="preserve">Três padrões emergem do painel. Primeiro, </w:t>
      </w:r>
      <w:r>
        <w:rPr>
          <w:b/>
          <w:bCs/>
        </w:rPr>
        <w:t>catorze das quinze estratégias de otimização superaram o IBOVESPA em Índice de Sharpe</w:t>
      </w:r>
      <w:r>
        <w:t xml:space="preserve">, e todas o </w:t>
      </w:r>
      <w:r>
        <w:t xml:space="preserve">superaram em </w:t>
      </w:r>
      <w:r>
        <w:rPr>
          <w:i/>
          <w:iCs/>
        </w:rPr>
        <w:t>Maximum Drawdown</w:t>
      </w:r>
      <w:r>
        <w:t xml:space="preserve">, evidenciando ganho de eficiência risco-retorno em relação à exposição passiva ao mercado. Segundo, observa-se uma </w:t>
      </w:r>
      <w:r>
        <w:rPr>
          <w:b/>
          <w:bCs/>
        </w:rPr>
        <w:t>clara segmentação por perfil</w:t>
      </w:r>
      <w:r>
        <w:t>: as estratégias Black-Litterman lideram em retorno e Sharpe, porém ao custo da mai</w:t>
      </w:r>
      <w:r>
        <w:t>or volatilidade (até 32,5%) e dos maiores rebaixamentos (até −54,9%), enquanto as estratégias de mínimo risco (MinVar, MinVar_c10, MinCVaR) entregam Sharpe intermediário com a menor volatilidade (≈13%) e rebaixamentos contidos. Terceiro, e de modo notável,</w:t>
      </w:r>
      <w:r>
        <w:t xml:space="preserve"> </w:t>
      </w:r>
      <w:r>
        <w:rPr>
          <w:b/>
          <w:bCs/>
        </w:rPr>
        <w:t>o benchmark ingênuo 1/N com rebalanceamento mensal foi o pior desempenho de toda a amostra</w:t>
      </w:r>
      <w:r>
        <w:t xml:space="preserve"> (Sharpe −0,075), inferior inclusive à sua própria variante sem rebalanceamento (</w:t>
      </w:r>
      <w:r>
        <w:rPr>
          <w:i/>
          <w:iCs/>
        </w:rPr>
        <w:t>buy-and-hold</w:t>
      </w:r>
      <w:r>
        <w:t>, Sharpe 0,372) — resultado cuja interpretação é qualificada na Seção 4.</w:t>
      </w:r>
      <w:r>
        <w:t>3.5.</w:t>
      </w:r>
    </w:p>
    <w:p w:rsidR="00E94B2E" w:rsidRDefault="00D24AF1">
      <w:pPr>
        <w:pStyle w:val="Ttulo2"/>
      </w:pPr>
      <w:bookmarkStart w:id="3" w:name="X8e32125a836347ddb9a3ae64baca99e570507c3"/>
      <w:bookmarkEnd w:id="2"/>
      <w:r>
        <w:t>4.3.2 Diagnóstico Distributivo e Justificativa da Inferência Não-Paramétrica</w:t>
      </w:r>
    </w:p>
    <w:p w:rsidR="00E94B2E" w:rsidRDefault="00D24AF1">
      <w:pPr>
        <w:pStyle w:val="FirstParagraph"/>
      </w:pPr>
      <w:r>
        <w:t xml:space="preserve">A escolha do teste de significância apropriado depende das propriedades distributivas das séries. O teste de Jarque-Bera </w:t>
      </w:r>
      <w:r>
        <w:rPr>
          <w:b/>
          <w:bCs/>
        </w:rPr>
        <w:t>rejeitou a hipótese de normalidade em todas as dezesseis séries</w:t>
      </w:r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001</m:t>
        </m:r>
      </m:oMath>
      <w:r>
        <w:t>), com assimetria negativa e curtose elevada (entre 4,5 e 7,1) predominantes, indicando caudas pesadas e propensão a perdas extremas. O teste ARCH-LM detectou heteroscedasticidade condicional em todas as séries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001</m:t>
        </m:r>
      </m:oMath>
      <w:r>
        <w:t>), e o teste de Ljung-Box indicou au</w:t>
      </w:r>
      <w:r>
        <w:t>tocorrelação significativa na maioria delas.</w:t>
      </w:r>
    </w:p>
    <w:p w:rsidR="00E94B2E" w:rsidRDefault="00D24AF1">
      <w:pPr>
        <w:pStyle w:val="Corpodetexto"/>
      </w:pPr>
      <w:r>
        <w:t>Esse diagnóstico tem consequência metodológica direta: o pressuposto de retornos independentes e normalmente distribuídos, subjacente ao teste paramétrico de Jobson-Korkie-Memmel, é violado. Justifica-se, portan</w:t>
      </w:r>
      <w:r>
        <w:t xml:space="preserve">to, a primazia conferida ao teste de Ledoit-Wolf por </w:t>
      </w:r>
      <w:r>
        <w:rPr>
          <w:i/>
          <w:iCs/>
        </w:rPr>
        <w:t>bootstrap</w:t>
      </w:r>
      <w:r>
        <w:t xml:space="preserve"> estacionário, robusto a ambas as violações, na decisão sobre significância estatística. O teste paramétrico é reportado em paralelo como referência de robustez.</w:t>
      </w:r>
    </w:p>
    <w:p w:rsidR="00E94B2E" w:rsidRDefault="00D24AF1">
      <w:pPr>
        <w:pStyle w:val="Ttulo2"/>
      </w:pPr>
      <w:bookmarkStart w:id="4" w:name="Xdb9db1fd2209b244a7acedc63aa485f763ce101"/>
      <w:bookmarkEnd w:id="3"/>
      <w:r>
        <w:t>4.3.3 Testes de Diferença do Índ</w:t>
      </w:r>
      <w:r>
        <w:t>ice de Sharpe frente ao 1/N</w:t>
      </w:r>
    </w:p>
    <w:p w:rsidR="00E94B2E" w:rsidRDefault="00D24AF1">
      <w:pPr>
        <w:pStyle w:val="FirstParagraph"/>
      </w:pPr>
      <w:r>
        <w:t xml:space="preserve">A Tabela 14 reporta, para cada estratégia, a diferença de Índice de Sharpe anualizado frente ao </w:t>
      </w:r>
      <w:r>
        <w:rPr>
          <w:i/>
          <w:iCs/>
        </w:rPr>
        <w:t>benchmark</w:t>
      </w:r>
      <w:r>
        <w:t xml:space="preserve"> 1/N (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SR</m:t>
        </m:r>
      </m:oMath>
      <w:r>
        <w:t>), os valores-</w:t>
      </w:r>
      <m:oMath>
        <m:r>
          <w:rPr>
            <w:rFonts w:ascii="Cambria Math" w:hAnsi="Cambria Math"/>
          </w:rPr>
          <m:t>p</m:t>
        </m:r>
      </m:oMath>
      <w:r>
        <w:t xml:space="preserve"> dos testes de Jobson-Korkie-Memmel (JKM) e de Ledoit-Wolf (LW), e os respectivos valores-</w:t>
      </w:r>
      <m:oMath>
        <m:r>
          <w:rPr>
            <w:rFonts w:ascii="Cambria Math" w:hAnsi="Cambria Math"/>
          </w:rPr>
          <m:t>p</m:t>
        </m:r>
      </m:oMath>
      <w:r>
        <w:t xml:space="preserve"> após</w:t>
      </w:r>
      <w:r>
        <w:t xml:space="preserve"> a correção de Holm-Bonferroni para as quinze comparações simultâneas.</w:t>
      </w:r>
    </w:p>
    <w:p w:rsidR="00E94B2E" w:rsidRDefault="00D24AF1">
      <w:pPr>
        <w:pStyle w:val="Corpodetexto"/>
      </w:pPr>
      <w:r>
        <w:rPr>
          <w:b/>
          <w:bCs/>
        </w:rPr>
        <w:t>Tabela 14 — Diferença de Índice de Sharpe frente ao 1/N e significância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7"/>
        <w:gridCol w:w="972"/>
        <w:gridCol w:w="960"/>
        <w:gridCol w:w="932"/>
        <w:gridCol w:w="1053"/>
        <w:gridCol w:w="1026"/>
        <w:gridCol w:w="1594"/>
      </w:tblGrid>
      <w:tr w:rsidR="00E94B2E" w:rsidTr="00E94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Estratégia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ΔSR anual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JKM (p)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LW (p)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JKM Holm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LW Holm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Significativa†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EqualWeight_BuyHold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0,461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</w:t>
            </w:r>
            <w:r>
              <w:t>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InvVol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0,163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0,541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0,062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0,003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0,004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0,125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0,002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rPr>
                <w:b/>
                <w:bCs/>
              </w:rPr>
              <w:t>0,020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0,567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0,002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0,009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0,026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0,088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lastRenderedPageBreak/>
              <w:t>BL_classico_c10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0,525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0,007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0,015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0,136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0,412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0,035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MaxOmega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0,436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0,042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0,528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MinCDaR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0,386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0,252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0,424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0,064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0,051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MaxSortino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0,393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MaxKappa3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0,385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0,474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0,026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0,287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0,373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0,059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0,285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0,534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</w:tbl>
    <w:p w:rsidR="00E94B2E" w:rsidRDefault="00D24AF1">
      <w:pPr>
        <w:pStyle w:val="Corpodetexto"/>
      </w:pPr>
      <w:r>
        <w:t>† Significância pelo teste de Ledoit-Wolf após correção de Holm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>). Fonte: elaboração própria.</w:t>
      </w:r>
    </w:p>
    <w:p w:rsidR="00E94B2E" w:rsidRDefault="00D24AF1">
      <w:pPr>
        <w:pStyle w:val="Corpodetexto"/>
      </w:pPr>
      <w:r>
        <w:t xml:space="preserve">O resultado é revelador e exige leitura cuidadosa. Embora </w:t>
      </w:r>
      <w:r>
        <w:rPr>
          <w:b/>
          <w:bCs/>
        </w:rPr>
        <w:t>todas as quinze estratégias exibam diferença de Sharpe positiva</w:t>
      </w:r>
      <w:r>
        <w:t xml:space="preserve"> frente ao 1/N (entre +0,16 e +0,57), a maioria dessas diferenças </w:t>
      </w:r>
      <w:r>
        <w:rPr>
          <w:b/>
          <w:bCs/>
        </w:rPr>
        <w:t>não sobrevive à correção para múltiplas</w:t>
      </w:r>
      <w:r>
        <w:rPr>
          <w:b/>
          <w:bCs/>
        </w:rPr>
        <w:t xml:space="preserve"> comparações</w:t>
      </w:r>
      <w:r>
        <w:t xml:space="preserve">. Após o ajuste de Holm sobre o teste robusto de Ledoit-Wolf, apenas </w:t>
      </w:r>
      <w:r>
        <w:rPr>
          <w:b/>
          <w:bCs/>
        </w:rPr>
        <w:t>três estratégias de otimização rejeitam a hipótese de igualdade de Sharpe</w:t>
      </w:r>
      <w:r>
        <w:t xml:space="preserve"> com o 1/N de forma estatisticamente significativa: </w:t>
      </w:r>
      <w:r>
        <w:rPr>
          <w:b/>
          <w:bCs/>
        </w:rPr>
        <w:t xml:space="preserve">Mínima Variância (MinVar,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004</m:t>
        </m:r>
      </m:oMath>
      <w:r>
        <w:rPr>
          <w:b/>
          <w:bCs/>
        </w:rPr>
        <w:t>), Mínima Variân</w:t>
      </w:r>
      <w:r>
        <w:rPr>
          <w:b/>
          <w:bCs/>
        </w:rPr>
        <w:t xml:space="preserve">cia com teto (MinVar_c10,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003</m:t>
        </m:r>
      </m:oMath>
      <w:r>
        <w:rPr>
          <w:b/>
          <w:bCs/>
        </w:rPr>
        <w:t xml:space="preserve">) e Mínimo CVaR (MinCVaR,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020</m:t>
        </m:r>
      </m:oMath>
      <w:r>
        <w:rPr>
          <w:b/>
          <w:bCs/>
        </w:rPr>
        <w:t>)</w:t>
      </w:r>
      <w:r>
        <w:t xml:space="preserve"> — além das séries de referência InvVol e </w:t>
      </w:r>
      <w:r>
        <w:rPr>
          <w:i/>
          <w:iCs/>
        </w:rPr>
        <w:t>buy-and-hold</w:t>
      </w:r>
      <w:r>
        <w:t>.</w:t>
      </w:r>
    </w:p>
    <w:p w:rsidR="00E94B2E" w:rsidRDefault="00D24AF1">
      <w:pPr>
        <w:pStyle w:val="Corpodetexto"/>
      </w:pPr>
      <w:r>
        <w:t xml:space="preserve">Dois aspectos merecem destaque. Primeiro, </w:t>
      </w:r>
      <w:r>
        <w:rPr>
          <w:b/>
          <w:bCs/>
        </w:rPr>
        <w:t>a divergência entre os testes JKM e LW é informativa</w:t>
      </w:r>
      <w:r>
        <w:t xml:space="preserve">: para as estratégias de mínima variância, o teste paramétrico não rejeita a nulidade (JKM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06</m:t>
        </m:r>
      </m:oMath>
      <w:r>
        <w:t>–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</m:oMath>
      <w:r>
        <w:t>), enquanto o teste robusto rejeita fortemente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</m:t>
        </m:r>
      </m:oMath>
      <w:r>
        <w:t>). Como o diagnóstico da Seção 4.3.2 invalidou os pressupostos do teste paramétrico, a evidência d</w:t>
      </w:r>
      <w:r>
        <w:t xml:space="preserve">o </w:t>
      </w:r>
      <w:r>
        <w:rPr>
          <w:i/>
          <w:iCs/>
        </w:rPr>
        <w:t>bootstrap</w:t>
      </w:r>
      <w:r>
        <w:t xml:space="preserve"> prevalece, e a divergência ilustra concretamente por que a inferência robusta era necessária. Segundo, </w:t>
      </w:r>
      <w:r>
        <w:rPr>
          <w:b/>
          <w:bCs/>
        </w:rPr>
        <w:t>as estratégias Black-Litterman, apesar de exibirem as maiores diferenças pontuais de Sharpe, não alcançam significância após Holm</w:t>
      </w:r>
      <w:r>
        <w:t xml:space="preserve"> (BL_downsid</w:t>
      </w:r>
      <w:r>
        <w:t xml:space="preserve">e_c10 fica em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088</m:t>
        </m:r>
      </m:oMath>
      <w:r>
        <w:t>): suas distribuições de retorno, mais voláteis, produzem estimativas com maior incerteza, de modo que o ganho aparente não pode ser distinguido do ruído amostral com a confiança exigida.</w:t>
      </w:r>
    </w:p>
    <w:p w:rsidR="00E94B2E" w:rsidRDefault="00D24AF1">
      <w:pPr>
        <w:pStyle w:val="Ttulo2"/>
      </w:pPr>
      <w:bookmarkStart w:id="5" w:name="testes-de-diferença-do-índice-de-sortino"/>
      <w:bookmarkEnd w:id="4"/>
      <w:r>
        <w:t>4.3.4 Testes de Diferença do Índice de Sortino</w:t>
      </w:r>
    </w:p>
    <w:p w:rsidR="00E94B2E" w:rsidRDefault="00D24AF1">
      <w:pPr>
        <w:pStyle w:val="FirstParagraph"/>
      </w:pPr>
      <w:r>
        <w:t xml:space="preserve">A Tabela 15 replica a análise para o Índice de Sortino, que penaliza exclusivamente a volatilidade de queda, avaliado pelo teste de Ledoit-Wolf por </w:t>
      </w:r>
      <w:r>
        <w:rPr>
          <w:i/>
          <w:iCs/>
        </w:rPr>
        <w:t>bootstrap</w:t>
      </w:r>
      <w:r>
        <w:t>.</w:t>
      </w:r>
    </w:p>
    <w:p w:rsidR="00E94B2E" w:rsidRDefault="00D24AF1">
      <w:pPr>
        <w:pStyle w:val="Corpodetexto"/>
      </w:pPr>
      <w:r>
        <w:rPr>
          <w:b/>
          <w:bCs/>
        </w:rPr>
        <w:t>Tabela 15 — Diferença de Índice de Sortino frente ao 1/N e significância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7"/>
        <w:gridCol w:w="1733"/>
        <w:gridCol w:w="936"/>
        <w:gridCol w:w="1176"/>
        <w:gridCol w:w="1470"/>
      </w:tblGrid>
      <w:tr w:rsidR="00E94B2E" w:rsidTr="00E94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Estratégia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ΔSortino anual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LW (p)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LW Holm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Significativa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EqualWeight_BuyHold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0,622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lastRenderedPageBreak/>
              <w:t>InvVol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0,198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&lt;0,001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sim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0,831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0,006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0,745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0,013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0,155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0,400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0,041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0,840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0,044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0,400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0,051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0,458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MaxOmega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0,518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0,080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0,395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0,092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0,507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0,092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0,812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MaxSortino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0,474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0,125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MaxKappa3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0,483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0,137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MinCDaR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0,307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0,239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não</w:t>
            </w:r>
          </w:p>
        </w:tc>
      </w:tr>
    </w:tbl>
    <w:p w:rsidR="00E94B2E" w:rsidRDefault="00D24AF1">
      <w:pPr>
        <w:pStyle w:val="Corpodetexto"/>
      </w:pPr>
      <w:r>
        <w:t>Fonte: elaboração própria.</w:t>
      </w:r>
    </w:p>
    <w:p w:rsidR="00E94B2E" w:rsidRDefault="00D24AF1">
      <w:pPr>
        <w:pStyle w:val="Corpodetexto"/>
      </w:pPr>
      <w:r>
        <w:t xml:space="preserve">Para o Índice de Sortino, </w:t>
      </w:r>
      <w:r>
        <w:rPr>
          <w:b/>
          <w:bCs/>
        </w:rPr>
        <w:t>nenhuma das estratégias de otimização alcança significância estatística após a correção de Holm</w:t>
      </w:r>
      <w:r>
        <w:t xml:space="preserve"> </w:t>
      </w:r>
      <w:r>
        <w:t xml:space="preserve">— as únicas séries significativas são as referências InvVol e </w:t>
      </w:r>
      <w:r>
        <w:rPr>
          <w:i/>
          <w:iCs/>
        </w:rPr>
        <w:t>buy-and-hold</w:t>
      </w:r>
      <w:r>
        <w:t xml:space="preserve">. As diferenças brutas são substanciais (sobretudo para as variantes Black-Litterman, com </w:t>
      </w:r>
      <m:oMath>
        <m:r>
          <w:rPr>
            <w:rFonts w:ascii="Cambria Math" w:hAnsi="Cambria Math"/>
          </w:rPr>
          <m:t>Δ</m:t>
        </m:r>
      </m:oMath>
      <w:r>
        <w:t xml:space="preserve"> de até +0,84), e várias estratégias seriam significativas antes da correção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05</m:t>
        </m:r>
      </m:oMath>
      <w:r>
        <w:t xml:space="preserve"> brut</w:t>
      </w:r>
      <w:r>
        <w:t>o para MinVar_c10, BL_classico, ambas as variantes BL com teto). Contudo, o controle do erro familiar sobre quinze testes eleva o limiar de rejeição, e nenhuma vantagem o ultrapassa. Esse achado reforça a necessidade de cautela inferencial: vantagens apare</w:t>
      </w:r>
      <w:r>
        <w:t xml:space="preserve">ntes no risco de queda, quando submetidas ao crivo de múltiplas comparações, não se mostram estatisticamente distinguíveis do desempenho do </w:t>
      </w:r>
      <w:r>
        <w:rPr>
          <w:i/>
          <w:iCs/>
        </w:rPr>
        <w:t>benchmark</w:t>
      </w:r>
      <w:r>
        <w:t xml:space="preserve"> ingênuo.</w:t>
      </w:r>
    </w:p>
    <w:p w:rsidR="00E94B2E" w:rsidRDefault="00D24AF1">
      <w:pPr>
        <w:pStyle w:val="Ttulo2"/>
      </w:pPr>
      <w:bookmarkStart w:id="6" w:name="X39a05f97acf16d55550451fa98e8720de42ba5d"/>
      <w:bookmarkEnd w:id="5"/>
      <w:r>
        <w:t>4.3.5 Retorno Anormal (CAPM-HAC) e Expansão da Fronteira (Spanning)</w:t>
      </w:r>
    </w:p>
    <w:p w:rsidR="00E94B2E" w:rsidRDefault="00D24AF1">
      <w:pPr>
        <w:pStyle w:val="FirstParagraph"/>
      </w:pPr>
      <w:r>
        <w:t>A Tabela 16 reporta os coefic</w:t>
      </w:r>
      <w:r>
        <w:t xml:space="preserve">ientes da regressão CAPM com erros-padrão robustos (HAC, Newey-West) — alfa anualizado, beta e a estatística </w:t>
      </w:r>
      <m:oMath>
        <m:r>
          <w:rPr>
            <w:rFonts w:ascii="Cambria Math" w:hAnsi="Cambria Math"/>
          </w:rPr>
          <m:t>t</m:t>
        </m:r>
      </m:oMath>
      <w:r>
        <w:t xml:space="preserve"> do alfa — e a estatística </w:t>
      </w:r>
      <m:oMath>
        <m:r>
          <w:rPr>
            <w:rFonts w:ascii="Cambria Math" w:hAnsi="Cambria Math"/>
          </w:rPr>
          <m:t>F</m:t>
        </m:r>
      </m:oMath>
      <w:r>
        <w:t xml:space="preserve"> do teste de </w:t>
      </w:r>
      <w:r>
        <w:rPr>
          <w:i/>
          <w:iCs/>
        </w:rPr>
        <w:t>spanning</w:t>
      </w:r>
      <w:r>
        <w:t xml:space="preserve"> de Huberman-Kandel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), tendo o IBOVESPA como fator de mercado.</w:t>
      </w:r>
    </w:p>
    <w:p w:rsidR="00E94B2E" w:rsidRDefault="00D24AF1">
      <w:pPr>
        <w:pStyle w:val="Corpodetexto"/>
      </w:pPr>
      <w:r>
        <w:rPr>
          <w:b/>
          <w:bCs/>
        </w:rPr>
        <w:t>Tabela 16 — Alfa</w:t>
      </w:r>
      <w:r>
        <w:rPr>
          <w:b/>
          <w:bCs/>
        </w:rPr>
        <w:t>, beta e teste de spanning (CAPM com erros HAC)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3"/>
        <w:gridCol w:w="1540"/>
        <w:gridCol w:w="843"/>
        <w:gridCol w:w="984"/>
        <w:gridCol w:w="957"/>
        <w:gridCol w:w="1433"/>
        <w:gridCol w:w="984"/>
      </w:tblGrid>
      <w:tr w:rsidR="00E94B2E" w:rsidTr="00E94B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Estratégia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Alfa (% a.a.)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Beta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t(alfa)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p(alfa)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Spanning F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p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12,66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0,703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1,451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0,147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44,3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BL_classico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10,53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0,663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1,636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0,102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83,8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BL_downside_c10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8,14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0,675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1,850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0,064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76,7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lastRenderedPageBreak/>
              <w:t>BL_classico_c10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6,66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0,646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1,568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0,117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111,6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MaxOmega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2,79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0,567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0,818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0,413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155,2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MaxKappa3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2,54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0,677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0,499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117,2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MaxSortino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2,32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0,569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0,653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135,5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2,68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0,567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0,774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0,439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147,9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MaxSharpe_c10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1,72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0,558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0,554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0,580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216,2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1,04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0,418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0,426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988,4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1,02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0,437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0,427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1013,3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MinVar_c10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1,01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0,445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0,425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0,671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941,1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MinCDaR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0,14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0,491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0,050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0,960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667,9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InvVol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1,77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0,749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0,700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0,484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29,0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  <w:tr w:rsidR="00E94B2E">
        <w:tc>
          <w:tcPr>
            <w:tcW w:w="0" w:type="auto"/>
          </w:tcPr>
          <w:p w:rsidR="00E94B2E" w:rsidRDefault="00D24AF1">
            <w:pPr>
              <w:pStyle w:val="Compact"/>
            </w:pPr>
            <w:r>
              <w:t>EqualWeight (1/N)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4,69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0,770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−</w:t>
            </w:r>
            <w:r>
              <w:t>1,678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0,093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right"/>
            </w:pPr>
            <w:r>
              <w:t>26,5</w:t>
            </w:r>
          </w:p>
        </w:tc>
        <w:tc>
          <w:tcPr>
            <w:tcW w:w="0" w:type="auto"/>
          </w:tcPr>
          <w:p w:rsidR="00E94B2E" w:rsidRDefault="00D24AF1">
            <w:pPr>
              <w:pStyle w:val="Compact"/>
              <w:jc w:val="center"/>
            </w:pPr>
            <w:r>
              <w:t>&lt;0,001</w:t>
            </w:r>
          </w:p>
        </w:tc>
      </w:tr>
    </w:tbl>
    <w:p w:rsidR="00E94B2E" w:rsidRDefault="00D24AF1">
      <w:pPr>
        <w:pStyle w:val="Corpodetexto"/>
      </w:pPr>
      <w:r>
        <w:t>Fonte: elaboração própria (Apêndice L).</w:t>
      </w:r>
    </w:p>
    <w:p w:rsidR="00E94B2E" w:rsidRDefault="00D24AF1">
      <w:pPr>
        <w:pStyle w:val="Corpodetexto"/>
      </w:pPr>
      <w:r>
        <w:t xml:space="preserve">Dois resultados centrais emergem. Quanto ao </w:t>
      </w:r>
      <w:r>
        <w:rPr>
          <w:b/>
          <w:bCs/>
        </w:rPr>
        <w:t>retorno anormal</w:t>
      </w:r>
      <w:r>
        <w:t>, nenhuma estratégia apresenta alfa estatisticamente significativo ao nível de 5%; o val</w:t>
      </w:r>
      <w:r>
        <w:t>or mais próximo é o de BL_downside_c10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a.a.,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064</m:t>
        </m:r>
      </m:oMath>
      <w:r>
        <w:t xml:space="preserve">), significativo apenas a 10%. As estratégias Black-Litterman concentram os maiores alfas pontuais (entre +6,7% e +12,7% a.a.), ao passo que as estratégias de mínima variância exibem alfas próximos de zero, porém </w:t>
      </w:r>
      <w:r>
        <w:rPr>
          <w:b/>
          <w:bCs/>
        </w:rPr>
        <w:t>betas substancialmente menores</w:t>
      </w:r>
      <w:r>
        <w:t xml:space="preserve"> (≈0,42–0,45 </w:t>
      </w:r>
      <w:r>
        <w:t xml:space="preserve">contra ≈0,66–0,70 do grupo BL). A leitura econômica é direta: a vantagem das estratégias de mínima variância </w:t>
      </w:r>
      <w:r>
        <w:rPr>
          <w:b/>
          <w:bCs/>
        </w:rPr>
        <w:t>não advém de geração de retorno anormal, mas de redução da exposição ao risco sistemático</w:t>
      </w:r>
      <w:r>
        <w:t xml:space="preserve"> — coerente com sua menor volatilidade e com a significânc</w:t>
      </w:r>
      <w:r>
        <w:t>ia encontrada nos testes de Sharpe.</w:t>
      </w:r>
    </w:p>
    <w:p w:rsidR="00E94B2E" w:rsidRDefault="00D24AF1">
      <w:pPr>
        <w:pStyle w:val="Corpodetexto"/>
      </w:pPr>
      <w:r>
        <w:t xml:space="preserve">Quanto à </w:t>
      </w:r>
      <w:r>
        <w:rPr>
          <w:b/>
          <w:bCs/>
        </w:rPr>
        <w:t>expansão da fronteira</w:t>
      </w:r>
      <w:r>
        <w:t xml:space="preserve">, o teste de </w:t>
      </w:r>
      <w:r>
        <w:rPr>
          <w:i/>
          <w:iCs/>
        </w:rPr>
        <w:t>spanning</w:t>
      </w:r>
      <w:r>
        <w:t xml:space="preserve"> rejeita a hipótese nula para </w:t>
      </w:r>
      <w:r>
        <w:rPr>
          <w:b/>
          <w:bCs/>
        </w:rPr>
        <w:t>todas as dezesseis séries</w:t>
      </w:r>
      <w:r>
        <w:t xml:space="preserve"> 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001</m:t>
        </m:r>
      </m:oMath>
      <w:r>
        <w:t>), indicando que cada estratégia oferece um perfil risco-retorno não replicável por uma combinação do at</w:t>
      </w:r>
      <w:r>
        <w:t xml:space="preserve">ivo livre de risco com o índice de mercado. As estatísticas mais elevadas, com larga margem, são as das estratégias de mínima variância e de mínimo CVaR (MinVar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1013</m:t>
        </m:r>
      </m:oMath>
      <w:r>
        <w:t xml:space="preserve">; MinCVaR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988</m:t>
        </m:r>
      </m:oMath>
      <w:r>
        <w:t>), o que reflete sua baixa correlação com o fator de mercado e reforça s</w:t>
      </w:r>
      <w:r>
        <w:t>eu papel diversificador.</w:t>
      </w:r>
    </w:p>
    <w:p w:rsidR="00E94B2E" w:rsidRDefault="00D24AF1">
      <w:pPr>
        <w:pStyle w:val="Ttulo2"/>
      </w:pPr>
      <w:bookmarkStart w:id="7" w:name="X109f48f9325a9c0ed66b26f12a540c65fa98325"/>
      <w:bookmarkEnd w:id="6"/>
      <w:r>
        <w:t>4.3.6 Síntese: a Revisão do “Paradoxo da Complexidade”</w:t>
      </w:r>
    </w:p>
    <w:p w:rsidR="00E94B2E" w:rsidRDefault="00D24AF1">
      <w:pPr>
        <w:pStyle w:val="FirstParagraph"/>
      </w:pPr>
      <w:r>
        <w:t>A conjugação dos resultados permite uma resposta calibrada à questão de pesquisa, que difere substantivamente da formulada em versões anteriores deste trabalho. Três conclusões</w:t>
      </w:r>
      <w:r>
        <w:t xml:space="preserve"> se sustentam sob escrutínio inferencial:</w:t>
      </w:r>
    </w:p>
    <w:p w:rsidR="00E94B2E" w:rsidRDefault="00D24AF1">
      <w:pPr>
        <w:pStyle w:val="Corpodetexto"/>
      </w:pPr>
      <w:r>
        <w:t xml:space="preserve">Primeiro, </w:t>
      </w:r>
      <w:r>
        <w:rPr>
          <w:b/>
          <w:bCs/>
        </w:rPr>
        <w:t>a superioridade das estratégias de otimização sobre o</w:t>
      </w:r>
      <w:r>
        <w:t xml:space="preserve"> </w:t>
      </w:r>
      <w:r>
        <w:rPr>
          <w:i/>
          <w:iCs/>
        </w:rPr>
        <w:t>benchmark</w:t>
      </w:r>
      <w:r>
        <w:t xml:space="preserve"> </w:t>
      </w:r>
      <w:r>
        <w:rPr>
          <w:b/>
          <w:bCs/>
        </w:rPr>
        <w:t>ingênuo existe, mas é estatisticamente comprovável apenas para o grupo de mínimo risco.</w:t>
      </w:r>
      <w:r>
        <w:t xml:space="preserve"> Mínima Variância, sua variante com teto regulatório </w:t>
      </w:r>
      <w:r>
        <w:t xml:space="preserve">e Mínimo CVaR </w:t>
      </w:r>
      <w:r>
        <w:lastRenderedPageBreak/>
        <w:t>são as únicas a rejeitar a igualdade de Sharpe com o 1/N após correção para múltiplas comparações. Essa vantagem é robusta porque deriva da dimensão mais estimável do problema — a estrutura de covariância — e não da previsão de retornos, noto</w:t>
      </w:r>
      <w:r>
        <w:t>riamente ruidosa, em linha com DeMiguel, Garlappi e Uppal (2009).</w:t>
      </w:r>
    </w:p>
    <w:p w:rsidR="00E94B2E" w:rsidRDefault="00D24AF1">
      <w:pPr>
        <w:pStyle w:val="Corpodetexto"/>
      </w:pPr>
      <w:r>
        <w:t xml:space="preserve">Segundo, </w:t>
      </w:r>
      <w:r>
        <w:rPr>
          <w:b/>
          <w:bCs/>
        </w:rPr>
        <w:t>o aparente “fracasso da complexidade” reportado anteriormente não se confirma e era, em larga medida, um artefato de implementação.</w:t>
      </w:r>
      <w:r>
        <w:t xml:space="preserve"> Corrigida a especificação do modelo Black-Litterm</w:t>
      </w:r>
      <w:r>
        <w:t xml:space="preserve">an, as estratégias Bayesianas passaram a liderar o retorno acumulado e o Índice de Sharpe pontual, com os maiores alfas da amostra. O que os testes revelam não é o fracasso dessas estratégias, mas a </w:t>
      </w:r>
      <w:r>
        <w:rPr>
          <w:b/>
          <w:bCs/>
        </w:rPr>
        <w:t xml:space="preserve">impossibilidade de distinguir estatisticamente seu ganho </w:t>
      </w:r>
      <w:r>
        <w:rPr>
          <w:b/>
          <w:bCs/>
        </w:rPr>
        <w:t>do ruído</w:t>
      </w:r>
      <w:r>
        <w:t>, dada a elevada volatilidade que as acompanha — uma afirmação epistemicamente distinta e mais defensável.</w:t>
      </w:r>
    </w:p>
    <w:p w:rsidR="00E94B2E" w:rsidRDefault="00D24AF1">
      <w:pPr>
        <w:pStyle w:val="Corpodetexto"/>
      </w:pPr>
      <w:r>
        <w:t xml:space="preserve">Terceiro, </w:t>
      </w:r>
      <w:r>
        <w:rPr>
          <w:b/>
          <w:bCs/>
        </w:rPr>
        <w:t>todas as estratégias expandem a fronteira de investimento</w:t>
      </w:r>
      <w:r>
        <w:t xml:space="preserve"> frente à exposição passiva ao IBOVESPA, ainda que </w:t>
      </w:r>
      <w:r>
        <w:rPr>
          <w:b/>
          <w:bCs/>
        </w:rPr>
        <w:t>nenhuma gere alfa signi</w:t>
      </w:r>
      <w:r>
        <w:rPr>
          <w:b/>
          <w:bCs/>
        </w:rPr>
        <w:t>ficativo</w:t>
      </w:r>
      <w:r>
        <w:t>: os ganhos de eficiência manifestam-se primordialmente pela gestão do risco — redução de volatilidade, de beta e de rebaixamento — e não pela geração de retorno anormal.</w:t>
      </w:r>
    </w:p>
    <w:p w:rsidR="00E94B2E" w:rsidRDefault="00D24AF1">
      <w:pPr>
        <w:pStyle w:val="Corpodetexto"/>
      </w:pPr>
      <w:r>
        <w:t xml:space="preserve">Por fim, registra-se uma ressalva relevante para a interpretação dos testes de diferença: o </w:t>
      </w:r>
      <w:r>
        <w:rPr>
          <w:i/>
          <w:iCs/>
        </w:rPr>
        <w:t>benchmark</w:t>
      </w:r>
      <w:r>
        <w:t xml:space="preserve"> 1/N com rebalanceamento mensal apresentou o pior desempenho da amostra, inferior à sua variante sem rebalanceamento. Esse comportamento sugere que o rebal</w:t>
      </w:r>
      <w:r>
        <w:t xml:space="preserve">anceamento mensal, sob a penalidade de custos de transação adotada, foi contraproducente para a carteira equiponderada no período analisado. Como esse </w:t>
      </w:r>
      <w:r>
        <w:rPr>
          <w:i/>
          <w:iCs/>
        </w:rPr>
        <w:t>benchmark</w:t>
      </w:r>
      <w:r>
        <w:t xml:space="preserve"> é a referência dos testes de Sharpe e Sortino, recomenda-se, em trabalhos futuros, reportar adi</w:t>
      </w:r>
      <w:r>
        <w:t xml:space="preserve">cionalmente a comparação contra a variante </w:t>
      </w:r>
      <w:r>
        <w:rPr>
          <w:i/>
          <w:iCs/>
        </w:rPr>
        <w:t>buy-and-hold</w:t>
      </w:r>
      <w:r>
        <w:t xml:space="preserve">, a fim de assegurar que a significância estatística reflita a qualidade dos otimizadores e não eventual fragilidade do </w:t>
      </w:r>
      <w:r>
        <w:rPr>
          <w:i/>
          <w:iCs/>
        </w:rPr>
        <w:t>benchmark</w:t>
      </w:r>
      <w:r>
        <w:t xml:space="preserve"> de referência.</w:t>
      </w:r>
      <w:bookmarkEnd w:id="0"/>
      <w:bookmarkEnd w:id="7"/>
    </w:p>
    <w:sectPr w:rsidR="00E94B2E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AF1" w:rsidRDefault="00D24AF1">
      <w:pPr>
        <w:spacing w:after="0"/>
      </w:pPr>
      <w:r>
        <w:separator/>
      </w:r>
    </w:p>
  </w:endnote>
  <w:endnote w:type="continuationSeparator" w:id="0">
    <w:p w:rsidR="00D24AF1" w:rsidRDefault="00D24A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AF1" w:rsidRDefault="00D24AF1">
      <w:r>
        <w:separator/>
      </w:r>
    </w:p>
  </w:footnote>
  <w:footnote w:type="continuationSeparator" w:id="0">
    <w:p w:rsidR="00D24AF1" w:rsidRDefault="00D24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39CA54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B2E"/>
    <w:rsid w:val="008A4D2F"/>
    <w:rsid w:val="00933F2B"/>
    <w:rsid w:val="00D24AF1"/>
    <w:rsid w:val="00E9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BCC97E-F8FC-4422-A48A-71EFF92E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2057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keywords/>
  <cp:lastModifiedBy>Conta da Microsoft</cp:lastModifiedBy>
  <cp:revision>2</cp:revision>
  <dcterms:created xsi:type="dcterms:W3CDTF">2026-06-03T17:46:00Z</dcterms:created>
  <dcterms:modified xsi:type="dcterms:W3CDTF">2026-06-03T17:46:00Z</dcterms:modified>
</cp:coreProperties>
</file>