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B8" w:rsidRPr="00321AEF" w:rsidRDefault="00FF3AB8" w:rsidP="00FF3AB8">
      <w:pPr>
        <w:jc w:val="center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TAREA PARA FOL 04</w:t>
      </w:r>
    </w:p>
    <w:p w:rsidR="00FF3AB8" w:rsidRPr="00321AEF" w:rsidRDefault="00FF3AB8" w:rsidP="00FF3AB8">
      <w:pPr>
        <w:rPr>
          <w:rFonts w:ascii="Century Gothic" w:hAnsi="Century Gothic"/>
          <w:b/>
          <w:sz w:val="24"/>
          <w:szCs w:val="24"/>
          <w:u w:val="single"/>
        </w:rPr>
      </w:pPr>
      <w:r w:rsidRPr="00321AEF">
        <w:rPr>
          <w:rFonts w:ascii="Century Gothic" w:hAnsi="Century Gothic"/>
          <w:b/>
          <w:sz w:val="24"/>
          <w:szCs w:val="24"/>
          <w:u w:val="single"/>
        </w:rPr>
        <w:t>ACTIVIDAD 1</w:t>
      </w:r>
    </w:p>
    <w:p w:rsidR="00FF3AB8" w:rsidRPr="00321AEF" w:rsidRDefault="00FF3AB8" w:rsidP="009632E7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Busque en internet, Asociación de Técnicos de Informática –ATI</w:t>
      </w:r>
    </w:p>
    <w:p w:rsidR="00FF3AB8" w:rsidRPr="00321AEF" w:rsidRDefault="00FF3AB8" w:rsidP="009632E7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1- ¿Qué es?</w:t>
      </w:r>
    </w:p>
    <w:p w:rsidR="00FF3AB8" w:rsidRPr="00321AEF" w:rsidRDefault="0049456F" w:rsidP="009632E7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Es una asociación sin ánimo de lucro abierta a todos los que, en cualquier nivel profesional y sector productivo, desarrollan su actividad como profesionales en el ámbito de las Tecnologías de la Información y de la Comunicación (TIC)</w:t>
      </w:r>
    </w:p>
    <w:p w:rsidR="00FF3AB8" w:rsidRPr="00321AEF" w:rsidRDefault="00FF3AB8" w:rsidP="003E2EFA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2- ¿Cuáles son sus objetivos básicos?</w:t>
      </w:r>
    </w:p>
    <w:p w:rsidR="00FF3AB8" w:rsidRPr="00321AEF" w:rsidRDefault="0049456F" w:rsidP="003E2EFA">
      <w:p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- La defensa, promoción y desarrollo de la actividad de quienes ejercen como técnicos y profesionales en el campo de las tecnologías de información, facilitando a sus socios el intercambio de experiencias.</w:t>
      </w:r>
    </w:p>
    <w:p w:rsidR="0049456F" w:rsidRPr="00321AEF" w:rsidRDefault="004D184C" w:rsidP="003E2EFA">
      <w:p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- La formación y la información sobre las citadas tecnologías de la información.</w:t>
      </w:r>
    </w:p>
    <w:p w:rsidR="004D184C" w:rsidRPr="00321AEF" w:rsidRDefault="004D184C" w:rsidP="00AE4EB2">
      <w:pPr>
        <w:spacing w:after="24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- La promoción, y el desarrollo de las (TIC), estudiando su impacto en la Sociedad y los ciudadanos, y potenciando las relaciones con su entorno social y económico, colaborando con otras entidades profesionales informáticas, implantadas tanto en nuestro país como fuera de él.</w:t>
      </w:r>
    </w:p>
    <w:p w:rsidR="00FF3AB8" w:rsidRPr="00321AEF" w:rsidRDefault="00FF3AB8" w:rsidP="00AE4EB2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 </w:t>
      </w:r>
      <w:r w:rsidRPr="00321AEF">
        <w:rPr>
          <w:rFonts w:ascii="Century Gothic" w:hAnsi="Century Gothic"/>
          <w:b/>
          <w:sz w:val="24"/>
          <w:szCs w:val="24"/>
          <w:u w:val="single"/>
        </w:rPr>
        <w:t>ACTIVIDAD 2</w:t>
      </w:r>
    </w:p>
    <w:p w:rsidR="00FF3AB8" w:rsidRPr="00321AEF" w:rsidRDefault="00FF3AB8" w:rsidP="00AE4EB2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Elabore un índice: detallado, artículos y su concepto, del “XVI Convenio colectivo estatal de empresas de consultoría y estudios de mercado y de la opinión pública.2009”</w:t>
      </w:r>
    </w:p>
    <w:p w:rsidR="00AA1EE2" w:rsidRPr="00321AEF" w:rsidRDefault="00AA1EE2" w:rsidP="00AE4EB2">
      <w:pPr>
        <w:pStyle w:val="Prrafodelista"/>
        <w:numPr>
          <w:ilvl w:val="0"/>
          <w:numId w:val="1"/>
        </w:num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1. Ámbito funcional</w:t>
      </w:r>
    </w:p>
    <w:p w:rsidR="00011184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2. Ámbito territorial.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3. Ámbito personal.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4. Ámbito temporal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5. Denuncia y revisión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6. Vinculación a la totalidad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7. Compensación. Absorción.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8. Respeto de las mejoras adquiridas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9. Comité de vigilancia, interpretación y solución de conflictos colectivos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10. Período de prueba de ingreso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11. Promoción profesional de los trabajadores. Ascensos.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12. Nuevas contrataciones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13. Organización del trabajo.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14. Bolsa de estudios</w:t>
      </w:r>
    </w:p>
    <w:p w:rsidR="00AA1EE2" w:rsidRPr="00321AEF" w:rsidRDefault="00AA1EE2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15. Clasificación profesional.</w:t>
      </w:r>
    </w:p>
    <w:p w:rsidR="00AA1EE2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16. Contratos en el sector de Empresas de investigación de mercados y de la opinión pública.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17. Contratos de duración determinada por circunstancias de la producción.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lastRenderedPageBreak/>
        <w:t>Artículo 18. Trabajos de categoría superior</w:t>
      </w:r>
    </w:p>
    <w:p w:rsidR="00AA1EE2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19. Trabajos de categoría inferior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20. Jornada laboral.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21. Vacaciones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22. Permisos retribuidos.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23. Permisos sin sueldo.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24. Faltas y sanciones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25. Complemento de Antigüedad.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26. Prestaciones por enfermedad y accidente de trabajo.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27. Tablas salariales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28. Distribución del salario anual y pagas extraordinarias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29. Horas extraordinarias.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30. Dietas y desplazamientos.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31. Plus de Convenio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32. Dimisión del trabajador.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33. Excedencias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34. Derechos de reunión y de libre sindicación.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35. Derechos y obligaciones de los sindicatos de trabajadores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36. Comités de empresa o de centro de trabajo.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37. Garantías de los representantes de los trabajadores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38. Prácticas anti-sindicales.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39. Trabajos en pantallas. Prevención de Riesgos</w:t>
      </w:r>
    </w:p>
    <w:p w:rsidR="007A7E45" w:rsidRPr="00321AEF" w:rsidRDefault="007A7E45" w:rsidP="007A7E45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40. Armonización de la vida laboral y familiar. Planes de Igualdad:</w:t>
      </w:r>
    </w:p>
    <w:p w:rsidR="007A7E45" w:rsidRPr="00321AEF" w:rsidRDefault="007A7E45" w:rsidP="009632E7">
      <w:pPr>
        <w:pStyle w:val="Prrafodelista"/>
        <w:numPr>
          <w:ilvl w:val="0"/>
          <w:numId w:val="1"/>
        </w:numPr>
        <w:spacing w:after="24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Artículo 41. Derecho supletorio y prelación de normas</w:t>
      </w:r>
    </w:p>
    <w:p w:rsidR="00FF3AB8" w:rsidRPr="00321AEF" w:rsidRDefault="00FF3AB8" w:rsidP="009632E7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  <w:r w:rsidRPr="00321AEF">
        <w:rPr>
          <w:rFonts w:ascii="Century Gothic" w:hAnsi="Century Gothic"/>
          <w:sz w:val="24"/>
          <w:szCs w:val="24"/>
        </w:rPr>
        <w:t> </w:t>
      </w:r>
      <w:r w:rsidRPr="00321AEF">
        <w:rPr>
          <w:rFonts w:ascii="Century Gothic" w:hAnsi="Century Gothic"/>
          <w:b/>
          <w:sz w:val="24"/>
          <w:szCs w:val="24"/>
          <w:u w:val="single"/>
        </w:rPr>
        <w:t>ACTIVIDAD 3</w:t>
      </w:r>
    </w:p>
    <w:p w:rsidR="00FF3AB8" w:rsidRDefault="00FF3AB8" w:rsidP="009632E7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Después de leer el documento adjunto, comente su opinión desde el punto de vista para el trabajador. ( min 4 – máx. 6 líneas)</w:t>
      </w:r>
    </w:p>
    <w:p w:rsidR="009F6F8B" w:rsidRPr="009F6F8B" w:rsidRDefault="00C0406B" w:rsidP="00C0406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disminución del teletrabajo, </w:t>
      </w:r>
      <w:r w:rsidR="006F3FE6">
        <w:rPr>
          <w:rFonts w:ascii="Century Gothic" w:hAnsi="Century Gothic"/>
          <w:sz w:val="24"/>
          <w:szCs w:val="24"/>
        </w:rPr>
        <w:t>me parece una pésima noticia, ya que</w:t>
      </w:r>
      <w:r>
        <w:rPr>
          <w:rFonts w:ascii="Century Gothic" w:hAnsi="Century Gothic"/>
          <w:sz w:val="24"/>
          <w:szCs w:val="24"/>
        </w:rPr>
        <w:t xml:space="preserve">, </w:t>
      </w:r>
      <w:r w:rsidR="006F3FE6">
        <w:rPr>
          <w:rFonts w:ascii="Century Gothic" w:hAnsi="Century Gothic"/>
          <w:sz w:val="24"/>
          <w:szCs w:val="24"/>
        </w:rPr>
        <w:t xml:space="preserve">para mí, </w:t>
      </w:r>
      <w:r w:rsidR="009F6F8B">
        <w:rPr>
          <w:rFonts w:ascii="Century Gothic" w:hAnsi="Century Gothic"/>
          <w:sz w:val="24"/>
          <w:szCs w:val="24"/>
        </w:rPr>
        <w:t>es una opción benefici</w:t>
      </w:r>
      <w:r w:rsidR="006F3FE6">
        <w:rPr>
          <w:rFonts w:ascii="Century Gothic" w:hAnsi="Century Gothic"/>
          <w:sz w:val="24"/>
          <w:szCs w:val="24"/>
        </w:rPr>
        <w:t xml:space="preserve">osa para el trabajador. Creo que teniendo en cuenta las ventajas que conlleva, </w:t>
      </w:r>
      <w:r>
        <w:rPr>
          <w:rFonts w:ascii="Century Gothic" w:hAnsi="Century Gothic"/>
          <w:sz w:val="24"/>
          <w:szCs w:val="24"/>
        </w:rPr>
        <w:t>como la</w:t>
      </w:r>
      <w:r w:rsidR="009F6F8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facilida</w:t>
      </w:r>
      <w:r w:rsidR="006F3FE6">
        <w:rPr>
          <w:rFonts w:ascii="Century Gothic" w:hAnsi="Century Gothic"/>
          <w:sz w:val="24"/>
          <w:szCs w:val="24"/>
        </w:rPr>
        <w:t xml:space="preserve">d para la </w:t>
      </w:r>
      <w:r w:rsidR="009F6F8B">
        <w:rPr>
          <w:rFonts w:ascii="Century Gothic" w:hAnsi="Century Gothic"/>
          <w:sz w:val="24"/>
          <w:szCs w:val="24"/>
        </w:rPr>
        <w:t>conciliación de vida familiar y laboral</w:t>
      </w:r>
      <w:r>
        <w:rPr>
          <w:rFonts w:ascii="Century Gothic" w:hAnsi="Century Gothic"/>
          <w:sz w:val="24"/>
          <w:szCs w:val="24"/>
        </w:rPr>
        <w:t xml:space="preserve">, y el ahorro </w:t>
      </w:r>
      <w:r w:rsidR="006F3FE6">
        <w:rPr>
          <w:rFonts w:ascii="Century Gothic" w:hAnsi="Century Gothic"/>
          <w:sz w:val="24"/>
          <w:szCs w:val="24"/>
        </w:rPr>
        <w:t xml:space="preserve">de </w:t>
      </w:r>
      <w:r>
        <w:rPr>
          <w:rFonts w:ascii="Century Gothic" w:hAnsi="Century Gothic"/>
          <w:sz w:val="24"/>
          <w:szCs w:val="24"/>
        </w:rPr>
        <w:t>tiempo y dinero en desplazamientos al lugar de trabajo superan a los inconvenientes</w:t>
      </w:r>
      <w:r w:rsidR="006F3FE6">
        <w:rPr>
          <w:rFonts w:ascii="Century Gothic" w:hAnsi="Century Gothic"/>
          <w:sz w:val="24"/>
          <w:szCs w:val="24"/>
        </w:rPr>
        <w:t xml:space="preserve"> que puede acarrear</w:t>
      </w:r>
      <w:r w:rsidR="00EC21B2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como la autodisciplina, el dedicar un lugar para el trabajo dentro de casa y la dificultad para desconectar.</w:t>
      </w:r>
    </w:p>
    <w:p w:rsidR="00456289" w:rsidRDefault="00456289" w:rsidP="00321AEF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</w:p>
    <w:p w:rsidR="00456289" w:rsidRDefault="00456289" w:rsidP="00321AEF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</w:p>
    <w:p w:rsidR="00456289" w:rsidRDefault="00456289" w:rsidP="00321AEF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</w:p>
    <w:p w:rsidR="00456289" w:rsidRDefault="00456289" w:rsidP="00321AEF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</w:p>
    <w:p w:rsidR="009632E7" w:rsidRDefault="009632E7" w:rsidP="00321AEF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</w:p>
    <w:p w:rsidR="00456289" w:rsidRDefault="00456289" w:rsidP="00321AEF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</w:p>
    <w:p w:rsidR="00FF3AB8" w:rsidRPr="00321AEF" w:rsidRDefault="00FF3AB8" w:rsidP="00321AEF">
      <w:pPr>
        <w:spacing w:after="120"/>
        <w:rPr>
          <w:rFonts w:ascii="Century Gothic" w:hAnsi="Century Gothic"/>
          <w:b/>
          <w:sz w:val="24"/>
          <w:szCs w:val="24"/>
          <w:u w:val="single"/>
        </w:rPr>
      </w:pPr>
      <w:r w:rsidRPr="00321AEF">
        <w:rPr>
          <w:rFonts w:ascii="Century Gothic" w:hAnsi="Century Gothic"/>
          <w:b/>
          <w:sz w:val="24"/>
          <w:szCs w:val="24"/>
          <w:u w:val="single"/>
        </w:rPr>
        <w:lastRenderedPageBreak/>
        <w:t>ACTIVIDAD 4</w:t>
      </w:r>
    </w:p>
    <w:p w:rsidR="00FF3AB8" w:rsidRPr="00321AEF" w:rsidRDefault="00FF3AB8" w:rsidP="00321AEF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1- ¿Cuál es la documentación a presentar para el registro y publicación del convenio?  </w:t>
      </w:r>
    </w:p>
    <w:p w:rsidR="00600456" w:rsidRPr="00321AEF" w:rsidRDefault="00FF3AB8" w:rsidP="00321AEF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 </w:t>
      </w:r>
      <w:r w:rsidR="00600456" w:rsidRPr="00321AEF">
        <w:rPr>
          <w:rFonts w:ascii="Century Gothic" w:hAnsi="Century Gothic"/>
          <w:sz w:val="24"/>
          <w:szCs w:val="24"/>
        </w:rPr>
        <w:t xml:space="preserve">- </w:t>
      </w:r>
      <w:r w:rsidR="00600456" w:rsidRPr="00321AEF">
        <w:rPr>
          <w:rFonts w:ascii="Century Gothic" w:hAnsi="Century Gothic"/>
          <w:sz w:val="24"/>
          <w:szCs w:val="24"/>
          <w:u w:val="single"/>
        </w:rPr>
        <w:t>Texto original del convenio, acuerdo o comunicación firmado por los componentes de la comisión negociadora o de la parte que formula la solicitud</w:t>
      </w:r>
      <w:r w:rsidR="00600456" w:rsidRPr="00321AEF">
        <w:rPr>
          <w:rFonts w:ascii="Century Gothic" w:hAnsi="Century Gothic"/>
          <w:sz w:val="24"/>
          <w:szCs w:val="24"/>
        </w:rPr>
        <w:t>. (Se tiene que escanear y adjuntar a través de la aplicación telemática).</w:t>
      </w:r>
    </w:p>
    <w:p w:rsidR="00600456" w:rsidRPr="00321AEF" w:rsidRDefault="00600456" w:rsidP="00600456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- Para la inscripción de los acuerdos a que se refiere el artículo 2.1.a), b) y e) del Real decreto 713/2010 se deberán presentar </w:t>
      </w:r>
      <w:r w:rsidRPr="00321AEF">
        <w:rPr>
          <w:rFonts w:ascii="Century Gothic" w:hAnsi="Century Gothic"/>
          <w:sz w:val="24"/>
          <w:szCs w:val="24"/>
          <w:u w:val="single"/>
        </w:rPr>
        <w:t>las actas de las diferentes sesiones llevadas a cabo</w:t>
      </w:r>
      <w:r w:rsidRPr="00321AEF">
        <w:rPr>
          <w:rFonts w:ascii="Century Gothic" w:hAnsi="Century Gothic"/>
          <w:sz w:val="24"/>
          <w:szCs w:val="24"/>
        </w:rPr>
        <w:t>, que incluirán las referentes a la constitución de la comisión negociadora y de firma del convenio, con la expresión de las partes que lo suscriban. (Se tienen que escanear y adjuntar a través de la aplicación telemática).</w:t>
      </w:r>
    </w:p>
    <w:p w:rsidR="00FF3AB8" w:rsidRPr="00321AEF" w:rsidRDefault="00600456" w:rsidP="00321AEF">
      <w:pPr>
        <w:spacing w:after="24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- </w:t>
      </w:r>
      <w:r w:rsidRPr="00321AEF">
        <w:rPr>
          <w:rFonts w:ascii="Century Gothic" w:hAnsi="Century Gothic"/>
          <w:sz w:val="24"/>
          <w:szCs w:val="24"/>
          <w:u w:val="single"/>
        </w:rPr>
        <w:t>Texto del convenio en soporte informático con el formato adaptado para las publicaciones al BOIB, en catalán y castellano</w:t>
      </w:r>
      <w:r w:rsidRPr="00321AEF">
        <w:rPr>
          <w:rFonts w:ascii="Century Gothic" w:hAnsi="Century Gothic"/>
          <w:sz w:val="24"/>
          <w:szCs w:val="24"/>
        </w:rPr>
        <w:t>.</w:t>
      </w:r>
    </w:p>
    <w:p w:rsidR="00FF3AB8" w:rsidRPr="00321AEF" w:rsidRDefault="00FF3AB8" w:rsidP="00321AEF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2- ¿Cuál es el órgano competente?</w:t>
      </w:r>
    </w:p>
    <w:p w:rsidR="007A7E45" w:rsidRPr="00321AEF" w:rsidRDefault="00FF3AB8" w:rsidP="00321AEF">
      <w:pPr>
        <w:spacing w:after="24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> </w:t>
      </w:r>
      <w:r w:rsidR="00600456" w:rsidRPr="00321AEF">
        <w:rPr>
          <w:rFonts w:ascii="Century Gothic" w:hAnsi="Century Gothic"/>
          <w:sz w:val="24"/>
          <w:szCs w:val="24"/>
        </w:rPr>
        <w:t xml:space="preserve"> La </w:t>
      </w:r>
      <w:r w:rsidR="007A7E45" w:rsidRPr="00321AEF">
        <w:rPr>
          <w:rFonts w:ascii="Century Gothic" w:hAnsi="Century Gothic"/>
          <w:sz w:val="24"/>
          <w:szCs w:val="24"/>
        </w:rPr>
        <w:t>Dirección General de Trabajo, Economía Social y Salud Laboral</w:t>
      </w:r>
    </w:p>
    <w:p w:rsidR="00FF3AB8" w:rsidRPr="00321AEF" w:rsidRDefault="00FF3AB8" w:rsidP="001856B5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3- ¿Dónde para caso de ámbito Balear?</w:t>
      </w:r>
    </w:p>
    <w:p w:rsidR="007877DF" w:rsidRPr="00321AEF" w:rsidRDefault="00600456" w:rsidP="001856B5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En cualquiera de las oficinas </w:t>
      </w:r>
      <w:r w:rsidRPr="00321AEF">
        <w:rPr>
          <w:rFonts w:ascii="Century Gothic" w:hAnsi="Century Gothic"/>
          <w:sz w:val="24"/>
          <w:szCs w:val="24"/>
          <w:u w:val="single"/>
        </w:rPr>
        <w:t>de registro de la Administración autonómica</w:t>
      </w:r>
      <w:r w:rsidRPr="00321AEF">
        <w:rPr>
          <w:rFonts w:ascii="Century Gothic" w:hAnsi="Century Gothic"/>
          <w:sz w:val="24"/>
          <w:szCs w:val="24"/>
        </w:rPr>
        <w:t>.</w:t>
      </w:r>
    </w:p>
    <w:p w:rsidR="00600456" w:rsidRPr="00321AEF" w:rsidRDefault="00600456" w:rsidP="00321AEF">
      <w:pPr>
        <w:spacing w:after="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También se pueden presentar en los </w:t>
      </w:r>
      <w:r w:rsidRPr="00321AEF">
        <w:rPr>
          <w:rFonts w:ascii="Century Gothic" w:hAnsi="Century Gothic"/>
          <w:sz w:val="24"/>
          <w:szCs w:val="24"/>
          <w:u w:val="single"/>
        </w:rPr>
        <w:t>registros oficiales de los consejos insulares y de los municipios adheridos al Convenio Marco de Oficinas Integradas</w:t>
      </w:r>
      <w:r w:rsidR="007877DF" w:rsidRPr="00321AEF">
        <w:rPr>
          <w:rFonts w:ascii="Century Gothic" w:hAnsi="Century Gothic"/>
          <w:sz w:val="24"/>
          <w:szCs w:val="24"/>
        </w:rPr>
        <w:t xml:space="preserve">, cuyas direcciones se pueden encontrar en: </w:t>
      </w:r>
      <w:r w:rsidR="007877DF" w:rsidRPr="00321AEF">
        <w:rPr>
          <w:rFonts w:ascii="Century Gothic" w:hAnsi="Century Gothic" w:cs="Arial"/>
          <w:color w:val="000000"/>
          <w:sz w:val="24"/>
          <w:szCs w:val="24"/>
          <w:shd w:val="clear" w:color="auto" w:fill="F7F7F7"/>
        </w:rPr>
        <w:t>[</w:t>
      </w:r>
      <w:hyperlink r:id="rId5" w:history="1">
        <w:r w:rsidR="007877DF" w:rsidRPr="00321AEF">
          <w:rPr>
            <w:rStyle w:val="Hipervnculo"/>
            <w:rFonts w:ascii="Century Gothic" w:hAnsi="Century Gothic"/>
            <w:sz w:val="24"/>
            <w:szCs w:val="24"/>
          </w:rPr>
          <w:t>http://www.caib.es/sacmicrofront/contenido.do?idsite=567&amp;cont=18436&amp;lang=es</w:t>
        </w:r>
      </w:hyperlink>
      <w:r w:rsidR="007877DF" w:rsidRPr="00321AEF">
        <w:rPr>
          <w:rFonts w:ascii="Century Gothic" w:hAnsi="Century Gothic"/>
          <w:sz w:val="24"/>
          <w:szCs w:val="24"/>
        </w:rPr>
        <w:t>]</w:t>
      </w:r>
    </w:p>
    <w:p w:rsidR="007877DF" w:rsidRPr="00321AEF" w:rsidRDefault="007877DF" w:rsidP="001856B5">
      <w:pPr>
        <w:spacing w:after="24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Además, se puede enviar la documentación </w:t>
      </w:r>
      <w:r w:rsidRPr="00321AEF">
        <w:rPr>
          <w:rFonts w:ascii="Century Gothic" w:hAnsi="Century Gothic"/>
          <w:sz w:val="24"/>
          <w:szCs w:val="24"/>
          <w:u w:val="single"/>
        </w:rPr>
        <w:t>por correo postal</w:t>
      </w:r>
      <w:r w:rsidRPr="00321AEF">
        <w:rPr>
          <w:rFonts w:ascii="Century Gothic" w:hAnsi="Century Gothic"/>
          <w:sz w:val="24"/>
          <w:szCs w:val="24"/>
        </w:rPr>
        <w:t>, por ello tenéis que presentar el sobre abierto, para que se pueda indicar en el sello oficial el sitio de registro, la fecha y la hora exacta de presentación, y se anote así en el resguardo justificativo de su presentación.</w:t>
      </w:r>
    </w:p>
    <w:p w:rsidR="00FF3AB8" w:rsidRPr="00321AEF" w:rsidRDefault="00FF3AB8" w:rsidP="001856B5">
      <w:pPr>
        <w:spacing w:after="120"/>
        <w:rPr>
          <w:rFonts w:ascii="Century Gothic" w:hAnsi="Century Gothic"/>
          <w:b/>
          <w:sz w:val="24"/>
          <w:szCs w:val="24"/>
        </w:rPr>
      </w:pPr>
      <w:r w:rsidRPr="00321AEF">
        <w:rPr>
          <w:rFonts w:ascii="Century Gothic" w:hAnsi="Century Gothic"/>
          <w:b/>
          <w:sz w:val="24"/>
          <w:szCs w:val="24"/>
        </w:rPr>
        <w:t>4-   Enumerar las Finalidades Registro E. de la CCAA de las Islas Baleares.</w:t>
      </w:r>
    </w:p>
    <w:p w:rsidR="007877DF" w:rsidRPr="00321AEF" w:rsidRDefault="007877DF" w:rsidP="001856B5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- </w:t>
      </w:r>
      <w:r w:rsidRPr="00321AEF">
        <w:rPr>
          <w:rFonts w:ascii="Century Gothic" w:hAnsi="Century Gothic"/>
          <w:sz w:val="24"/>
          <w:szCs w:val="24"/>
          <w:u w:val="single"/>
        </w:rPr>
        <w:t>Permitir el acceso electrónico de los ciudadanos y empresas a los servicios públicos que prestan la Administración de la Comunidad Autónoma y los entes públicos</w:t>
      </w:r>
      <w:r w:rsidRPr="00321AEF">
        <w:rPr>
          <w:rFonts w:ascii="Century Gothic" w:hAnsi="Century Gothic"/>
          <w:sz w:val="24"/>
          <w:szCs w:val="24"/>
        </w:rPr>
        <w:t xml:space="preserve"> incluidos en el ámbito de aplicación del Decreto 113/2010, mediante la realización de trámites administrativos electrónicos, consistentes en la presentación de solicitudes, escritos y comunicaciones por vía electrónica.</w:t>
      </w:r>
    </w:p>
    <w:p w:rsidR="007877DF" w:rsidRPr="00321AEF" w:rsidRDefault="007877DF" w:rsidP="001856B5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- </w:t>
      </w:r>
      <w:r w:rsidRPr="00321AEF">
        <w:rPr>
          <w:rFonts w:ascii="Century Gothic" w:hAnsi="Century Gothic"/>
          <w:sz w:val="24"/>
          <w:szCs w:val="24"/>
          <w:u w:val="single"/>
        </w:rPr>
        <w:t>Realizar, con todos sus efectos, notificaciones electrónicas por parte de los órganos de la Administración de la Comunidad Autónoma y de los entes públi</w:t>
      </w:r>
      <w:r w:rsidRPr="00321AEF">
        <w:rPr>
          <w:rFonts w:ascii="Century Gothic" w:hAnsi="Century Gothic"/>
          <w:sz w:val="24"/>
          <w:szCs w:val="24"/>
        </w:rPr>
        <w:t>cos incluidos en el ámbito de aplicación del Decreto 113/2010 dirigidas a las personas interesadas y, en general, a los ciudadanos, empresas y entidades.</w:t>
      </w:r>
    </w:p>
    <w:p w:rsidR="007877DF" w:rsidRPr="00321AEF" w:rsidRDefault="007877DF" w:rsidP="001856B5">
      <w:pPr>
        <w:spacing w:after="120"/>
        <w:rPr>
          <w:rFonts w:ascii="Century Gothic" w:hAnsi="Century Gothic"/>
          <w:sz w:val="24"/>
          <w:szCs w:val="24"/>
        </w:rPr>
      </w:pPr>
      <w:r w:rsidRPr="00321AEF">
        <w:rPr>
          <w:rFonts w:ascii="Century Gothic" w:hAnsi="Century Gothic"/>
          <w:sz w:val="24"/>
          <w:szCs w:val="24"/>
        </w:rPr>
        <w:t xml:space="preserve">- </w:t>
      </w:r>
      <w:r w:rsidRPr="00321AEF">
        <w:rPr>
          <w:rFonts w:ascii="Century Gothic" w:hAnsi="Century Gothic"/>
          <w:sz w:val="24"/>
          <w:szCs w:val="24"/>
          <w:u w:val="single"/>
        </w:rPr>
        <w:t xml:space="preserve">Permitir las comunicaciones electrónicas interadministrativas e </w:t>
      </w:r>
      <w:proofErr w:type="spellStart"/>
      <w:r w:rsidRPr="00321AEF">
        <w:rPr>
          <w:rFonts w:ascii="Century Gothic" w:hAnsi="Century Gothic"/>
          <w:sz w:val="24"/>
          <w:szCs w:val="24"/>
          <w:u w:val="single"/>
        </w:rPr>
        <w:t>interorgánicas</w:t>
      </w:r>
      <w:proofErr w:type="spellEnd"/>
      <w:r w:rsidRPr="00321AEF">
        <w:rPr>
          <w:rFonts w:ascii="Century Gothic" w:hAnsi="Century Gothic"/>
          <w:sz w:val="24"/>
          <w:szCs w:val="24"/>
          <w:u w:val="single"/>
        </w:rPr>
        <w:t>.</w:t>
      </w:r>
    </w:p>
    <w:p w:rsidR="00FF0A4E" w:rsidRPr="00321AEF" w:rsidRDefault="00FF0A4E" w:rsidP="00FF3AB8">
      <w:pPr>
        <w:rPr>
          <w:rFonts w:ascii="Century Gothic" w:hAnsi="Century Gothic"/>
          <w:sz w:val="24"/>
          <w:szCs w:val="24"/>
        </w:rPr>
      </w:pPr>
    </w:p>
    <w:sectPr w:rsidR="00FF0A4E" w:rsidRPr="00321AEF" w:rsidSect="006F3FE6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5016"/>
    <w:multiLevelType w:val="hybridMultilevel"/>
    <w:tmpl w:val="2A4A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300C5"/>
    <w:multiLevelType w:val="multilevel"/>
    <w:tmpl w:val="5BC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3AB8"/>
    <w:rsid w:val="00011184"/>
    <w:rsid w:val="00050263"/>
    <w:rsid w:val="00154A29"/>
    <w:rsid w:val="001856B5"/>
    <w:rsid w:val="001F3769"/>
    <w:rsid w:val="00321AEF"/>
    <w:rsid w:val="003E2EFA"/>
    <w:rsid w:val="00456289"/>
    <w:rsid w:val="0049456F"/>
    <w:rsid w:val="004D184C"/>
    <w:rsid w:val="00600456"/>
    <w:rsid w:val="00614670"/>
    <w:rsid w:val="006311DE"/>
    <w:rsid w:val="006F3FE6"/>
    <w:rsid w:val="007877DF"/>
    <w:rsid w:val="007A7E45"/>
    <w:rsid w:val="009632E7"/>
    <w:rsid w:val="009F6F8B"/>
    <w:rsid w:val="00AA1EE2"/>
    <w:rsid w:val="00AE4EB2"/>
    <w:rsid w:val="00C0406B"/>
    <w:rsid w:val="00EC21B2"/>
    <w:rsid w:val="00FF0A4E"/>
    <w:rsid w:val="00FF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paragraph" w:styleId="Ttulo2">
    <w:name w:val="heading 2"/>
    <w:basedOn w:val="Normal"/>
    <w:link w:val="Ttulo2Car"/>
    <w:uiPriority w:val="9"/>
    <w:qFormat/>
    <w:rsid w:val="00FF3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3AB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F3AB8"/>
  </w:style>
  <w:style w:type="character" w:styleId="Textoennegrita">
    <w:name w:val="Strong"/>
    <w:basedOn w:val="Fuentedeprrafopredeter"/>
    <w:uiPriority w:val="22"/>
    <w:qFormat/>
    <w:rsid w:val="00FF3AB8"/>
    <w:rPr>
      <w:b/>
      <w:bCs/>
    </w:rPr>
  </w:style>
  <w:style w:type="paragraph" w:styleId="Prrafodelista">
    <w:name w:val="List Paragraph"/>
    <w:basedOn w:val="Normal"/>
    <w:uiPriority w:val="34"/>
    <w:qFormat/>
    <w:rsid w:val="007A7E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7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979">
              <w:marLeft w:val="0"/>
              <w:marRight w:val="0"/>
              <w:marTop w:val="90"/>
              <w:marBottom w:val="0"/>
              <w:divBdr>
                <w:top w:val="single" w:sz="4" w:space="8" w:color="DADADA"/>
                <w:left w:val="single" w:sz="4" w:space="13" w:color="DADADA"/>
                <w:bottom w:val="single" w:sz="4" w:space="8" w:color="DADADA"/>
                <w:right w:val="single" w:sz="4" w:space="13" w:color="DADAD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ib.es/sacmicrofront/contenido.do?idsite=567&amp;cont=18436&amp;lang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5</cp:revision>
  <dcterms:created xsi:type="dcterms:W3CDTF">2016-12-11T21:20:00Z</dcterms:created>
  <dcterms:modified xsi:type="dcterms:W3CDTF">2016-12-11T21:24:00Z</dcterms:modified>
</cp:coreProperties>
</file>