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B7A"/>
          <w:sz w:val="36"/>
        </w:rPr>
        <w:t>BACKLOG DE FUNCIONALIDADES</w:t>
      </w:r>
    </w:p>
    <w:p>
      <w:pPr>
        <w:jc w:val="center"/>
      </w:pPr>
      <w:r>
        <w:rPr>
          <w:b/>
          <w:color w:val="333333"/>
          <w:sz w:val="26"/>
        </w:rPr>
        <w:t>Plataforma GeoPlasticoBR — Próximas Implementações</w:t>
      </w:r>
    </w:p>
    <w:p>
      <w:pPr>
        <w:jc w:val="center"/>
      </w:pPr>
      <w:r>
        <w:rPr>
          <w:i/>
          <w:color w:val="888888"/>
          <w:sz w:val="20"/>
        </w:rPr>
        <w:t>Baseado em call de alinhamento realizada em 27/02/2026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0F4F6"/>
          </w:tcPr>
          <w:p>
            <w:r>
              <w:rPr>
                <w:b/>
                <w:sz w:val="20"/>
              </w:rPr>
              <w:t>Data da call</w:t>
            </w:r>
          </w:p>
        </w:tc>
        <w:tc>
          <w:tcPr>
            <w:tcW w:type="dxa" w:w="4561"/>
            <w:shd w:val="clear" w:color="auto" w:fill="E0F4F6"/>
          </w:tcPr>
          <w:p>
            <w:r>
              <w:rPr>
                <w:sz w:val="20"/>
              </w:rPr>
              <w:t>27 de fevereiro de 2026</w:t>
            </w:r>
          </w:p>
        </w:tc>
      </w:tr>
      <w:tr>
        <w:tc>
          <w:tcPr>
            <w:tcW w:type="dxa" w:w="4561"/>
            <w:shd w:val="clear" w:color="auto" w:fill="F5FCFD"/>
          </w:tcPr>
          <w:p>
            <w:r>
              <w:rPr>
                <w:b/>
                <w:sz w:val="20"/>
              </w:rPr>
              <w:t>Projeto</w:t>
            </w:r>
          </w:p>
        </w:tc>
        <w:tc>
          <w:tcPr>
            <w:tcW w:type="dxa" w:w="4561"/>
            <w:shd w:val="clear" w:color="auto" w:fill="F5FCFD"/>
          </w:tcPr>
          <w:p>
            <w:r>
              <w:rPr>
                <w:sz w:val="20"/>
              </w:rPr>
              <w:t>GeoPlasticoBR</w:t>
            </w:r>
          </w:p>
        </w:tc>
      </w:tr>
      <w:tr>
        <w:tc>
          <w:tcPr>
            <w:tcW w:type="dxa" w:w="4561"/>
            <w:shd w:val="clear" w:color="auto" w:fill="E0F4F6"/>
          </w:tcPr>
          <w:p>
            <w:r>
              <w:rPr>
                <w:b/>
                <w:sz w:val="20"/>
              </w:rPr>
              <w:t>Total de itens levantados</w:t>
            </w:r>
          </w:p>
        </w:tc>
        <w:tc>
          <w:tcPr>
            <w:tcW w:type="dxa" w:w="4561"/>
            <w:shd w:val="clear" w:color="auto" w:fill="E0F4F6"/>
          </w:tcPr>
          <w:p>
            <w:r>
              <w:rPr>
                <w:sz w:val="20"/>
              </w:rPr>
              <w:t>22 funcionalidades em 6 categorias</w:t>
            </w:r>
          </w:p>
        </w:tc>
      </w:tr>
    </w:tbl>
    <w:p/>
    <w:p>
      <w:pPr>
        <w:spacing w:before="200" w:after="80"/>
      </w:pPr>
      <w:r>
        <w:rPr>
          <w:b/>
          <w:color w:val="008899"/>
          <w:sz w:val="24"/>
        </w:rPr>
        <w:t>Legenda de Prioridade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F8D7DA"/>
          </w:tcPr>
          <w:p>
            <w:r>
              <w:rPr>
                <w:b/>
                <w:color w:val="721C24"/>
                <w:sz w:val="18"/>
              </w:rPr>
              <w:t>Crítica — bloqueante ou fundação técnica</w:t>
            </w:r>
          </w:p>
        </w:tc>
        <w:tc>
          <w:tcPr>
            <w:tcW w:type="dxa" w:w="2280"/>
            <w:shd w:val="clear" w:color="auto" w:fill="FFF3CD"/>
          </w:tcPr>
          <w:p>
            <w:r>
              <w:rPr>
                <w:b/>
                <w:color w:val="855900"/>
                <w:sz w:val="18"/>
              </w:rPr>
              <w:t>Alta — impacto direto na usabilidade</w:t>
            </w:r>
          </w:p>
        </w:tc>
        <w:tc>
          <w:tcPr>
            <w:tcW w:type="dxa" w:w="2280"/>
            <w:shd w:val="clear" w:color="auto" w:fill="D1ECF1"/>
          </w:tcPr>
          <w:p>
            <w:r>
              <w:rPr>
                <w:b/>
                <w:color w:val="0C5C6E"/>
                <w:sz w:val="18"/>
              </w:rPr>
              <w:t>Média — melhoria relevante de experiência</w:t>
            </w:r>
          </w:p>
        </w:tc>
        <w:tc>
          <w:tcPr>
            <w:tcW w:type="dxa" w:w="2280"/>
            <w:shd w:val="clear" w:color="auto" w:fill="D4EDDA"/>
          </w:tcPr>
          <w:p>
            <w:r>
              <w:rPr>
                <w:b/>
                <w:color w:val="155524"/>
                <w:sz w:val="18"/>
              </w:rPr>
              <w:t>Baixa — conteúdo e extras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color w:val="855900"/>
                <w:sz w:val="20"/>
              </w:rPr>
              <w:t xml:space="preserve">Diretriz Arquitetural — Plataforma 100% Configurável pelo Admin: </w:t>
            </w:r>
            <w:r>
              <w:rPr>
                <w:color w:val="333333"/>
                <w:sz w:val="20"/>
              </w:rPr>
              <w:t>Toda informação exibida no site deve ser gerenciável pelo administrador via painel, sem necessidade de alterar código-fonte. Isso inclui textos institucionais, membros da equipe, tipos de dados aceitos, thresholds de criticidade, unidades de medida, links, referências científicas e qualquer conteúdo dinâmico. A plataforma deve funcionar como um CMS (Content Management System) especializado para dados científicos ambientais.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1. Painel Admin — Configurações Gerais (CMS)</w:t>
      </w:r>
    </w:p>
    <w:p>
      <w:pPr>
        <w:spacing w:after="80"/>
      </w:pPr>
      <w:r>
        <w:rPr>
          <w:sz w:val="22"/>
        </w:rPr>
        <w:t xml:space="preserve">Módulo central de configuração que permite ao admin gerenciar todo o conteúdo do site sem tocar no código. </w:t>
      </w:r>
      <w:r>
        <w:rPr>
          <w:b/>
          <w:sz w:val="22"/>
        </w:rPr>
        <w:t>Base obrigatória para as demais categorias funcionarem de forma escalável.</w:t>
      </w:r>
      <w:r>
        <w:rPr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4535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O que o admin pode fazer</w:t>
            </w:r>
          </w:p>
        </w:tc>
        <w:tc>
          <w:tcPr>
            <w:tcW w:type="dxa" w:w="141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Gerenciamento de textos e conteúdo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Editar textos da homepage, seção "Sobre", FAQ, chamadas para ação (CTAs), rodapé e qualquer bloco de texto público do site.</w:t>
            </w:r>
          </w:p>
        </w:tc>
        <w:tc>
          <w:tcPr>
            <w:tcW w:type="dxa" w:w="1417"/>
            <w:shd w:val="clear" w:color="auto" w:fill="F5FCFD"/>
            <w:shd w:val="clear" w:color="auto" w:fill="F8D7DA"/>
          </w:tcPr>
          <w:p>
            <w:r>
              <w:rPr>
                <w:b/>
                <w:color w:val="721C24"/>
                <w:sz w:val="19"/>
              </w:rPr>
              <w:t>Crítica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Gerenciamento de tipos de dados (listas)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Adicionar, editar e remover tipos de ambiente, ecossistemas, tipos de matriz e unidades de medida aceitas nos formulários de contribuição. Elimina a necessidade de alterar código para aceitar novos tipos.</w:t>
            </w:r>
          </w:p>
        </w:tc>
        <w:tc>
          <w:tcPr>
            <w:tcW w:type="dxa" w:w="1417"/>
            <w:shd w:val="clear" w:color="auto" w:fill="FFFFFF"/>
            <w:shd w:val="clear" w:color="auto" w:fill="F8D7DA"/>
          </w:tcPr>
          <w:p>
            <w:r>
              <w:rPr>
                <w:b/>
                <w:color w:val="721C24"/>
                <w:sz w:val="19"/>
              </w:rPr>
              <w:t>Crítica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Configuração de limiares de criticidade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Definir as faixas de concentração que determinam se um valor é "baixo / médio / alto / crítico", por tipo de matriz e unidade. Exibido no mapa com código de cores correspondente.</w:t>
            </w:r>
          </w:p>
        </w:tc>
        <w:tc>
          <w:tcPr>
            <w:tcW w:type="dxa" w:w="1417"/>
            <w:shd w:val="clear" w:color="auto" w:fill="F5FCFD"/>
            <w:shd w:val="clear" w:color="auto" w:fill="F8D7DA"/>
          </w:tcPr>
          <w:p>
            <w:r>
              <w:rPr>
                <w:b/>
                <w:color w:val="721C24"/>
                <w:sz w:val="19"/>
              </w:rPr>
              <w:t>Crítica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Gerenciamento de unidades de medida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Cadastrar unidades aceitas (mg/kg, itens/m², etc.) com conversões opcionais. Resolve a ausência de padrão universal de medida citada na call.</w:t>
            </w:r>
          </w:p>
        </w:tc>
        <w:tc>
          <w:tcPr>
            <w:tcW w:type="dxa" w:w="1417"/>
            <w:shd w:val="clear" w:color="auto" w:fill="FFFFFF"/>
            <w:shd w:val="clear" w:color="auto" w:fill="F8D7DA"/>
          </w:tcPr>
          <w:p>
            <w:r>
              <w:rPr>
                <w:b/>
                <w:color w:val="721C24"/>
                <w:sz w:val="19"/>
              </w:rPr>
              <w:t>Crítica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Configurações institucionais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Editar nome da plataforma, logo, links de redes sociais, e-mail de contato, versão (beta/estável) e rodapé institucional.</w:t>
            </w:r>
          </w:p>
        </w:tc>
        <w:tc>
          <w:tcPr>
            <w:tcW w:type="dxa" w:w="1417"/>
            <w:shd w:val="clear" w:color="auto" w:fill="F5FCFD"/>
            <w:shd w:val="clear" w:color="auto" w:fill="FFF3CD"/>
          </w:tcPr>
          <w:p>
            <w:r>
              <w:rPr>
                <w:b/>
                <w:color w:val="855900"/>
                <w:sz w:val="19"/>
              </w:rPr>
              <w:t>Alta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2. Mapa e Visualização de Dados</w:t>
      </w:r>
    </w:p>
    <w:p>
      <w:pPr>
        <w:spacing w:after="80"/>
      </w:pPr>
      <w:r>
        <w:rPr>
          <w:sz w:val="22"/>
        </w:rPr>
        <w:t>Melhorias no módulo central — mapa interativo e apresentação visual dos 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4535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41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Colunas 3D escaláveis no mapa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Visualização em colunas/cilindros com altura proporcional à concentração sobre o mapa. Admin configura escala e paleta de cores via painel.</w:t>
            </w:r>
          </w:p>
        </w:tc>
        <w:tc>
          <w:tcPr>
            <w:tcW w:type="dxa" w:w="1417"/>
            <w:shd w:val="clear" w:color="auto" w:fill="F5FCFD"/>
            <w:shd w:val="clear" w:color="auto" w:fill="FFF3CD"/>
          </w:tcPr>
          <w:p>
            <w:r>
              <w:rPr>
                <w:b/>
                <w:color w:val="855900"/>
                <w:sz w:val="19"/>
              </w:rPr>
              <w:t>Alta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Gráfico de rosca (donut chart)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Painel lateral com gráfico de distribuição por ambiente, ecossistema ou matriz. Atualiza dinamicamente com os filtros. Títulos e rótulos configuráveis pelo admin.</w:t>
            </w:r>
          </w:p>
        </w:tc>
        <w:tc>
          <w:tcPr>
            <w:tcW w:type="dxa" w:w="1417"/>
            <w:shd w:val="clear" w:color="auto" w:fill="FFFFFF"/>
            <w:shd w:val="clear" w:color="auto" w:fill="FFF3CD"/>
          </w:tcPr>
          <w:p>
            <w:r>
              <w:rPr>
                <w:b/>
                <w:color w:val="855900"/>
                <w:sz w:val="19"/>
              </w:rPr>
              <w:t>Alta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Filtro por tipo de matriz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Barra lateral com filtro de matriz. As opções do filtro vêm do banco de dados — admin adiciona novos tipos pelo painel sem alterar código.</w:t>
            </w:r>
          </w:p>
        </w:tc>
        <w:tc>
          <w:tcPr>
            <w:tcW w:type="dxa" w:w="1417"/>
            <w:shd w:val="clear" w:color="auto" w:fill="F5FCFD"/>
            <w:shd w:val="clear" w:color="auto" w:fill="FFF3CD"/>
          </w:tcPr>
          <w:p>
            <w:r>
              <w:rPr>
                <w:b/>
                <w:color w:val="855900"/>
                <w:sz w:val="19"/>
              </w:rPr>
              <w:t>Alta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Responsividade completa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Mapa, sidebar de filtros, popups e painéis funcionando em tablets e celulares. Layout adaptativo sem perda de funcionalidade.</w:t>
            </w:r>
          </w:p>
        </w:tc>
        <w:tc>
          <w:tcPr>
            <w:tcW w:type="dxa" w:w="1417"/>
            <w:shd w:val="clear" w:color="auto" w:fill="FFFFFF"/>
            <w:shd w:val="clear" w:color="auto" w:fill="FFF3CD"/>
          </w:tcPr>
          <w:p>
            <w:r>
              <w:rPr>
                <w:b/>
                <w:color w:val="855900"/>
                <w:sz w:val="19"/>
              </w:rPr>
              <w:t>Alta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3. Participação e Comunidade</w:t>
      </w:r>
    </w:p>
    <w:p>
      <w:pPr>
        <w:spacing w:after="80"/>
      </w:pPr>
      <w:r>
        <w:rPr>
          <w:sz w:val="22"/>
        </w:rPr>
        <w:t>Recursos para engajar pesquisadores e visitantes. Admin gerencia todo o conteúdo dessas seções.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4535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41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Espaço de sugestões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Formulário para usuários enviarem sugestões. Admin visualiza e responde via painel. Campos do formulário configuráveis.</w:t>
            </w:r>
          </w:p>
        </w:tc>
        <w:tc>
          <w:tcPr>
            <w:tcW w:type="dxa" w:w="1417"/>
            <w:shd w:val="clear" w:color="auto" w:fill="F5FCFD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Página de contato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Seção de contato com formulário. Admin configura e-mail de destino, campos visíveis e mensagem de confirmação pelo painel.</w:t>
            </w:r>
          </w:p>
        </w:tc>
        <w:tc>
          <w:tcPr>
            <w:tcW w:type="dxa" w:w="1417"/>
            <w:shd w:val="clear" w:color="auto" w:fill="FFFFFF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Fórum da plataforma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Área de discussão entre pesquisadores. Admin modera tópicos, define categorias e configura regras de participação pelo painel.</w:t>
            </w:r>
          </w:p>
        </w:tc>
        <w:tc>
          <w:tcPr>
            <w:tcW w:type="dxa" w:w="1417"/>
            <w:shd w:val="clear" w:color="auto" w:fill="F5FCFD"/>
            <w:shd w:val="clear" w:color="auto" w:fill="D4EDDA"/>
          </w:tcPr>
          <w:p>
            <w:r>
              <w:rPr>
                <w:b/>
                <w:color w:val="155524"/>
                <w:sz w:val="19"/>
              </w:rPr>
              <w:t>Baixa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Seção da equipe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Página com perfis dos colaboradores, professores e orientadores. Admin adiciona, edita e reordena membros via painel: foto, nome, instituição, ORCID, Lattes.</w:t>
            </w:r>
          </w:p>
        </w:tc>
        <w:tc>
          <w:tcPr>
            <w:tcW w:type="dxa" w:w="1417"/>
            <w:shd w:val="clear" w:color="auto" w:fill="FFFFFF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4. Métricas e Engajamento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4535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41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Contador de visitantes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Número de visitas únicas exibido na homepage. Admin escolhe se exibe e qual label usar ("pesquisadores alcançados", "visitas", etc.).</w:t>
            </w:r>
          </w:p>
        </w:tc>
        <w:tc>
          <w:tcPr>
            <w:tcW w:type="dxa" w:w="1417"/>
            <w:shd w:val="clear" w:color="auto" w:fill="F5FCFD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Colaboradores ativos em tempo real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Indicador de usuários online contribuindo com dados. Admin habilita/desabilita e configura o texto do indicador pelo painel.</w:t>
            </w:r>
          </w:p>
        </w:tc>
        <w:tc>
          <w:tcPr>
            <w:tcW w:type="dxa" w:w="1417"/>
            <w:shd w:val="clear" w:color="auto" w:fill="FFFFFF"/>
            <w:shd w:val="clear" w:color="auto" w:fill="D4EDDA"/>
          </w:tcPr>
          <w:p>
            <w:r>
              <w:rPr>
                <w:b/>
                <w:color w:val="155524"/>
                <w:sz w:val="19"/>
              </w:rPr>
              <w:t>Baixa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5. Suporte ao Usuário e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4535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41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Tutorial em vídeo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Admin insere/substitui o link do tutorial (YouTube embed) pelo painel sem tocar no HTML. Pode alternar entre múltiplos tutoriais por módulo.</w:t>
            </w:r>
          </w:p>
        </w:tc>
        <w:tc>
          <w:tcPr>
            <w:tcW w:type="dxa" w:w="1417"/>
            <w:shd w:val="clear" w:color="auto" w:fill="F5FCFD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Guia de inserção de dados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Wizard ou tooltips no formulário de contribuição. Admin edita os textos de ajuda de cada campo pelo painel — sem código.</w:t>
            </w:r>
          </w:p>
        </w:tc>
        <w:tc>
          <w:tcPr>
            <w:tcW w:type="dxa" w:w="1417"/>
            <w:shd w:val="clear" w:color="auto" w:fill="FFFFFF"/>
            <w:shd w:val="clear" w:color="auto" w:fill="FFF3CD"/>
          </w:tcPr>
          <w:p>
            <w:r>
              <w:rPr>
                <w:b/>
                <w:color w:val="855900"/>
                <w:sz w:val="19"/>
              </w:rPr>
              <w:t>Alta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Badge de versão (Beta/Estável)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Admin alterna o status da plataforma (Beta, Alpha, Estável, Em manutenção) pelo painel. Exibido automaticamente no header.</w:t>
            </w:r>
          </w:p>
        </w:tc>
        <w:tc>
          <w:tcPr>
            <w:tcW w:type="dxa" w:w="1417"/>
            <w:shd w:val="clear" w:color="auto" w:fill="F5FCFD"/>
            <w:shd w:val="clear" w:color="auto" w:fill="D4EDDA"/>
          </w:tcPr>
          <w:p>
            <w:r>
              <w:rPr>
                <w:b/>
                <w:color w:val="155524"/>
                <w:sz w:val="19"/>
              </w:rPr>
              <w:t>Baixa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6. Documentação e Referência Científica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4535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417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Documentação técnica pública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Página de documentação. Admin gerencia seções, textos e exemplos de API pelo painel, sem precisar editar HTML.</w:t>
            </w:r>
          </w:p>
        </w:tc>
        <w:tc>
          <w:tcPr>
            <w:tcW w:type="dxa" w:w="1417"/>
            <w:shd w:val="clear" w:color="auto" w:fill="F5FCFD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Referência ao artigo científico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Admin insere/edita a citação formal do artigo vinculado via painel. Exibida automaticamente no rodapé e na página "Sobre".</w:t>
            </w:r>
          </w:p>
        </w:tc>
        <w:tc>
          <w:tcPr>
            <w:tcW w:type="dxa" w:w="1417"/>
            <w:shd w:val="clear" w:color="auto" w:fill="FFFFFF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  <w:tr>
        <w:tc>
          <w:tcPr>
            <w:tcW w:type="dxa" w:w="567"/>
            <w:shd w:val="clear" w:color="auto" w:fill="F5FCFD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2268"/>
            <w:shd w:val="clear" w:color="auto" w:fill="F5FCFD"/>
          </w:tcPr>
          <w:p>
            <w:r>
              <w:rPr>
                <w:sz w:val="19"/>
              </w:rPr>
              <w:t>Botão "Como citar esta plataforma"</w:t>
            </w:r>
          </w:p>
        </w:tc>
        <w:tc>
          <w:tcPr>
            <w:tcW w:type="dxa" w:w="4535"/>
            <w:shd w:val="clear" w:color="auto" w:fill="F5FCFD"/>
          </w:tcPr>
          <w:p>
            <w:r>
              <w:rPr>
                <w:sz w:val="19"/>
              </w:rPr>
              <w:t>Gera automaticamente a referência nos formatos ABNT, APA e Vancouver. Admin configura os metadados da citação (título, autores, DOI, ano) pelo painel.</w:t>
            </w:r>
          </w:p>
        </w:tc>
        <w:tc>
          <w:tcPr>
            <w:tcW w:type="dxa" w:w="1417"/>
            <w:shd w:val="clear" w:color="auto" w:fill="F5FCFD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Info contextual (tooltips)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Ícones de informação em campos e seções com textos explicativos. Admin edita qualquer tooltip pelo painel — sem código.</w:t>
            </w:r>
          </w:p>
        </w:tc>
        <w:tc>
          <w:tcPr>
            <w:tcW w:type="dxa" w:w="1417"/>
            <w:shd w:val="clear" w:color="auto" w:fill="FFFFFF"/>
            <w:shd w:val="clear" w:color="auto" w:fill="D1ECF1"/>
          </w:tcPr>
          <w:p>
            <w:r>
              <w:rPr>
                <w:b/>
                <w:color w:val="0C5C6E"/>
                <w:sz w:val="19"/>
              </w:rPr>
              <w:t>Média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Resumo Executivo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835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850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Itens</w:t>
            </w:r>
          </w:p>
        </w:tc>
        <w:tc>
          <w:tcPr>
            <w:tcW w:type="dxa" w:w="1134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Crítica</w:t>
            </w:r>
          </w:p>
        </w:tc>
        <w:tc>
          <w:tcPr>
            <w:tcW w:type="dxa" w:w="1020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Alta</w:t>
            </w:r>
          </w:p>
        </w:tc>
        <w:tc>
          <w:tcPr>
            <w:tcW w:type="dxa" w:w="1134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Média</w:t>
            </w:r>
          </w:p>
        </w:tc>
        <w:tc>
          <w:tcPr>
            <w:tcW w:type="dxa" w:w="1134"/>
            <w:shd w:val="clear" w:color="auto" w:fill="007080"/>
          </w:tcPr>
          <w:p>
            <w:r>
              <w:rPr>
                <w:b/>
                <w:color w:val="FFFFFF"/>
                <w:sz w:val="19"/>
              </w:rPr>
              <w:t>Baixa</w:t>
            </w:r>
          </w:p>
        </w:tc>
      </w:tr>
      <w:tr>
        <w:tc>
          <w:tcPr>
            <w:tcW w:type="dxa" w:w="2835"/>
            <w:shd w:val="clear" w:color="auto" w:fill="F5FCFD"/>
          </w:tcPr>
          <w:p>
            <w:r>
              <w:rPr>
                <w:sz w:val="19"/>
              </w:rPr>
              <w:t>Admin / CMS</w:t>
            </w:r>
          </w:p>
        </w:tc>
        <w:tc>
          <w:tcPr>
            <w:tcW w:type="dxa" w:w="850"/>
            <w:shd w:val="clear" w:color="auto" w:fill="F5FCFD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020"/>
            <w:shd w:val="clear" w:color="auto" w:fill="F5FC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Mapa e Visualização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835"/>
            <w:shd w:val="clear" w:color="auto" w:fill="F5FCFD"/>
          </w:tcPr>
          <w:p>
            <w:r>
              <w:rPr>
                <w:sz w:val="19"/>
              </w:rPr>
              <w:t>Participação e Comunidade</w:t>
            </w:r>
          </w:p>
        </w:tc>
        <w:tc>
          <w:tcPr>
            <w:tcW w:type="dxa" w:w="850"/>
            <w:shd w:val="clear" w:color="auto" w:fill="F5FCFD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20"/>
            <w:shd w:val="clear" w:color="auto" w:fill="F5FC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Métricas e Engajamento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835"/>
            <w:shd w:val="clear" w:color="auto" w:fill="F5FCFD"/>
          </w:tcPr>
          <w:p>
            <w:r>
              <w:rPr>
                <w:sz w:val="19"/>
              </w:rPr>
              <w:t>Suporte e Onboarding</w:t>
            </w:r>
          </w:p>
        </w:tc>
        <w:tc>
          <w:tcPr>
            <w:tcW w:type="dxa" w:w="850"/>
            <w:shd w:val="clear" w:color="auto" w:fill="F5FCFD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20"/>
            <w:shd w:val="clear" w:color="auto" w:fill="F5FC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Documentação e Referência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835"/>
            <w:shd w:val="clear" w:color="auto" w:fill="F5FCFD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850"/>
            <w:shd w:val="clear" w:color="auto" w:fill="F5FCFD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020"/>
            <w:shd w:val="clear" w:color="auto" w:fill="F5FCFD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134"/>
            <w:shd w:val="clear" w:color="auto" w:fill="F5FCFD"/>
          </w:tcPr>
          <w:p>
            <w:r>
              <w:rPr>
                <w:sz w:val="19"/>
              </w:rPr>
              <w:t>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AF6FB"/>
          </w:tcPr>
          <w:p>
            <w:pPr>
              <w:spacing w:before="80" w:after="80"/>
            </w:pPr>
            <w:r>
              <w:rPr>
                <w:b/>
                <w:color w:val="006B7A"/>
                <w:sz w:val="20"/>
              </w:rPr>
              <w:t xml:space="preserve">Ordem de implementação recomendada: </w:t>
            </w:r>
            <w:r>
              <w:rPr>
                <w:color w:val="333333"/>
                <w:sz w:val="20"/>
              </w:rPr>
              <w:t>1º) Admin/CMS (itens 1–5) — base arquitetural que habilita todos os demais. 2º) Mapa e Visualização (itens 6–9) — funcionalidade central da plataforma. 3º) Suporte e Onboarding (itens 16–18) — qualidade dos dados inseridos. 4º) Participação e Referência — engajamento e credibilidade científica. 5º) Métricas e Fórum — após plataforma estabilizada.</w:t>
            </w:r>
          </w:p>
        </w:tc>
      </w:tr>
    </w:tbl>
    <w:p/>
    <w:p/>
    <w:p>
      <w:pPr>
        <w:jc w:val="center"/>
      </w:pPr>
      <w:r>
        <w:rPr>
          <w:i/>
          <w:color w:val="888888"/>
          <w:sz w:val="18"/>
        </w:rPr>
        <w:t>GeoPlasticoBR  |  Akira Kaizen Desenvolvimento Web  |  Call: 27/02/2026  |  Atualizado em: 12/03/2026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