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A73E4" w14:textId="5CB09C50" w:rsidR="00FD027A" w:rsidRDefault="00287DD9" w:rsidP="00351121">
      <w:pPr>
        <w:pStyle w:val="Heading1"/>
        <w:pageBreakBefore/>
        <w:rPr>
          <w:lang w:val="nl-NL"/>
        </w:rPr>
      </w:pPr>
      <w:proofErr w:type="spellStart"/>
      <w:r>
        <w:rPr>
          <w:lang w:val="nl-NL"/>
        </w:rPr>
        <w:t>References</w:t>
      </w:r>
      <w:proofErr w:type="spellEnd"/>
    </w:p>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Alahi, M. E. E., Sukkuea, A., Tina, F. W., Nag, A., Kurdthongmee, W., Suwannarat, K., &amp; Mukhopadhyay, S. C. (2023). Integration of IoT-Enabled Technologies and Artificial intelligence (AI) for Smart City Scenario: recent advancements and future trends. </w:t>
      </w:r>
      <w:r>
        <w:rPr>
          <w:b w:val="false"/>
          <w:bCs w:val="false"/>
          <w:i w:val="true"/>
          <w:iCs w:val="true"/>
        </w:rPr>
        <w:t xml:space="preserve">Sensors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23</w:t>
      </w:r>
      <w:r>
        <w:rPr>
          <w:b w:val="false"/>
          <w:bCs w:val="false"/>
          <w:i w:val="false"/>
          <w:iCs w:val="false"/>
        </w:rPr>
        <w:t xml:space="preserve">(11), 5206. </w:t>
      </w:r>
      <w:r>
        <w:rPr>
          <w:b w:val="false"/>
          <w:bCs w:val="false"/>
          <w:i w:val="false"/>
          <w:iCs w:val="false"/>
        </w:rPr>
        <w:t xml:space="preserve">https://doi.org/10.3390/s23115206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Albino, V., Berardi, U., &amp; Dangelico, R. M. (2015). Smart Cities: Definitions, dimensions, performance, and initiatives. </w:t>
      </w:r>
      <w:r>
        <w:rPr>
          <w:b w:val="false"/>
          <w:bCs w:val="false"/>
          <w:i w:val="true"/>
          <w:iCs w:val="true"/>
        </w:rPr>
        <w:t xml:space="preserve">Journal of Urban Technology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22</w:t>
      </w:r>
      <w:r>
        <w:rPr>
          <w:b w:val="false"/>
          <w:bCs w:val="false"/>
          <w:i w:val="false"/>
          <w:iCs w:val="false"/>
        </w:rPr>
        <w:t xml:space="preserve">(1), 3–21. </w:t>
      </w:r>
      <w:r>
        <w:rPr>
          <w:b w:val="false"/>
          <w:bCs w:val="false"/>
          <w:i w:val="false"/>
          <w:iCs w:val="false"/>
        </w:rPr>
        <w:t xml:space="preserve">https://doi.org/10.1080/10630732.2014.942092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Artime, O., Grassia, M., De Domenico, M., Gleeson, J. P., Makse, H. A., Mangioni, G., Perc, M., &amp; Radicchi, F. (2024). Robustness and resilience of complex networks. </w:t>
      </w:r>
      <w:r>
        <w:rPr>
          <w:b w:val="false"/>
          <w:bCs w:val="false"/>
          <w:i w:val="true"/>
          <w:iCs w:val="true"/>
        </w:rPr>
        <w:t xml:space="preserve">Nature Reviews Physics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6</w:t>
      </w:r>
      <w:r>
        <w:rPr>
          <w:b w:val="false"/>
          <w:bCs w:val="false"/>
          <w:i w:val="false"/>
          <w:iCs w:val="false"/>
        </w:rPr>
        <w:t xml:space="preserve">(2), 114–131. </w:t>
      </w:r>
      <w:r>
        <w:rPr>
          <w:b w:val="false"/>
          <w:bCs w:val="false"/>
          <w:i w:val="false"/>
          <w:iCs w:val="false"/>
        </w:rPr>
        <w:t xml:space="preserve">https://doi.org/10.1038/s42254-023-00676-y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Azevedo, J. A., &amp; Mendonça, F. (2024). A critical review of the propagation models employed in LORA systems. </w:t>
      </w:r>
      <w:r>
        <w:rPr>
          <w:b w:val="false"/>
          <w:bCs w:val="false"/>
          <w:i w:val="true"/>
          <w:iCs w:val="true"/>
        </w:rPr>
        <w:t xml:space="preserve">Sensors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24</w:t>
      </w:r>
      <w:r>
        <w:rPr>
          <w:b w:val="false"/>
          <w:bCs w:val="false"/>
          <w:i w:val="false"/>
          <w:iCs w:val="false"/>
        </w:rPr>
        <w:t xml:space="preserve">(12), 3877. </w:t>
      </w:r>
      <w:r>
        <w:rPr>
          <w:b w:val="false"/>
          <w:bCs w:val="false"/>
          <w:i w:val="false"/>
          <w:iCs w:val="false"/>
        </w:rPr>
        <w:t xml:space="preserve">https://doi.org/10.3390/s24123877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Barkis, W., Batalla, T., Chan, B., Jenson, L., Paramel, R., Pugh, B., Walton, J., Welaratna, R., Orange Silicon Valley, City of San Leandro CA, Strategy of Things, Adaptable Security, Smart Connections Consulting, County of San Mateo CA, Evo, Inc., Palo Alto Networks, &amp; CommScope (Ruckus). (2019). </w:t>
      </w:r>
      <w:r>
        <w:rPr>
          <w:b w:val="false"/>
          <w:bCs w:val="false"/>
          <w:i w:val="true"/>
          <w:iCs w:val="true"/>
        </w:rPr>
        <w:t xml:space="preserve">The Municipal IoT Blueprint</w:t>
      </w:r>
      <w:r>
        <w:rPr>
          <w:b w:val="false"/>
          <w:bCs w:val="false"/>
          <w:i w:val="false"/>
          <w:iCs w:val="false"/>
        </w:rPr>
        <w:t xml:space="preserve"> (T. Batalla, D. Witkowski, City of San Leandro, CA, &amp; Joint Venture Silicon Valley, Eds.). </w:t>
      </w:r>
      <w:r>
        <w:rPr>
          <w:b w:val="false"/>
          <w:bCs w:val="false"/>
          <w:i w:val="false"/>
          <w:iCs w:val="false"/>
        </w:rPr>
        <w:t xml:space="preserve">https://pages.nist.gov/GCTC/uploads/blueprints/2019-Municipal-IoT-Blueprint-GCTC-WSC-FINAL-Jul-2019.pdf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Bibri, S. E., &amp; Krogstie, J. (2017). Smart sustainable cities of the future: An extensive interdisciplinary literature review. </w:t>
      </w:r>
      <w:r>
        <w:rPr>
          <w:b w:val="false"/>
          <w:bCs w:val="false"/>
          <w:i w:val="true"/>
          <w:iCs w:val="true"/>
        </w:rPr>
        <w:t xml:space="preserve">Sustainable Cities and Society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31</w:t>
      </w:r>
      <w:r>
        <w:rPr>
          <w:b w:val="false"/>
          <w:bCs w:val="false"/>
          <w:i w:val="false"/>
          <w:iCs w:val="false"/>
        </w:rPr>
        <w:t xml:space="preserve">, 183–212. </w:t>
      </w:r>
      <w:r>
        <w:rPr>
          <w:b w:val="false"/>
          <w:bCs w:val="false"/>
          <w:i w:val="false"/>
          <w:iCs w:val="false"/>
        </w:rPr>
        <w:t xml:space="preserve">https://doi.org/10.1016/j.scs.2017.02.016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Carnell, J., Lawson, J. D., Von Lany, P. H., &amp; Scarrott, R. M. J. (1999). Water supply and demand balances: Converting uncertainty into headroom. </w:t>
      </w:r>
      <w:r>
        <w:rPr>
          <w:b w:val="false"/>
          <w:bCs w:val="false"/>
          <w:i w:val="true"/>
          <w:iCs w:val="true"/>
        </w:rPr>
        <w:t xml:space="preserve">Water and Environment Journal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13</w:t>
      </w:r>
      <w:r>
        <w:rPr>
          <w:b w:val="false"/>
          <w:bCs w:val="false"/>
          <w:i w:val="false"/>
          <w:iCs w:val="false"/>
        </w:rPr>
        <w:t xml:space="preserve">(6), 413–419. </w:t>
      </w:r>
      <w:r>
        <w:rPr>
          <w:b w:val="false"/>
          <w:bCs w:val="false"/>
          <w:i w:val="false"/>
          <w:iCs w:val="false"/>
        </w:rPr>
        <w:t xml:space="preserve">https://doi.org/10.1111/j.1747-6593.1999.tb01078.x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Caulkins, J. P., Morrison, E. L., &amp; Weidemann, T. (2007). Spreadsheet errors and decision making. </w:t>
      </w:r>
      <w:r>
        <w:rPr>
          <w:b w:val="false"/>
          <w:bCs w:val="false"/>
          <w:i w:val="true"/>
          <w:iCs w:val="true"/>
        </w:rPr>
        <w:t xml:space="preserve">Journal of Organizational and End User Computing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19</w:t>
      </w:r>
      <w:r>
        <w:rPr>
          <w:b w:val="false"/>
          <w:bCs w:val="false"/>
          <w:i w:val="false"/>
          <w:iCs w:val="false"/>
        </w:rPr>
        <w:t xml:space="preserve">(3), 1–23. </w:t>
      </w:r>
      <w:r>
        <w:rPr>
          <w:b w:val="false"/>
          <w:bCs w:val="false"/>
          <w:i w:val="false"/>
          <w:iCs w:val="false"/>
        </w:rPr>
        <w:t xml:space="preserve">https://doi.org/10.4018/joeuc.2007070101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true"/>
          <w:iCs w:val="true"/>
        </w:rPr>
        <w:t xml:space="preserve">Cisco Annual Internet Report (2018–2023) White Paper</w:t>
      </w:r>
      <w:r>
        <w:rPr>
          <w:b w:val="false"/>
          <w:bCs w:val="false"/>
          <w:i w:val="false"/>
          <w:iCs w:val="false"/>
        </w:rPr>
        <w:t xml:space="preserve">. (2020, January 23). Cisco. </w:t>
      </w:r>
      <w:r>
        <w:rPr>
          <w:b w:val="false"/>
          <w:bCs w:val="false"/>
          <w:i w:val="false"/>
          <w:iCs w:val="false"/>
        </w:rPr>
        <w:t xml:space="preserve">https://www.cisco.com/c/en/us/solutions/collateral/executive-perspectives/annual-internet-report/white-paper-c11-741490.html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Colic, N., Manic, B., Nikovic, A., &amp; Brankov, B. (2020). Grasping the framework for the urban governance of smart cities in Serbia. The case of INTERREG SMF project CLEVER. </w:t>
      </w:r>
      <w:r>
        <w:rPr>
          <w:b w:val="false"/>
          <w:bCs w:val="false"/>
          <w:i w:val="true"/>
          <w:iCs w:val="true"/>
        </w:rPr>
        <w:t xml:space="preserve">Spatium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43</w:t>
      </w:r>
      <w:r>
        <w:rPr>
          <w:b w:val="false"/>
          <w:bCs w:val="false"/>
          <w:i w:val="false"/>
          <w:iCs w:val="false"/>
        </w:rPr>
        <w:t xml:space="preserve">, 26–34. </w:t>
      </w:r>
      <w:r>
        <w:rPr>
          <w:b w:val="false"/>
          <w:bCs w:val="false"/>
          <w:i w:val="false"/>
          <w:iCs w:val="false"/>
        </w:rPr>
        <w:t xml:space="preserve">https://doi.org/10.2298/spat2043026c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Cui, L., Xie, G., Qu, Y., Gao, L., &amp; Yang, Y. (2018). Security and privacy in smart cities: challenges and opportunities. </w:t>
      </w:r>
      <w:r>
        <w:rPr>
          <w:b w:val="false"/>
          <w:bCs w:val="false"/>
          <w:i w:val="true"/>
          <w:iCs w:val="true"/>
        </w:rPr>
        <w:t xml:space="preserve">IEEE Access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6</w:t>
      </w:r>
      <w:r>
        <w:rPr>
          <w:b w:val="false"/>
          <w:bCs w:val="false"/>
          <w:i w:val="false"/>
          <w:iCs w:val="false"/>
        </w:rPr>
        <w:t xml:space="preserve">, 46134–46145. </w:t>
      </w:r>
      <w:r>
        <w:rPr>
          <w:b w:val="false"/>
          <w:bCs w:val="false"/>
          <w:i w:val="false"/>
          <w:iCs w:val="false"/>
        </w:rPr>
        <w:t xml:space="preserve">https://doi.org/10.1109/access.2018.2853985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ETSI &amp; 3GPP. (2017). Study on channel model for frequency spectrum above 6 GHz. In </w:t>
      </w:r>
      <w:r>
        <w:rPr>
          <w:b w:val="false"/>
          <w:bCs w:val="false"/>
          <w:i w:val="true"/>
          <w:iCs w:val="true"/>
        </w:rPr>
        <w:t xml:space="preserve">ETSI TR 138 900</w:t>
      </w:r>
      <w:r>
        <w:rPr>
          <w:b w:val="false"/>
          <w:bCs w:val="false"/>
          <w:i w:val="false"/>
          <w:iCs w:val="false"/>
        </w:rPr>
        <w:t xml:space="preserve"> (Vols. V14–V14). </w:t>
      </w:r>
      <w:r>
        <w:rPr>
          <w:b w:val="false"/>
          <w:bCs w:val="false"/>
          <w:i w:val="false"/>
          <w:iCs w:val="false"/>
        </w:rPr>
        <w:t xml:space="preserve">https://www.etsi.org/deliver/etsi_tr/138900_138999/138900/14.02.00_60/tr_138900v140200p.pdf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ETSI &amp; 3GPP. (2022). Study on channel model for frequencies from 0.5 to 100 GHz. In </w:t>
      </w:r>
      <w:r>
        <w:rPr>
          <w:b w:val="false"/>
          <w:bCs w:val="false"/>
          <w:i w:val="true"/>
          <w:iCs w:val="true"/>
        </w:rPr>
        <w:t xml:space="preserve">ETSI TR 138 901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</w:rPr>
        <w:t xml:space="preserve">https://www.etsi.org/deliver/etsi_tr/138900_138999/138901/17.00.00_60/tr_138901v170000p.pdf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floLive. (2022). </w:t>
      </w:r>
      <w:r>
        <w:rPr>
          <w:b w:val="false"/>
          <w:bCs w:val="false"/>
          <w:i w:val="true"/>
          <w:iCs w:val="true"/>
        </w:rPr>
        <w:t xml:space="preserve">The Evolution of Global Connectivity</w:t>
      </w:r>
      <w:r>
        <w:rPr>
          <w:b w:val="false"/>
          <w:bCs w:val="false"/>
          <w:i w:val="false"/>
          <w:iCs w:val="false"/>
        </w:rPr>
        <w:t xml:space="preserve">. Retrieved November 15, 2025, from </w:t>
      </w:r>
      <w:r>
        <w:rPr>
          <w:b w:val="false"/>
          <w:bCs w:val="false"/>
          <w:i w:val="false"/>
          <w:iCs w:val="false"/>
        </w:rPr>
        <w:t xml:space="preserve">https://fs.hubspotusercontent00.net/hubfs/6934657/Resources/The%20Evolution%20of%20Global%20Connectivity%20whitepaper.pdf?__hstc=&amp;__hssc=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García-Dorado, J. L., Hernández, J. A., Aracil, J., De Vergara, J. E. L., &amp; Lopez-Buedo, S. (2011). Characterization of the busy-hour traffic of IP networks based on their intrinsic features. </w:t>
      </w:r>
      <w:r>
        <w:rPr>
          <w:b w:val="false"/>
          <w:bCs w:val="false"/>
          <w:i w:val="true"/>
          <w:iCs w:val="true"/>
        </w:rPr>
        <w:t xml:space="preserve">Computer Networks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55</w:t>
      </w:r>
      <w:r>
        <w:rPr>
          <w:b w:val="false"/>
          <w:bCs w:val="false"/>
          <w:i w:val="false"/>
          <w:iCs w:val="false"/>
        </w:rPr>
        <w:t xml:space="preserve">(9), 2111–2125. </w:t>
      </w:r>
      <w:r>
        <w:rPr>
          <w:b w:val="false"/>
          <w:bCs w:val="false"/>
          <w:i w:val="false"/>
          <w:iCs w:val="false"/>
        </w:rPr>
        <w:t xml:space="preserve">https://doi.org/10.1016/j.comnet.2011.02.015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Ghazzai, H., Yaacoub, E., Alouini, M., Dawy, Z., &amp; Abu-Dayya, A. (2015). Optimized LTE cell planning with varying spatial and temporal user densities. </w:t>
      </w:r>
      <w:r>
        <w:rPr>
          <w:b w:val="false"/>
          <w:bCs w:val="false"/>
          <w:i w:val="true"/>
          <w:iCs w:val="true"/>
        </w:rPr>
        <w:t xml:space="preserve">IEEE Transactions on Vehicular Technology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65</w:t>
      </w:r>
      <w:r>
        <w:rPr>
          <w:b w:val="false"/>
          <w:bCs w:val="false"/>
          <w:i w:val="false"/>
          <w:iCs w:val="false"/>
        </w:rPr>
        <w:t xml:space="preserve">(3), 1575–1589. </w:t>
      </w:r>
      <w:r>
        <w:rPr>
          <w:b w:val="false"/>
          <w:bCs w:val="false"/>
          <w:i w:val="false"/>
          <w:iCs w:val="false"/>
        </w:rPr>
        <w:t xml:space="preserve">https://doi.org/10.1109/tvt.2015.2411579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Hussein, D. H., &amp; Ibnkahla, M. (2023). A novel mathematical framework for modeling Application-Specific IoT traffic. </w:t>
      </w:r>
      <w:r>
        <w:rPr>
          <w:b w:val="false"/>
          <w:bCs w:val="false"/>
          <w:i w:val="true"/>
          <w:iCs w:val="true"/>
        </w:rPr>
        <w:t xml:space="preserve">IEEE Internet of Things Journal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11</w:t>
      </w:r>
      <w:r>
        <w:rPr>
          <w:b w:val="false"/>
          <w:bCs w:val="false"/>
          <w:i w:val="false"/>
          <w:iCs w:val="false"/>
        </w:rPr>
        <w:t xml:space="preserve">(2), 2364–2381. </w:t>
      </w:r>
      <w:r>
        <w:rPr>
          <w:b w:val="false"/>
          <w:bCs w:val="false"/>
          <w:i w:val="false"/>
          <w:iCs w:val="false"/>
        </w:rPr>
        <w:t xml:space="preserve">https://doi.org/10.1109/jiot.2023.3293028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Ikpehai, A., Adebisi, B., Rabie, K. M., Anoh, K., Ande, R. E., Hammoudeh, M., Gacanin, H., &amp; Mbanaso, U. M. (2018). Low-Power Wide area network Technologies for Internet-of-Things: A Comparative review. </w:t>
      </w:r>
      <w:r>
        <w:rPr>
          <w:b w:val="false"/>
          <w:bCs w:val="false"/>
          <w:i w:val="true"/>
          <w:iCs w:val="true"/>
        </w:rPr>
        <w:t xml:space="preserve">IEEE Internet of Things Journal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6</w:t>
      </w:r>
      <w:r>
        <w:rPr>
          <w:b w:val="false"/>
          <w:bCs w:val="false"/>
          <w:i w:val="false"/>
          <w:iCs w:val="false"/>
        </w:rPr>
        <w:t xml:space="preserve">(2), 2225–2240. </w:t>
      </w:r>
      <w:r>
        <w:rPr>
          <w:b w:val="false"/>
          <w:bCs w:val="false"/>
          <w:i w:val="false"/>
          <w:iCs w:val="false"/>
        </w:rPr>
        <w:t xml:space="preserve">https://doi.org/10.1109/jiot.2018.2883728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Jiang, T., Zhang, J., Tang, P., Tian, L., Zheng, Y., Dou, J., Asplund, H., Raschkowski, L., D’Errico, R., &amp; Jamsa, T. (2021). 3GPP Standardized 5G Channel Model for IIoT scenarios: A survey. </w:t>
      </w:r>
      <w:r>
        <w:rPr>
          <w:b w:val="false"/>
          <w:bCs w:val="false"/>
          <w:i w:val="true"/>
          <w:iCs w:val="true"/>
        </w:rPr>
        <w:t xml:space="preserve">IEEE Internet of Things Journal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8</w:t>
      </w:r>
      <w:r>
        <w:rPr>
          <w:b w:val="false"/>
          <w:bCs w:val="false"/>
          <w:i w:val="false"/>
          <w:iCs w:val="false"/>
        </w:rPr>
        <w:t xml:space="preserve">(11), 8799–8815. </w:t>
      </w:r>
      <w:r>
        <w:rPr>
          <w:b w:val="false"/>
          <w:bCs w:val="false"/>
          <w:i w:val="false"/>
          <w:iCs w:val="false"/>
        </w:rPr>
        <w:t xml:space="preserve">https://doi.org/10.1109/jiot.2020.3048992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Justyna. (2024, December 14). </w:t>
      </w:r>
      <w:r>
        <w:rPr>
          <w:b w:val="false"/>
          <w:bCs w:val="false"/>
          <w:i w:val="true"/>
          <w:iCs w:val="true"/>
        </w:rPr>
        <w:t xml:space="preserve">VBA vs Modern Alternatives: Strengths and Weaknesses</w:t>
      </w:r>
      <w:r>
        <w:rPr>
          <w:b w:val="false"/>
          <w:bCs w:val="false"/>
          <w:i w:val="false"/>
          <w:iCs w:val="false"/>
        </w:rPr>
        <w:t xml:space="preserve">. Power Streamline. </w:t>
      </w:r>
      <w:r>
        <w:rPr>
          <w:b w:val="false"/>
          <w:bCs w:val="false"/>
          <w:i w:val="false"/>
          <w:iCs w:val="false"/>
        </w:rPr>
        <w:t xml:space="preserve">https://www.powerstreamline.com/post/vba-vs-modern-alternatives-strengths-and-weaknesses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Kanellopoulos, D., Sharma, V. K., Panagiotakopoulos, T., &amp; Kameas, A. (2023). Networking Architectures and protocols for IoT applications in smart Cities: Recent developments and perspectives. </w:t>
      </w:r>
      <w:r>
        <w:rPr>
          <w:b w:val="false"/>
          <w:bCs w:val="false"/>
          <w:i w:val="true"/>
          <w:iCs w:val="true"/>
        </w:rPr>
        <w:t xml:space="preserve">Electronics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12</w:t>
      </w:r>
      <w:r>
        <w:rPr>
          <w:b w:val="false"/>
          <w:bCs w:val="false"/>
          <w:i w:val="false"/>
          <w:iCs w:val="false"/>
        </w:rPr>
        <w:t xml:space="preserve">(11), 2490. </w:t>
      </w:r>
      <w:r>
        <w:rPr>
          <w:b w:val="false"/>
          <w:bCs w:val="false"/>
          <w:i w:val="false"/>
          <w:iCs w:val="false"/>
        </w:rPr>
        <w:t xml:space="preserve">https://doi.org/10.3390/electronics12112490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Khatiwoda, N. R., Dawadi, B. R., &amp; Joshi, S. R. (2024). Capacity and coverage Dimensioning for 5G Standalone Mixed-Cell architecture: An impact of using existing 4G infrastructure. </w:t>
      </w:r>
      <w:r>
        <w:rPr>
          <w:b w:val="false"/>
          <w:bCs w:val="false"/>
          <w:i w:val="true"/>
          <w:iCs w:val="true"/>
        </w:rPr>
        <w:t xml:space="preserve">Future Internet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16</w:t>
      </w:r>
      <w:r>
        <w:rPr>
          <w:b w:val="false"/>
          <w:bCs w:val="false"/>
          <w:i w:val="false"/>
          <w:iCs w:val="false"/>
        </w:rPr>
        <w:t xml:space="preserve">(11), 423. </w:t>
      </w:r>
      <w:r>
        <w:rPr>
          <w:b w:val="false"/>
          <w:bCs w:val="false"/>
          <w:i w:val="false"/>
          <w:iCs w:val="false"/>
        </w:rPr>
        <w:t xml:space="preserve">https://doi.org/10.3390/fi16110423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Laiho, J., Wacker, A., &amp; Novosad, T. (2005). </w:t>
      </w:r>
      <w:r>
        <w:rPr>
          <w:b w:val="false"/>
          <w:bCs w:val="false"/>
          <w:i w:val="true"/>
          <w:iCs w:val="true"/>
        </w:rPr>
        <w:t xml:space="preserve">Radio Network Planning and Optimisation for UMTS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</w:rPr>
        <w:t xml:space="preserve">https://doi.org/10.1002/9780470031407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Marini, R., Mikhaylov, K., Pasolini, G., &amp; Buratti, C. (2022). Low-Power Wide-Area Networks: Comparison of LORAWAN and NB-IoT performance. </w:t>
      </w:r>
      <w:r>
        <w:rPr>
          <w:b w:val="false"/>
          <w:bCs w:val="false"/>
          <w:i w:val="true"/>
          <w:iCs w:val="true"/>
        </w:rPr>
        <w:t xml:space="preserve">IEEE Internet of Things Journal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9</w:t>
      </w:r>
      <w:r>
        <w:rPr>
          <w:b w:val="false"/>
          <w:bCs w:val="false"/>
          <w:i w:val="false"/>
          <w:iCs w:val="false"/>
        </w:rPr>
        <w:t xml:space="preserve">(21), 21051–21063. </w:t>
      </w:r>
      <w:r>
        <w:rPr>
          <w:b w:val="false"/>
          <w:bCs w:val="false"/>
          <w:i w:val="false"/>
          <w:iCs w:val="false"/>
        </w:rPr>
        <w:t xml:space="preserve">https://doi.org/10.1109/jiot.2022.3176394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Mondal, B., Thomas, T., Visotsky, E., Vook, F., Ghosh, A., Nam, N. Y., Li, N. Y., Zhang, N. J., Zhang, N. M., Luo, N. Q., Kakishima, Y., &amp; Kitao, K. (2015). 3D channel model in 3GPP. </w:t>
      </w:r>
      <w:r>
        <w:rPr>
          <w:b w:val="false"/>
          <w:bCs w:val="false"/>
          <w:i w:val="true"/>
          <w:iCs w:val="true"/>
        </w:rPr>
        <w:t xml:space="preserve">IEEE Communications Magazine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53</w:t>
      </w:r>
      <w:r>
        <w:rPr>
          <w:b w:val="false"/>
          <w:bCs w:val="false"/>
          <w:i w:val="false"/>
          <w:iCs w:val="false"/>
        </w:rPr>
        <w:t xml:space="preserve">(3), 16–23. </w:t>
      </w:r>
      <w:r>
        <w:rPr>
          <w:b w:val="false"/>
          <w:bCs w:val="false"/>
          <w:i w:val="false"/>
          <w:iCs w:val="false"/>
        </w:rPr>
        <w:t xml:space="preserve">https://doi.org/10.1109/mcom.2015.7060514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Nweke, J. N., Salau, A. O., &amp; Eya, C. U. (2022). Headroom-based optimization for placement of distributed generation in a distribution substation. </w:t>
      </w:r>
      <w:r>
        <w:rPr>
          <w:b w:val="false"/>
          <w:bCs w:val="false"/>
          <w:i w:val="true"/>
          <w:iCs w:val="true"/>
        </w:rPr>
        <w:t xml:space="preserve">Engineering Review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42</w:t>
      </w:r>
      <w:r>
        <w:rPr>
          <w:b w:val="false"/>
          <w:bCs w:val="false"/>
          <w:i w:val="false"/>
          <w:iCs w:val="false"/>
        </w:rPr>
        <w:t xml:space="preserve">(1), 109–120. </w:t>
      </w:r>
      <w:r>
        <w:rPr>
          <w:b w:val="false"/>
          <w:bCs w:val="false"/>
          <w:i w:val="false"/>
          <w:iCs w:val="false"/>
        </w:rPr>
        <w:t xml:space="preserve">https://doi.org/10.30765/er.1748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O’Dwyer, E., Pan, I., Acha, S., &amp; Shah, N. (2019). Smart energy systems for sustainable smart cities: Current developments, trends and future directions. </w:t>
      </w:r>
      <w:r>
        <w:rPr>
          <w:b w:val="false"/>
          <w:bCs w:val="false"/>
          <w:i w:val="true"/>
          <w:iCs w:val="true"/>
        </w:rPr>
        <w:t xml:space="preserve">Applied Energy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237</w:t>
      </w:r>
      <w:r>
        <w:rPr>
          <w:b w:val="false"/>
          <w:bCs w:val="false"/>
          <w:i w:val="false"/>
          <w:iCs w:val="false"/>
        </w:rPr>
        <w:t xml:space="preserve">, 581–597. </w:t>
      </w:r>
      <w:r>
        <w:rPr>
          <w:b w:val="false"/>
          <w:bCs w:val="false"/>
          <w:i w:val="false"/>
          <w:iCs w:val="false"/>
        </w:rPr>
        <w:t xml:space="preserve">https://doi.org/10.1016/j.apenergy.2019.01.024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Özkaynak, B., Aras, N., Çetinkaya, İ. D., Ersoy, C., İncel, Ö. D., Koca, M., Nalça, İ., Onay, T. T., Öncü, S., Vatansever, B. Ü., Yücesoy, E., &amp; Yücesoy, C. A. (2024). Neurochallenges in smart cities: state-of-the-art, perspectives, and research directions. </w:t>
      </w:r>
      <w:r>
        <w:rPr>
          <w:b w:val="false"/>
          <w:bCs w:val="false"/>
          <w:i w:val="true"/>
          <w:iCs w:val="true"/>
        </w:rPr>
        <w:t xml:space="preserve">Frontiers in Neuroscience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18</w:t>
      </w:r>
      <w:r>
        <w:rPr>
          <w:b w:val="false"/>
          <w:bCs w:val="false"/>
          <w:i w:val="false"/>
          <w:iCs w:val="false"/>
        </w:rPr>
        <w:t xml:space="preserve">, 1279668. </w:t>
      </w:r>
      <w:r>
        <w:rPr>
          <w:b w:val="false"/>
          <w:bCs w:val="false"/>
          <w:i w:val="false"/>
          <w:iCs w:val="false"/>
        </w:rPr>
        <w:t xml:space="preserve">https://doi.org/10.3389/fnins.2024.1279668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Ozovehe, A., Okereke, O., Anene, E., &amp; Usman, A. (2018). Busy hour traffic congestion analysis in mobile macrocells. </w:t>
      </w:r>
      <w:r>
        <w:rPr>
          <w:b w:val="false"/>
          <w:bCs w:val="false"/>
          <w:i w:val="true"/>
          <w:iCs w:val="true"/>
        </w:rPr>
        <w:t xml:space="preserve">Nigerian Journal of Technology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36</w:t>
      </w:r>
      <w:r>
        <w:rPr>
          <w:b w:val="false"/>
          <w:bCs w:val="false"/>
          <w:i w:val="false"/>
          <w:iCs w:val="false"/>
        </w:rPr>
        <w:t xml:space="preserve">(4), 1265. </w:t>
      </w:r>
      <w:r>
        <w:rPr>
          <w:b w:val="false"/>
          <w:bCs w:val="false"/>
          <w:i w:val="false"/>
          <w:iCs w:val="false"/>
        </w:rPr>
        <w:t xml:space="preserve">https://doi.org/10.4314/njt.v36i4.37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Shannon, C. E. (1948). A mathematical theory of communication. </w:t>
      </w:r>
      <w:r>
        <w:rPr>
          <w:b w:val="false"/>
          <w:bCs w:val="false"/>
          <w:i w:val="true"/>
          <w:iCs w:val="true"/>
        </w:rPr>
        <w:t xml:space="preserve">Bell System Technical Journal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27</w:t>
      </w:r>
      <w:r>
        <w:rPr>
          <w:b w:val="false"/>
          <w:bCs w:val="false"/>
          <w:i w:val="false"/>
          <w:iCs w:val="false"/>
        </w:rPr>
        <w:t xml:space="preserve">(3), 379–423. </w:t>
      </w:r>
      <w:r>
        <w:rPr>
          <w:b w:val="false"/>
          <w:bCs w:val="false"/>
          <w:i w:val="false"/>
          <w:iCs w:val="false"/>
        </w:rPr>
        <w:t xml:space="preserve">https://doi.org/10.1002/j.1538-7305.1948.tb01338.x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Sharma, P. K., Sharma, D., &amp; Gupta, A. (2016). Cell coverage area and link budget calculations in LTE system. </w:t>
      </w:r>
      <w:r>
        <w:rPr>
          <w:b w:val="false"/>
          <w:bCs w:val="false"/>
          <w:i w:val="true"/>
          <w:iCs w:val="true"/>
        </w:rPr>
        <w:t xml:space="preserve">Indian Journal of Science and Technology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9</w:t>
      </w:r>
      <w:r>
        <w:rPr>
          <w:b w:val="false"/>
          <w:bCs w:val="false"/>
          <w:i w:val="false"/>
          <w:iCs w:val="false"/>
        </w:rPr>
        <w:t xml:space="preserve">(S1). </w:t>
      </w:r>
      <w:r>
        <w:rPr>
          <w:b w:val="false"/>
          <w:bCs w:val="false"/>
          <w:i w:val="false"/>
          <w:iCs w:val="false"/>
        </w:rPr>
        <w:t xml:space="preserve">https://doi.org/10.17485/ijst/2016/v9is1/107935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Sharma, S., &amp; Bhatt, P. D. (2024). Performance modeling of IoT-Cloud gateway under diverse traffic characteristics. </w:t>
      </w:r>
      <w:r>
        <w:rPr>
          <w:b w:val="false"/>
          <w:bCs w:val="false"/>
          <w:i w:val="true"/>
          <w:iCs w:val="true"/>
        </w:rPr>
        <w:t xml:space="preserve">IEEE Transactions on Network and Service Management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22</w:t>
      </w:r>
      <w:r>
        <w:rPr>
          <w:b w:val="false"/>
          <w:bCs w:val="false"/>
          <w:i w:val="false"/>
          <w:iCs w:val="false"/>
        </w:rPr>
        <w:t xml:space="preserve">(1), 691–701. </w:t>
      </w:r>
      <w:r>
        <w:rPr>
          <w:b w:val="false"/>
          <w:bCs w:val="false"/>
          <w:i w:val="false"/>
          <w:iCs w:val="false"/>
        </w:rPr>
        <w:t xml:space="preserve">https://doi.org/10.1109/tnsm.2024.3489598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true"/>
          <w:iCs w:val="true"/>
        </w:rPr>
        <w:t xml:space="preserve">SuperClusters</w:t>
      </w:r>
      <w:r>
        <w:rPr>
          <w:b w:val="false"/>
          <w:bCs w:val="false"/>
          <w:i w:val="false"/>
          <w:iCs w:val="false"/>
        </w:rPr>
        <w:t xml:space="preserve">. (n.d.). Global City Teams Challenge. </w:t>
      </w:r>
      <w:r>
        <w:rPr>
          <w:b w:val="false"/>
          <w:bCs w:val="false"/>
          <w:i w:val="false"/>
          <w:iCs w:val="false"/>
        </w:rPr>
        <w:t xml:space="preserve">https://pages.nist.gov/GCTC/super-clusters/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Taufique, A., Jaber, M., Imran, A., Dawy, Z., &amp; Yacoub, E. (2017). Planning Wireless Cellular Networks of Future: Outlook, Challenges and opportunities. </w:t>
      </w:r>
      <w:r>
        <w:rPr>
          <w:b w:val="false"/>
          <w:bCs w:val="false"/>
          <w:i w:val="true"/>
          <w:iCs w:val="true"/>
        </w:rPr>
        <w:t xml:space="preserve">IEEE Access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5</w:t>
      </w:r>
      <w:r>
        <w:rPr>
          <w:b w:val="false"/>
          <w:bCs w:val="false"/>
          <w:i w:val="false"/>
          <w:iCs w:val="false"/>
        </w:rPr>
        <w:t xml:space="preserve">, 4821–4845. </w:t>
      </w:r>
      <w:r>
        <w:rPr>
          <w:b w:val="false"/>
          <w:bCs w:val="false"/>
          <w:i w:val="false"/>
          <w:iCs w:val="false"/>
        </w:rPr>
        <w:t xml:space="preserve">https://doi.org/10.1109/access.2017.2680318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Zaman, M., Puryear, N., Abdelwahed, S., &amp; Zohrabi, N. (2024). A review of IoT-Based Smart City Development and Management. </w:t>
      </w:r>
      <w:r>
        <w:rPr>
          <w:b w:val="false"/>
          <w:bCs w:val="false"/>
          <w:i w:val="true"/>
          <w:iCs w:val="true"/>
        </w:rPr>
        <w:t xml:space="preserve">Smart Cities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7</w:t>
      </w:r>
      <w:r>
        <w:rPr>
          <w:b w:val="false"/>
          <w:bCs w:val="false"/>
          <w:i w:val="false"/>
          <w:iCs w:val="false"/>
        </w:rPr>
        <w:t xml:space="preserve">(3), 1462–1501. </w:t>
      </w:r>
      <w:r>
        <w:rPr>
          <w:b w:val="false"/>
          <w:bCs w:val="false"/>
          <w:i w:val="false"/>
          <w:iCs w:val="false"/>
        </w:rPr>
        <w:t xml:space="preserve">https://doi.org/10.3390/smartcities7030061</w:t>
      </w:r>
      <w:r>
        <w:rPr>
          <w:b w:val="false"/>
          <w:bCs w:val="false"/>
          <w:i w:val="false"/>
          <w:iCs w:val="false"/>
        </w:rPr>
        <w:t xml:space="preserve"/>
      </w:r>
    </w:p>
    ,
    <w:p>
      <w:pPr>
        <w:pStyle w:val="Bibliography"/>
      </w:pPr>
      <w:r>
        <w:rPr>
          <w:b w:val="false"/>
          <w:bCs w:val="false"/>
          <w:i w:val="false"/>
          <w:iCs w:val="false"/>
        </w:rPr>
        <w:t xml:space="preserve">Zhang, C., Liu, L., Cheng, H., Liu, D., Zhang, J., &amp; Li, G. (2021). Frequency-constrained Co-planning of Generation and Energy Storage with High-penetration Renewable Energy. </w:t>
      </w:r>
      <w:r>
        <w:rPr>
          <w:b w:val="false"/>
          <w:bCs w:val="false"/>
          <w:i w:val="true"/>
          <w:iCs w:val="true"/>
        </w:rPr>
        <w:t xml:space="preserve">Journal of Modern Power Systems and Clean Energy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true"/>
          <w:iCs w:val="true"/>
        </w:rPr>
        <w:t xml:space="preserve">9</w:t>
      </w:r>
      <w:r>
        <w:rPr>
          <w:b w:val="false"/>
          <w:bCs w:val="false"/>
          <w:i w:val="false"/>
          <w:iCs w:val="false"/>
        </w:rPr>
        <w:t xml:space="preserve">(4), 760–775. </w:t>
      </w:r>
      <w:r>
        <w:rPr>
          <w:b w:val="false"/>
          <w:bCs w:val="false"/>
          <w:i w:val="false"/>
          <w:iCs w:val="false"/>
        </w:rPr>
        <w:t xml:space="preserve">https://doi.org/10.35833/mpce.2020.000743</w:t>
      </w:r>
      <w:r>
        <w:rPr>
          <w:b w:val="false"/>
          <w:bCs w:val="false"/>
          <w:i w:val="false"/>
          <w:iCs w:val="false"/>
        </w:rPr>
        <w:t xml:space="preserve"/>
      </w:r>
    </w:p>
    <w:sectPr w:rsidR="00287DD9" w:rsidRPr="00287DD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5896A" w14:textId="77777777" w:rsidR="00454F77" w:rsidRDefault="00454F77">
      <w:pPr>
        <w:spacing w:line="240" w:lineRule="auto"/>
      </w:pPr>
      <w:r>
        <w:separator/>
      </w:r>
    </w:p>
  </w:endnote>
  <w:endnote w:type="continuationSeparator" w:id="0">
    <w:p w14:paraId="229F9308" w14:textId="77777777" w:rsidR="00454F77" w:rsidRDefault="00454F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B637A" w14:textId="2BC8D8A1" w:rsidR="00FD027A" w:rsidRDefault="00FD027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93D68" w14:textId="77777777" w:rsidR="00454F77" w:rsidRDefault="00454F77">
      <w:pPr>
        <w:spacing w:line="240" w:lineRule="auto"/>
      </w:pPr>
      <w:r>
        <w:separator/>
      </w:r>
    </w:p>
  </w:footnote>
  <w:footnote w:type="continuationSeparator" w:id="0">
    <w:p w14:paraId="156F0B04" w14:textId="77777777" w:rsidR="00454F77" w:rsidRDefault="00454F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E003E" w14:textId="77777777" w:rsidR="00FD027A" w:rsidRDefault="000A150F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35112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30AF"/>
    <w:multiLevelType w:val="hybridMultilevel"/>
    <w:tmpl w:val="D69A8A36"/>
    <w:lvl w:ilvl="0" w:tplc="D7AA5822">
      <w:start w:val="1"/>
      <w:numFmt w:val="bullet"/>
      <w:pStyle w:val="ListBullet"/>
      <w:lvlText w:val="●"/>
      <w:lvlJc w:val="left"/>
      <w:pPr>
        <w:ind w:left="720" w:hanging="360"/>
      </w:pPr>
    </w:lvl>
    <w:lvl w:ilvl="1" w:tplc="71F64D74">
      <w:start w:val="1"/>
      <w:numFmt w:val="bullet"/>
      <w:lvlText w:val="○"/>
      <w:lvlJc w:val="left"/>
      <w:pPr>
        <w:ind w:left="1440" w:hanging="360"/>
      </w:pPr>
    </w:lvl>
    <w:lvl w:ilvl="2" w:tplc="BA20E348">
      <w:start w:val="1"/>
      <w:numFmt w:val="bullet"/>
      <w:lvlText w:val="■"/>
      <w:lvlJc w:val="left"/>
      <w:pPr>
        <w:ind w:left="2160" w:hanging="360"/>
      </w:pPr>
    </w:lvl>
    <w:lvl w:ilvl="3" w:tplc="E5B295A6">
      <w:start w:val="1"/>
      <w:numFmt w:val="bullet"/>
      <w:lvlText w:val="●"/>
      <w:lvlJc w:val="left"/>
      <w:pPr>
        <w:ind w:left="2880" w:hanging="360"/>
      </w:pPr>
    </w:lvl>
    <w:lvl w:ilvl="4" w:tplc="AC20E2A0">
      <w:start w:val="1"/>
      <w:numFmt w:val="bullet"/>
      <w:lvlText w:val="○"/>
      <w:lvlJc w:val="left"/>
      <w:pPr>
        <w:ind w:left="3600" w:hanging="360"/>
      </w:pPr>
    </w:lvl>
    <w:lvl w:ilvl="5" w:tplc="BB3A204E">
      <w:start w:val="1"/>
      <w:numFmt w:val="bullet"/>
      <w:lvlText w:val="■"/>
      <w:lvlJc w:val="left"/>
      <w:pPr>
        <w:ind w:left="4320" w:hanging="360"/>
      </w:pPr>
    </w:lvl>
    <w:lvl w:ilvl="6" w:tplc="A510C2F2">
      <w:start w:val="1"/>
      <w:numFmt w:val="bullet"/>
      <w:lvlText w:val="●"/>
      <w:lvlJc w:val="left"/>
      <w:pPr>
        <w:ind w:left="5040" w:hanging="360"/>
      </w:pPr>
    </w:lvl>
    <w:lvl w:ilvl="7" w:tplc="36D02FBC">
      <w:start w:val="1"/>
      <w:numFmt w:val="bullet"/>
      <w:lvlText w:val="●"/>
      <w:lvlJc w:val="left"/>
      <w:pPr>
        <w:ind w:left="5760" w:hanging="360"/>
      </w:pPr>
    </w:lvl>
    <w:lvl w:ilvl="8" w:tplc="93D01F50">
      <w:start w:val="1"/>
      <w:numFmt w:val="bullet"/>
      <w:lvlText w:val="●"/>
      <w:lvlJc w:val="left"/>
      <w:pPr>
        <w:ind w:left="6480" w:hanging="360"/>
      </w:pPr>
    </w:lvl>
  </w:abstractNum>
  <w:num w:numId="1" w16cid:durableId="1953592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27A"/>
    <w:rsid w:val="000A150F"/>
    <w:rsid w:val="00287DD9"/>
    <w:rsid w:val="00351121"/>
    <w:rsid w:val="00454F77"/>
    <w:rsid w:val="00675234"/>
    <w:rsid w:val="00781B41"/>
    <w:rsid w:val="00FD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6AC05A"/>
  <w15:docId w15:val="{3D28F9DE-1CC2-3549-AAD2-DBD64B80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  <w:ind w:firstLine="720"/>
    </w:pPr>
    <w:rPr>
      <w:sz w:val="24"/>
      <w:szCs w:val="24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firstLine="0"/>
      <w:jc w:val="center"/>
    </w:p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</w:style>
  <w:style w:type="character" w:styleId="Hyperlink">
    <w:name w:val="Hyperlink"/>
    <w:uiPriority w:val="99"/>
    <w:unhideWhenUsed/>
    <w:rPr>
      <w:color w:val="1F80E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ibliography">
    <w:name w:val="Bibliography"/>
    <w:basedOn w:val="Normal"/>
    <w:pPr>
      <w:ind w:left="720" w:hanging="720"/>
    </w:pPr>
  </w:style>
  <w:style w:type="paragraph" w:customStyle="1" w:styleId="BibliographyAnnotation">
    <w:name w:val="Bibliography Annotation"/>
    <w:basedOn w:val="Normal"/>
    <w:pPr>
      <w:ind w:left="720"/>
    </w:pPr>
  </w:style>
  <w:style w:type="paragraph" w:customStyle="1" w:styleId="BibliographyAnnotationFirstLine">
    <w:name w:val="Bibliography Annotation First Line"/>
    <w:basedOn w:val="BibliographyAnnotation"/>
    <w:next w:val="BibliographyAnnotation"/>
    <w:pPr>
      <w:ind w:firstLine="0"/>
    </w:pPr>
  </w:style>
  <w:style w:type="paragraph" w:customStyle="1" w:styleId="BibliographyAnnotationMultiLine">
    <w:name w:val="Bibliography Annotation Multi Line"/>
    <w:basedOn w:val="BibliographyAnnotation"/>
  </w:style>
  <w:style w:type="paragraph" w:customStyle="1" w:styleId="BibliographyAnnotationMultiLineFirstLine">
    <w:name w:val="Bibliography Annotation Multi Line First Line"/>
    <w:basedOn w:val="BibliographyAnnotationFirstLine"/>
    <w:next w:val="BibliographyAnnotationMultiLine"/>
  </w:style>
  <w:style w:type="paragraph" w:styleId="Header">
    <w:name w:val="header"/>
    <w:basedOn w:val="Normal"/>
    <w:pPr>
      <w:spacing w:line="240" w:lineRule="auto"/>
      <w:ind w:firstLine="0"/>
    </w:pPr>
  </w:style>
  <w:style w:type="paragraph" w:styleId="ListBullet">
    <w:name w:val="List Bullet"/>
    <w:basedOn w:val="Normal"/>
    <w:pPr>
      <w:numPr>
        <w:numId w:val="1"/>
      </w:numPr>
      <w:ind w:left="108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752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34"/>
    <w:rPr>
      <w:sz w:val="24"/>
      <w:szCs w:val="24"/>
      <w:rFonts w:ascii="Times New Roman" w:cs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Tobias Klevenz</cp:lastModifiedBy>
  <cp:revision>4</cp:revision>
  <dcterms:created xsi:type="dcterms:W3CDTF">2022-05-31T12:50:00Z</dcterms:created>
  <dcterms:modified xsi:type="dcterms:W3CDTF">2024-04-09T12:49:00Z</dcterms:modified>
</cp:coreProperties>
</file>