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color w:val="52514E"/>
          <w:sz w:val="24"/>
          <w:szCs w:val="24"/>
        </w:rPr>
        <w:t xml:space="preserve">Trabalho Prático de Deep Learning</w:t>
      </w:r>
    </w:p>
    <w:p>
      <w:pPr>
        <w:spacing w:after="1400" w:before="0"/>
        <w:jc w:val="center"/>
      </w:pPr>
      <w:r>
        <w:rPr>
          <w:color w:val="52514E"/>
          <w:sz w:val="22"/>
          <w:szCs w:val="22"/>
        </w:rPr>
        <w:t xml:space="preserve">Frente 3.1 – Multilayer Perceptrons</w:t>
      </w:r>
    </w:p>
    <w:p>
      <w:pPr>
        <w:spacing w:after="300" w:before="0"/>
        <w:jc w:val="center"/>
      </w:pPr>
      <w:r>
        <w:rPr>
          <w:b/>
          <w:bCs/>
          <w:sz w:val="40"/>
          <w:szCs w:val="40"/>
        </w:rPr>
        <w:t xml:space="preserve">Previsão da nota média no ENEM a partir de informações anteriores à prova</w:t>
      </w:r>
    </w:p>
    <w:p>
      <w:pPr>
        <w:spacing w:after="1600" w:before="0"/>
        <w:jc w:val="center"/>
      </w:pPr>
      <w:r>
        <w:rPr>
          <w:color w:val="52514E"/>
          <w:sz w:val="24"/>
          <w:szCs w:val="24"/>
        </w:rPr>
        <w:t xml:space="preserve">Modelagem, hiperparametrização e avaliação experimental de MLPs com os microdados do INEP (2022–2023)</w:t>
      </w:r>
    </w:p>
    <w:p>
      <w:pPr>
        <w:spacing w:after="120" w:before="0"/>
        <w:jc w:val="center"/>
      </w:pPr>
      <w:r>
        <w:rPr>
          <w:b/>
          <w:bCs/>
          <w:sz w:val="22"/>
          <w:szCs w:val="22"/>
        </w:rPr>
        <w:t xml:space="preserve">Integrantes</w:t>
      </w:r>
    </w:p>
    <w:p>
      <w:pPr>
        <w:spacing w:after="60"/>
        <w:jc w:val="center"/>
      </w:pPr>
      <w:r>
        <w:rPr>
          <w:sz w:val="22"/>
          <w:szCs w:val="22"/>
          <w:highlight w:val="yellow"/>
        </w:rPr>
        <w:t xml:space="preserve">[Nome completo – matrícula]</w:t>
      </w:r>
    </w:p>
    <w:p>
      <w:pPr>
        <w:spacing w:after="60"/>
        <w:jc w:val="center"/>
      </w:pPr>
      <w:r>
        <w:rPr>
          <w:sz w:val="22"/>
          <w:szCs w:val="22"/>
          <w:highlight w:val="yellow"/>
        </w:rPr>
        <w:t xml:space="preserve">[Nome completo – matrícula]</w:t>
      </w:r>
    </w:p>
    <w:p>
      <w:pPr>
        <w:spacing w:after="60"/>
        <w:jc w:val="center"/>
      </w:pPr>
      <w:r>
        <w:rPr>
          <w:sz w:val="22"/>
          <w:szCs w:val="22"/>
          <w:highlight w:val="yellow"/>
        </w:rPr>
        <w:t xml:space="preserve">[Nome completo – matrícula]</w:t>
      </w:r>
    </w:p>
    <w:p>
      <w:pPr>
        <w:spacing w:after="800" w:before="0"/>
        <w:jc w:val="center"/>
      </w:pPr>
    </w:p>
    <w:p>
      <w:pPr>
        <w:spacing w:after="80" w:before="0"/>
        <w:jc w:val="center"/>
      </w:pPr>
      <w:r>
        <w:rPr>
          <w:sz w:val="18"/>
          <w:szCs w:val="18"/>
        </w:rPr>
        <w:t xml:space="preserve">Conjunto de dados:</w:t>
      </w:r>
      <w:r>
        <w:rPr>
          <w:sz w:val="18"/>
          <w:szCs w:val="18"/>
        </w:rPr>
        <w:t xml:space="preserve"> Microdados do ENEM – INEP · https://dados.gov.br/dados/conjuntos-dados/inep-microdados-do-enem</w:t>
      </w:r>
    </w:p>
    <w:p>
      <w:pPr>
        <w:spacing w:after="1200" w:before="0"/>
        <w:jc w:val="center"/>
      </w:pPr>
      <w:r>
        <w:rPr>
          <w:sz w:val="18"/>
          <w:szCs w:val="18"/>
        </w:rPr>
        <w:t xml:space="preserve">Código:</w:t>
      </w:r>
      <w:r>
        <w:rPr>
          <w:sz w:val="18"/>
          <w:szCs w:val="18"/>
        </w:rPr>
        <w:t xml:space="preserve"> https://github.com/PedroAllien/enem-mlp-nota-media</w:t>
      </w:r>
    </w:p>
    <w:p>
      <w:pPr>
        <w:spacing w:after="120" w:before="0"/>
        <w:jc w:val="center"/>
      </w:pPr>
      <w:r>
        <w:rPr>
          <w:sz w:val="22"/>
          <w:szCs w:val="22"/>
        </w:rPr>
        <w:t xml:space="preserve">Outubro de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35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Resumo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">
            <w:r>
              <w:t xml:space="preserve">1. Introdução e objetivo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3">
            <w:r>
              <w:t xml:space="preserve">2. Fonte e caracterização dos dados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4">
            <w:r>
              <w:t xml:space="preserve">2.1 Fonte e escolha das edições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5">
            <w:r>
              <w:t xml:space="preserve">2.2 Variáveis de entrada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6">
            <w:r>
              <w:t xml:space="preserve">2.3 Estatísticas descritivas, ausentes, duplicados e anomalias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7">
            <w:r>
              <w:t xml:space="preserve">2.4 Distribuição da variável alvo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8">
            <w:r>
              <w:t xml:space="preserve">2.5 Mudança de distribuição entre 2022 e 2023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9">
            <w:r>
              <w:t xml:space="preserve">3. Metodologia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0">
            <w:r>
              <w:t xml:space="preserve">3.1 Separação entre treino, validação e teste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1">
            <w:r>
              <w:t xml:space="preserve">3.2 Pré-processamento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2">
            <w:r>
              <w:t xml:space="preserve">3.3 Arquitetura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3">
            <w:r>
              <w:t xml:space="preserve">3.4 Treinamento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4">
            <w:r>
              <w:t xml:space="preserve">3.5 Métricas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5">
            <w:r>
              <w:t xml:space="preserve">3.6 Protocolo experimental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16">
            <w:r>
              <w:t xml:space="preserve">4. Resultados de validação e seleção dos modelos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7">
            <w:r>
              <w:t xml:space="preserve">4.1 Profundidade e largura (E1)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8">
            <w:r>
              <w:t xml:space="preserve">4.2 Estratégias de regularização (E2)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19">
            <w:r>
              <w:t xml:space="preserve">4.3 Busca de hiperparâmetros com Optuna (E3)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20">
            <w:r>
              <w:t xml:space="preserve">4.4 Seleção das arquiteturas para a avaliação final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1">
            <w:r>
              <w:t xml:space="preserve">5. Avaliação final no conjunto de teste e análise de custo × efetividade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22">
            <w:r>
              <w:t xml:space="preserve">5.1 Desempenho no teste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23">
            <w:r>
              <w:t xml:space="preserve">5.2 Custo × efetividade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  <w:ind w:left="220"/>
          </w:pPr>
          <w:hyperlink w:history="1" w:anchor="_Toc24">
            <w:r>
              <w:t xml:space="preserve">5.3 Análise de erros: onde e como o modelo falha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5">
            <w:r>
              <w:t xml:space="preserve">6. Limitações, incertezas e situações de falha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6">
            <w:r>
              <w:t xml:space="preserve">7. Conclusões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7">
            <w:r>
              <w:t xml:space="preserve">Referências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8">
            <w:r>
              <w:t xml:space="preserve">Apêndice A – Registro da busca de hiperparâmetros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9">
            <w:r>
              <w:t xml:space="preserve">Apêndice B – Reprodutibilidade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Resumo</w:t>
      </w:r>
      <w:bookmarkEnd w:id="1"/>
    </w:p>
    <w:p>
      <w:pPr>
        <w:spacing w:after="120" w:line="300"/>
        <w:jc w:val="both"/>
      </w:pPr>
      <w:r>
        <w:t xml:space="preserve">Este trabalho investiga quanto da nota média de um participante no ENEM pode ser prevista </w:t>
      </w:r>
      <w:r>
        <w:rPr>
          <w:b/>
          <w:bCs/>
        </w:rPr>
        <w:t xml:space="preserve">antes da prova</w:t>
      </w:r>
      <w:r>
        <w:t xml:space="preserve">, só com o questionário socioeconômico da inscrição, a situação escolar, a faixa etária e o local de prova. Usamos os microdados do INEP: 1,87 milhão de participantes de 2022 para treino, 234 mil para validação e 234 mil para teste, e todos os 2,66 milhões de participantes de 2023 como </w:t>
      </w:r>
      <w:r>
        <w:rPr>
          <w:b/>
          <w:bCs/>
        </w:rPr>
        <w:t xml:space="preserve">teste temporal</w:t>
      </w:r>
      <w:r>
        <w:t xml:space="preserve">. O modelo é uma MLP com entradas one-hot e um embedding para o município, construída em PyTorch.</w:t>
      </w:r>
    </w:p>
    <w:p>
      <w:pPr>
        <w:spacing w:after="120" w:line="300"/>
        <w:jc w:val="both"/>
      </w:pPr>
      <w:r>
        <w:t xml:space="preserve">Quatro experimentos estudaram (E1) profundidade e largura, (E2) sete estratégias de regularização em duas escalas de dados, (E3) uma busca de hiperparâmetros com Optuna (60 trials, TPE com poda) e (E4) a avaliação final de três arquiteturas selecionadas, com três sementes cada. A melhor MLP atinge </w:t>
      </w:r>
      <w:r>
        <w:rPr>
          <w:b/>
          <w:bCs/>
        </w:rPr>
        <w:t xml:space="preserve">RMSE de 68,4 pontos e R² de 0,39</w:t>
      </w:r>
      <w:r>
        <w:t xml:space="preserve"> no teste de 2022, contra 87,8 de prever a média e 70,2 da regressão linear, e mantém o R² no ano seguinte (0,385). Uma rede de uma camada com 9 vezes menos parâmetros fica a 0,1 ponto disso. Regularização e volume de dados importam muito mais que profundidade e largura. O modelo comprime as predições para o centro (regressão à média) e tem viés residual por cor/raça, então serve para analisar grupos, não para decisões sobre indivíduos.</w:t>
      </w:r>
    </w:p>
    <w:p>
      <w:pPr>
        <w:pStyle w:val="Heading1"/>
      </w:pPr>
      <w:bookmarkStart w:name="_Toc2" w:id="2"/>
      <w:r>
        <w:t xml:space="preserve">1. Introdução e objetivo</w:t>
      </w:r>
      <w:bookmarkEnd w:id="2"/>
    </w:p>
    <w:p>
      <w:pPr>
        <w:spacing w:after="120" w:line="300"/>
        <w:jc w:val="both"/>
      </w:pPr>
      <w:r>
        <w:t xml:space="preserve">O Exame Nacional do Ensino Médio (ENEM) é a principal porta de entrada para o ensino superior público no Brasil (SiSU) e também é usado pelo ProUni e pelo Fies. Em 2022 foram 3,48 milhões de inscritos e, em 2023, 3,93 milhões. Já se sabe que o desempenho no exame acompanha de perto as condições socioeconômicas e escolares do participante. A pergunta deste trabalho é </w:t>
      </w:r>
      <w:r>
        <w:rPr>
          <w:b/>
          <w:bCs/>
        </w:rPr>
        <w:t xml:space="preserve">quanto do desempenho dá para antecipar só com o que se sabe na inscrição</w:t>
      </w:r>
      <w:r>
        <w:t xml:space="preserve">, meses antes da prova.</w:t>
      </w:r>
    </w:p>
    <w:p>
      <w:pPr>
        <w:spacing w:after="120" w:line="300"/>
        <w:jc w:val="both"/>
      </w:pPr>
      <w:r>
        <w:rPr>
          <w:b/>
          <w:bCs/>
        </w:rPr>
        <w:t xml:space="preserve">Objetivo.</w:t>
      </w:r>
      <w:r>
        <w:t xml:space="preserve"> Prever a </w:t>
      </w:r>
      <w:r>
        <w:rPr>
          <w:b/>
          <w:bCs/>
        </w:rPr>
        <w:t xml:space="preserve">nota média</w:t>
      </w:r>
      <w:r>
        <w:t xml:space="preserve"> de um participante no ENEM usando apenas informações disponíveis antes da prova: tipo de escola, situação de conclusão do ensino médio, renda familiar, escolaridade dos responsáveis, acesso a computador e internet, município e estado, características da residência e faixa etária.</w:t>
      </w:r>
    </w:p>
    <w:p>
      <w:pPr>
        <w:spacing w:after="120" w:line="300"/>
        <w:jc w:val="both"/>
      </w:pPr>
      <w:r>
        <w:rPr>
          <w:b/>
          <w:bCs/>
        </w:rPr>
        <w:t xml:space="preserve">Utilidade da previsão.</w:t>
      </w:r>
      <w:r>
        <w:t xml:space="preserve"> (i) Identificar, antes da prova, grupos e regiões com desempenho esperado baixo, para direcionar ações de apoio (cursinhos, reforço, material); (ii) medir quanto do resultado já é explicado pelo perfil de entrada; (iii) servir de referência para avaliar programas e escolas pelo desempenho </w:t>
      </w:r>
      <w:r>
        <w:rPr>
          <w:b/>
          <w:bCs/>
        </w:rPr>
        <w:t xml:space="preserve">acima do esperado</w:t>
      </w:r>
      <w:r>
        <w:t xml:space="preserve"> dado o perfil dos alunos. O modelo não foi feito para tomar decisões sobre um indivíduo, e a Seção 6 discute por que ele não deve ser usado assim.</w:t>
      </w:r>
    </w:p>
    <w:p>
      <w:pPr>
        <w:spacing w:after="120" w:line="300"/>
        <w:jc w:val="both"/>
      </w:pPr>
      <w:r>
        <w:rPr>
          <w:b/>
          <w:bCs/>
        </w:rPr>
        <w:t xml:space="preserve">Definição do problema.</w:t>
      </w:r>
      <w:r>
        <w:t xml:space="preserve"> A unidade de observação é o </w:t>
      </w:r>
      <w:r>
        <w:rPr>
          <w:b/>
          <w:bCs/>
        </w:rPr>
        <w:t xml:space="preserve">participante de uma edição do ENEM</w:t>
      </w:r>
      <w:r>
        <w:t xml:space="preserve">. A variável alvo, </w:t>
      </w:r>
      <w:r>
        <w:rPr>
          <w:rFonts w:ascii="Consolas" w:cs="Consolas" w:eastAsia="Consolas" w:hAnsi="Consolas"/>
          <w:sz w:val="20"/>
          <w:szCs w:val="20"/>
        </w:rPr>
        <w:t xml:space="preserve">NOTA_MEDIA</w:t>
      </w:r>
      <w:r>
        <w:t xml:space="preserve">, é a média aritmética simples das cinco notas: Ciências da Natureza (CN), Ciências Humanas (CH), Linguagens e Códigos (LC), Matemática (MT) e Redação, em pontos na escala do ENEM. Como o alvo é contínuo, o problema é de </w:t>
      </w:r>
      <w:r>
        <w:rPr>
          <w:b/>
          <w:bCs/>
        </w:rPr>
        <w:t xml:space="preserve">regressão</w:t>
      </w:r>
      <w:r>
        <w:t xml:space="preserve">. A frente escolhida é a </w:t>
      </w:r>
      <w:r>
        <w:rPr>
          <w:b/>
          <w:bCs/>
        </w:rPr>
        <w:t xml:space="preserve">3.1 – Multilayer Perceptrons</w:t>
      </w:r>
      <w:r>
        <w:t xml:space="preserve">: os dados são tabulares, sem estrutura espacial ou temporal que justifique convolução ou recorrência, e a MLP é a arquitetura profunda natural para esse caso.</w:t>
      </w:r>
    </w:p>
    <w:p>
      <w:pPr>
        <w:pStyle w:val="Heading1"/>
      </w:pPr>
      <w:bookmarkStart w:name="_Toc3" w:id="3"/>
      <w:r>
        <w:t xml:space="preserve">2. Fonte e caracterização dos dados</w:t>
      </w:r>
      <w:bookmarkEnd w:id="3"/>
    </w:p>
    <w:p>
      <w:pPr>
        <w:pStyle w:val="Heading2"/>
      </w:pPr>
      <w:bookmarkStart w:name="_Toc4" w:id="4"/>
      <w:r>
        <w:t xml:space="preserve">2.1 Fonte e escolha das edições</w:t>
      </w:r>
      <w:bookmarkEnd w:id="4"/>
    </w:p>
    <w:p>
      <w:pPr>
        <w:spacing w:after="120" w:line="300"/>
        <w:jc w:val="both"/>
      </w:pPr>
      <w:r>
        <w:t xml:space="preserve">Os dados são os </w:t>
      </w:r>
      <w:r>
        <w:rPr>
          <w:b/>
          <w:bCs/>
        </w:rPr>
        <w:t xml:space="preserve">Microdados do ENEM</w:t>
      </w:r>
      <w:r>
        <w:t xml:space="preserve"> publicados pelo INEP e indexados no Portal Brasileiro de Dados Abertos (https://dados.gov.br/dados/conjuntos-dados/inep-microdados-do-enem). Cada edição é um CSV de ~1,8 GB com 76 colunas e uma linha por inscrito: dados cadastrais, local de prova, presença, notas, respostas e o questionário socioeconômico preenchido na inscrição.</w:t>
      </w:r>
    </w:p>
    <w:p>
      <w:pPr>
        <w:spacing w:after="120" w:line="300"/>
        <w:jc w:val="both"/>
      </w:pPr>
      <w:r>
        <w:t xml:space="preserve">Usamos as edições </w:t>
      </w:r>
      <w:r>
        <w:rPr>
          <w:b/>
          <w:bCs/>
        </w:rPr>
        <w:t xml:space="preserve">2022 e 2023</w:t>
      </w:r>
      <w:r>
        <w:t xml:space="preserve">. A de 2023 é a mais recente em que questionário e notas estão no mesmo registro. A partir de 2024, o INEP passou a publicar </w:t>
      </w:r>
      <w:r>
        <w:rPr>
          <w:rFonts w:ascii="Consolas" w:cs="Consolas" w:eastAsia="Consolas" w:hAnsi="Consolas"/>
          <w:sz w:val="20"/>
          <w:szCs w:val="20"/>
        </w:rPr>
        <w:t xml:space="preserve">PARTICIPANTES</w:t>
      </w:r>
      <w:r>
        <w:t xml:space="preserve"> (questionário) e </w:t>
      </w:r>
      <w:r>
        <w:rPr>
          <w:rFonts w:ascii="Consolas" w:cs="Consolas" w:eastAsia="Consolas" w:hAnsi="Consolas"/>
          <w:sz w:val="20"/>
          <w:szCs w:val="20"/>
        </w:rPr>
        <w:t xml:space="preserve">RESULTADOS</w:t>
      </w:r>
      <w:r>
        <w:t xml:space="preserve"> (notas) em arquivos separados que, segundo o próprio Leia-Me, </w:t>
      </w:r>
      <w:r>
        <w:rPr>
          <w:i/>
          <w:iCs/>
        </w:rPr>
        <w:t xml:space="preserve">não possuem chave de ligação em comum</w:t>
      </w:r>
      <w:r>
        <w:t xml:space="preserve">. Isso impede o cruzamento necessário para este problema. Com duas edições, dá para treinar num ano e testar no ano seguinte (Seção 3.1), que é o uso realista do modelo.</w:t>
      </w:r>
    </w:p>
    <w:p>
      <w:pPr>
        <w:spacing w:after="120" w:line="300"/>
        <w:jc w:val="both"/>
      </w:pPr>
      <w:r>
        <w:rPr>
          <w:b/>
          <w:bCs/>
        </w:rPr>
        <w:t xml:space="preserve">Filtragem.</w:t>
      </w:r>
      <w:r>
        <w:t xml:space="preserve"> Mantivemos quem esteve presente nas quatro provas objetivas e tem as cinco notas. Faltantes e eliminados não têm nota média definida, e prever presença seria outro problema. Também removemos registros com nota 0 numa prova objetiva apesar da presença (2.910 em 2022 e 19.501 em 2023), porque a TRI não gera 0 para quem respondeu à prova e esses casos indicam registro anômalo. A </w:t>
      </w:r>
      <w:r>
        <w:rPr>
          <w:b/>
          <w:bCs/>
        </w:rPr>
        <w:t xml:space="preserve">redação 0 foi mantida</w:t>
      </w:r>
      <w:r>
        <w:t xml:space="preserve">: é um resultado legítimo pelas regras (em branco, fuga ao tema, cópia do texto motivador) e atinge 4,2% dos participantes de 2022.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 – </w:t>
      </w:r>
      <w:r>
        <w:rPr>
          <w:sz w:val="18"/>
          <w:szCs w:val="18"/>
        </w:rPr>
        <w:t xml:space="preserve">Funil de registros por edição.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403"/>
        <w:gridCol w:w="1403"/>
        <w:gridCol w:w="1403"/>
        <w:gridCol w:w="1403"/>
      </w:tblGrid>
      <w:tr>
        <w:trPr>
          <w:cantSplit/>
          <w:tblHeader/>
        </w:trPr>
        <w:tc>
          <w:tcPr>
            <w:tcW w:type="dxa" w:w="37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Etapa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2022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% inscritos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2023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% inscritos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Inscritos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3.476.105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100,0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3.933.955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100,0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Presentes nas 4 provas objetivas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2.344.823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67,5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2.678.264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68,1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Com as 5 notas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2.344.823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67,5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2.678.264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68,1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Sem nota objetiva igual a 0 (base final)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2.341.913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67,4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2.658.763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67,6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t xml:space="preserve">2.2 Variáveis de entrada</w:t>
      </w:r>
      <w:bookmarkEnd w:id="5"/>
    </w:p>
    <w:p>
      <w:pPr>
        <w:spacing w:after="120" w:line="300"/>
        <w:jc w:val="both"/>
      </w:pPr>
      <w:r>
        <w:t xml:space="preserve">As entradas seguem os grupos definidos no problema. Todas vêm da ficha de inscrição, preenchida meses antes da prova, ou do local de prova, definido antes do exame. A Tabela 2 resume tipos, codificação e limitações.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2 – </w:t>
      </w:r>
      <w:r>
        <w:rPr>
          <w:sz w:val="18"/>
          <w:szCs w:val="18"/>
        </w:rPr>
        <w:t xml:space="preserve">Variáveis de entrada (todas conhecidas antes da prova).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0"/>
        <w:gridCol w:w="2526"/>
        <w:gridCol w:w="2245"/>
        <w:gridCol w:w="2993"/>
      </w:tblGrid>
      <w:tr>
        <w:trPr>
          <w:cantSplit/>
          <w:tblHeader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Grupo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Variável (microdados)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Tipo / unidade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Limitações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Tipo de escola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TP_ESCOLA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TP_DEPENDENCIA_ADM_ESC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TP_LOCALIZACAO_ESC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nominal (3, 4 e 2 categorias)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TP_ESCOLA</w:t>
            </w:r>
            <w:r>
              <w:rPr>
                <w:sz w:val="16"/>
                <w:szCs w:val="16"/>
              </w:rPr>
              <w:t xml:space="preserve"> só é respondido por concluintes do ano (59% "não respondeu"); campos da escola ausentes para 70%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Situação de conclusão do EM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TP_ST_CONCLUSAO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TP_ANO_CONCLUIU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nominal (4); ordinal, anos desde a conclusão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código 16 harmonizado entre anos (ver texto)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Renda familiar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Q006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ordinal, 17 faixas em salários mínimos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autodeclarada; faixas largas no topo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Escolaridade dos responsáveis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Q001</w:t>
            </w:r>
            <w:r>
              <w:rPr>
                <w:sz w:val="16"/>
                <w:szCs w:val="16"/>
              </w:rPr>
              <w:t xml:space="preserve"> (pai),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Q002</w:t>
            </w:r>
            <w:r>
              <w:rPr>
                <w:sz w:val="16"/>
                <w:szCs w:val="16"/>
              </w:rPr>
              <w:t xml:space="preserve"> (mãe)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ordinal de 7 níveis + "não sei"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"não sei": 8,6% (pai), 2,7% (mãe)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Computador e internet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Q024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Q025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ordinal (0 a 4+); binária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autodeclarada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Município e estado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CO_MUNICIPIO_PROVA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SG_UF_PROVA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nominal (1.747 municípios; 27 UFs)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município da </w:t>
            </w:r>
            <w:r>
              <w:rPr>
                <w:sz w:val="16"/>
                <w:szCs w:val="16"/>
              </w:rPr>
              <w:t xml:space="preserve">prova</w:t>
            </w:r>
            <w:r>
              <w:rPr>
                <w:sz w:val="16"/>
                <w:szCs w:val="16"/>
              </w:rPr>
              <w:t xml:space="preserve">: o de residência foi retirado dos microdados (LGPD)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Características da residência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Q005</w:t>
            </w:r>
            <w:r>
              <w:rPr>
                <w:sz w:val="16"/>
                <w:szCs w:val="16"/>
              </w:rPr>
              <w:t xml:space="preserve"> (moradores);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Q007</w:t>
            </w:r>
            <w:r>
              <w:rPr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Q023</w:t>
            </w:r>
            <w:r>
              <w:rPr>
                <w:sz w:val="16"/>
                <w:szCs w:val="16"/>
              </w:rPr>
              <w:t xml:space="preserve"> (cômodos e bens)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numérica (1–20); ordinais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autodeclaradas; alguns bens perderam sentido (DVD, telefone fixo)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Faixa etária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TP_FAIXA_ETARIA</w:t>
            </w:r>
          </w:p>
        </w:tc>
        <w:tc>
          <w:tcPr>
            <w:tcW w:type="dxa" w:w="22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ordinal, 20 faixas</w:t>
            </w:r>
          </w:p>
        </w:tc>
        <w:tc>
          <w:tcPr>
            <w:tcW w:type="dxa" w:w="2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idade exata retirada pelo INEP (LGPD)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Harmonização entre anos.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TP_ANO_CONCLUIU</w:t>
      </w:r>
      <w:r>
        <w:t xml:space="preserve"> conta os anos entre a conclusão do ensino médio e a prova (1 = ano anterior), mas o último código é "antes de 2007", que vale 16 em 2022 e 17 em 2023. Agrupamos ambos em 16 = "16 anos ou mais", para que cada código signifique a mesma coisa nos dois anos. Sem isso, 82.896 participantes de 2023 teriam uma categoria nunca vista no treino. As faixas de renda (</w:t>
      </w:r>
      <w:r>
        <w:rPr>
          <w:rFonts w:ascii="Consolas" w:cs="Consolas" w:eastAsia="Consolas" w:hAnsi="Consolas"/>
          <w:sz w:val="20"/>
          <w:szCs w:val="20"/>
        </w:rPr>
        <w:t xml:space="preserve">Q006</w:t>
      </w:r>
      <w:r>
        <w:t xml:space="preserve">) são definidas em múltiplos do salário mínimo de cada ano e, por isso, são comparáveis entre edições.</w:t>
      </w:r>
    </w:p>
    <w:p>
      <w:pPr>
        <w:pStyle w:val="Heading3"/>
      </w:pPr>
      <w:r>
        <w:t xml:space="preserve">Variáveis excluídas e risco de vazamento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3 – </w:t>
      </w:r>
      <w:r>
        <w:rPr>
          <w:sz w:val="18"/>
          <w:szCs w:val="18"/>
        </w:rPr>
        <w:t xml:space="preserve">Variáveis deixadas de fora e motivo.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9"/>
        <w:gridCol w:w="5425"/>
      </w:tblGrid>
      <w:tr>
        <w:trPr>
          <w:cantSplit/>
          <w:tblHeader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Variáveis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NU_NOTA_*</w:t>
            </w:r>
            <w:r>
              <w:rPr>
                <w:sz w:val="16"/>
                <w:szCs w:val="16"/>
              </w:rPr>
              <w:t xml:space="preserve"> (as 4 provas e a redação),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NU_NOTA_COMP1–5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compõem o alvo (vazamento direto)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TX_RESPOSTAS_*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TX_GABARITO_*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respostas e gabarito da própria prova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TP_PRESENCA_*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TP_STATUS_REDACAO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só existem depois da prova; usadas apenas no filtro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CO_PROVA_*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cor do caderno, atribuída no dia da prova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TP_SEXO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TP_COR_RACA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conhecidas antes da prova, mas excluídas de propósito para não usar atributos protegidos como preditores; usadas só na auditoria de erro por grupo (Seção 5.3)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Q004</w:t>
            </w:r>
            <w:r>
              <w:rPr>
                <w:sz w:val="16"/>
                <w:szCs w:val="16"/>
              </w:rPr>
              <w:t xml:space="preserve"> (ocupação dos pais),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TP_LINGUA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TP_ESTADO_CIVIL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TP_NACIONALIDADE</w:t>
            </w:r>
          </w:p>
        </w:tc>
        <w:tc>
          <w:tcPr>
            <w:tcW w:type="dxa" w:w="5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conhecidas antes da prova, mas fora do escopo definido; a ocupação dos pais é muito redundante com escolaridade e renda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2.3 Estatísticas descritivas, ausentes, duplicados e anomalias</w:t>
      </w:r>
      <w:bookmarkEnd w:id="6"/>
    </w:p>
    <w:p>
      <w:pPr>
        <w:spacing w:after="120" w:line="300"/>
        <w:jc w:val="both"/>
      </w:pPr>
      <w:r>
        <w:rPr>
          <w:b/>
          <w:bCs/>
        </w:rPr>
        <w:t xml:space="preserve">Ausentes.</w:t>
      </w:r>
      <w:r>
        <w:t xml:space="preserve"> Entre os participantes válidos, o questionário socioeconômico </w:t>
      </w:r>
      <w:r>
        <w:rPr>
          <w:b/>
          <w:bCs/>
        </w:rPr>
        <w:t xml:space="preserve">não tem valores ausentes</w:t>
      </w:r>
      <w:r>
        <w:t xml:space="preserve"> (0% em todas as perguntas, nos dois anos). A ausência que existe é </w:t>
      </w:r>
      <w:r>
        <w:rPr>
          <w:b/>
          <w:bCs/>
        </w:rPr>
        <w:t xml:space="preserve">estrutural</w:t>
      </w:r>
      <w:r>
        <w:t xml:space="preserve">. Os campos da escola (</w:t>
      </w:r>
      <w:r>
        <w:rPr>
          <w:rFonts w:ascii="Consolas" w:cs="Consolas" w:eastAsia="Consolas" w:hAnsi="Consolas"/>
          <w:sz w:val="20"/>
          <w:szCs w:val="20"/>
        </w:rPr>
        <w:t xml:space="preserve">TP_DEPENDENCIA_ADM_ESC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TP_LOCALIZACAO_ESC</w:t>
      </w:r>
      <w:r>
        <w:t xml:space="preserve">) só são preenchidos para quem conclui o ensino médio no ano da prova (70,4% ausentes em 2022). </w:t>
      </w:r>
      <w:r>
        <w:rPr>
          <w:rFonts w:ascii="Consolas" w:cs="Consolas" w:eastAsia="Consolas" w:hAnsi="Consolas"/>
          <w:sz w:val="20"/>
          <w:szCs w:val="20"/>
        </w:rPr>
        <w:t xml:space="preserve">TP_ESCOLA</w:t>
      </w:r>
      <w:r>
        <w:t xml:space="preserve"> é "não respondeu" para todos que já concluíram ou não estão cursando o EM (59,2%). </w:t>
      </w:r>
      <w:r>
        <w:rPr>
          <w:rFonts w:ascii="Consolas" w:cs="Consolas" w:eastAsia="Consolas" w:hAnsi="Consolas"/>
          <w:sz w:val="20"/>
          <w:szCs w:val="20"/>
        </w:rPr>
        <w:t xml:space="preserve">TP_ANO_CONCLUIU</w:t>
      </w:r>
      <w:r>
        <w:t xml:space="preserve"> é "não informado" para 62,3%. Como a ausência depende da situação do participante, e não do acaso, ela foi mantida como </w:t>
      </w:r>
      <w:r>
        <w:rPr>
          <w:b/>
          <w:bCs/>
        </w:rPr>
        <w:t xml:space="preserve">categoria própria</w:t>
      </w:r>
      <w:r>
        <w:t xml:space="preserve"> em vez de imputada: o modelo pode usar o fato de o campo estar vazio.</w:t>
      </w:r>
    </w:p>
    <w:p>
      <w:pPr>
        <w:spacing w:after="120" w:line="300"/>
        <w:jc w:val="both"/>
      </w:pPr>
      <w:r>
        <w:rPr>
          <w:b/>
          <w:bCs/>
        </w:rPr>
        <w:t xml:space="preserve">Duplicados.</w:t>
      </w:r>
      <w:r>
        <w:t xml:space="preserve"> Não há linhas duplicadas considerando entradas e as cinco notas (0 casos). Apenas 0,7% dos participantes repetem exatamente o perfil de entrada de outro, porque o questionário tem muitas combinações possíveis. Nos 498 perfis repetidos com 5 ou mais pessoas, o desvio-padrão da nota entre pessoas </w:t>
      </w:r>
      <w:r>
        <w:rPr>
          <w:b/>
          <w:bCs/>
        </w:rPr>
        <w:t xml:space="preserve">idênticas para o modelo</w:t>
      </w:r>
      <w:r>
        <w:t xml:space="preserve"> é de 72,6 pontos. Isso é um sinal direto de erro irredutível alto: nenhum modelo baseado nessas entradas acerta notas diferentes para entradas iguais.</w:t>
      </w:r>
    </w:p>
    <w:p>
      <w:pPr>
        <w:spacing w:after="120" w:line="300"/>
        <w:jc w:val="both"/>
      </w:pPr>
      <w:r>
        <w:rPr>
          <w:b/>
          <w:bCs/>
        </w:rPr>
        <w:t xml:space="preserve">Anomalias.</w:t>
      </w:r>
      <w:r>
        <w:t xml:space="preserve"> Além dos registros com nota objetiva 0, já removidos, só ~0,5% das notas médias fica fora de 1,5·IQR. São notas reais (redação 0 puxando a média para baixo; notas máximas) e foram mantidas. A Figura 1 mostra como a nota média varia com as principais entradas.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800350"/>
            <wp:effectExtent t="0" r="0" b="0" l="0"/>
            <wp:docPr id="1" name="eda_media_por_categoria.png" descr="Nota média por categoria das principais entradas (2022). A linha cinza é a média geral (543,7). Renda, computadores e escolaridade da mãe têm relação quase monotônica com a nota; &quot;não sei&quot; (H) na escolaridade da mãe fica abaixo de todos os níveis, menos &quot;nunca estudou&quot;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 – </w:t>
      </w:r>
      <w:r>
        <w:rPr>
          <w:sz w:val="18"/>
          <w:szCs w:val="18"/>
        </w:rPr>
        <w:t xml:space="preserve">Nota média por categoria das principais entradas (2022). A linha cinza é a média geral (543,7). Renda, computadores e escolaridade da mãe têm relação quase monotônica com a nota; "não sei" (H) na escolaridade da mãe fica abaixo de todos os níveis, menos "nunca estudou".</w:t>
      </w:r>
    </w:p>
    <w:p>
      <w:pPr>
        <w:spacing w:after="120" w:line="300"/>
        <w:jc w:val="both"/>
      </w:pPr>
      <w:r>
        <w:t xml:space="preserve">Para comparar a força de cada entrada isolada, usamos a </w:t>
      </w:r>
      <w:r>
        <w:rPr>
          <w:b/>
          <w:bCs/>
        </w:rPr>
        <w:t xml:space="preserve">razão de correlação η²</w:t>
      </w:r>
      <w:r>
        <w:t xml:space="preserve">, a fração da variância do alvo explicada pelas médias por categoria (Figura 2). A renda familiar (0,22), o número de computadores (0,19) e a escolaridade do pai e da mãe (0,14) lideram; o município da prova (0,10) vem logo depois e explica o dobro da UF (0,05), porque a nota varia em média 75 pontos entre municípios de uma mesma UF. A situação de conclusão sozinha explica quase nada (0,004), mas interage com outras variáveis: é ela que define se os campos da escola existem.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629150" cy="2724150"/>
            <wp:effectExtent t="0" r="0" b="0" l="0"/>
            <wp:docPr id="2" name="eda_eta2.png" descr="Razão de correlação η² entre cada entrada e a nota média (2022). Medida univariada: não considera redundância entre variáveis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 – </w:t>
      </w:r>
      <w:r>
        <w:rPr>
          <w:sz w:val="18"/>
          <w:szCs w:val="18"/>
        </w:rPr>
        <w:t xml:space="preserve">Razão de correlação η² entre cada entrada e a nota média (2022). Medida univariada: não considera redundância entre variáveis.</w:t>
      </w:r>
    </w:p>
    <w:p>
      <w:pPr>
        <w:pStyle w:val="Heading2"/>
      </w:pPr>
      <w:bookmarkStart w:name="_Toc7" w:id="7"/>
      <w:r>
        <w:t xml:space="preserve">2.4 Distribuição da variável alvo</w:t>
      </w:r>
      <w:bookmarkEnd w:id="7"/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4 – </w:t>
      </w:r>
      <w:r>
        <w:rPr>
          <w:sz w:val="18"/>
          <w:szCs w:val="18"/>
        </w:rPr>
        <w:t xml:space="preserve">Estatísticas da nota média (pontos).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3"/>
        <w:gridCol w:w="2526"/>
        <w:gridCol w:w="2525"/>
      </w:tblGrid>
      <w:tr>
        <w:trPr>
          <w:cantSplit/>
          <w:tblHeader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Estatística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2022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Participantes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2.341.913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2.658.763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Média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543,7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542,4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Desvio-padrão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87,7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93,0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Mínimo / máximo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254,6 / 856,0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246,4 / 862,6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Percentis 1 / 25 / 50 / 75 / 99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332 / 485 / 541 / 602 / 750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326 / 477 / 540 / 607 / 753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Assimetria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0,05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0,04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Curtose (excesso)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−0,06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−0,27</w:t>
            </w:r>
          </w:p>
        </w:tc>
      </w:tr>
      <w:tr>
        <w:trPr>
          <w:cantSplit/>
        </w:trPr>
        <w:tc>
          <w:tcPr>
            <w:tcW w:type="dxa" w:w="43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% fora de 1,5·IQR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0,47</w:t>
            </w:r>
          </w:p>
        </w:tc>
        <w:tc>
          <w:tcPr>
            <w:tcW w:type="dxa" w:w="2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0,13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 alvo é </w:t>
      </w:r>
      <w:r>
        <w:rPr>
          <w:b/>
          <w:bCs/>
        </w:rPr>
        <w:t xml:space="preserve">unimodal e quase simétrico</w:t>
      </w:r>
      <w:r>
        <w:t xml:space="preserve"> (Figura 3), com faixa de ~250 a ~860 pontos. Por isso não foi preciso transformar o alvo (log, Box-Cox); bastou padronizá-lo para o treino. A dispersão de 2023 é maior (93,0 contra 87,7 pontos), o que, por si só, tende a aumentar o RMSE no teste de 2023.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048250" cy="2247900"/>
            <wp:effectExtent t="0" r="0" b="0" l="0"/>
            <wp:docPr id="3" name="eda_alvo_hist.png" descr="Distribuição da nota média em 2022 e 2023 (linhas verticais = médias)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3 – </w:t>
      </w:r>
      <w:r>
        <w:rPr>
          <w:sz w:val="18"/>
          <w:szCs w:val="18"/>
        </w:rPr>
        <w:t xml:space="preserve">Distribuição da nota média em 2022 e 2023 (linhas verticais = médias).</w:t>
      </w:r>
    </w:p>
    <w:p>
      <w:pPr>
        <w:spacing w:after="120" w:line="300"/>
        <w:jc w:val="both"/>
      </w:pPr>
      <w:r>
        <w:rPr>
          <w:b/>
          <w:bCs/>
        </w:rPr>
        <w:t xml:space="preserve">Por que a média das cinco notas?</w:t>
      </w:r>
      <w:r>
        <w:t xml:space="preserve"> As notas das cinco provas têm correlação positiva entre si, de 0,43 (CN × Redação) a 0,74 (CH × LC). Isso indica um fator comum de desempenho, que a média resume e que é o principal critério de seleção no SiSU. A redação é a nota mais "ruidosa" (discreta, em múltiplos de 20, com massa em 0; Figura 4) e pesa 20% no alvo.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1285875"/>
            <wp:effectExtent t="0" r="0" b="0" l="0"/>
            <wp:docPr id="4" name="eda_notas_por_prova.png" descr="Distribuição de cada nota em 2022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4 – </w:t>
      </w:r>
      <w:r>
        <w:rPr>
          <w:sz w:val="18"/>
          <w:szCs w:val="18"/>
        </w:rPr>
        <w:t xml:space="preserve">Distribuição de cada nota em 2022.</w:t>
      </w:r>
    </w:p>
    <w:p>
      <w:pPr>
        <w:pStyle w:val="Heading2"/>
      </w:pPr>
      <w:bookmarkStart w:name="_Toc8" w:id="8"/>
      <w:r>
        <w:t xml:space="preserve">2.5 Mudança de distribuição entre 2022 e 2023</w:t>
      </w:r>
      <w:bookmarkEnd w:id="8"/>
    </w:p>
    <w:p>
      <w:pPr>
        <w:spacing w:after="120" w:line="300"/>
        <w:jc w:val="both"/>
      </w:pPr>
      <w:r>
        <w:t xml:space="preserve">As médias quase não mudam entre os anos (nota média −1,3 ponto; Matemática −5,4; CN +2,8), e as entradas também são estáveis: a maior distância de variação total entre as distribuições de uma entrada em 2022 e 2023 é 0,06 (computadores), seguida da renda (0,05; Figura 5). Ou seja, o teste de 2023 mede principalmente se o </w:t>
      </w:r>
      <w:r>
        <w:rPr>
          <w:b/>
          <w:bCs/>
        </w:rPr>
        <w:t xml:space="preserve">mapeamento perfil → nota</w:t>
      </w:r>
      <w:r>
        <w:t xml:space="preserve"> se mantém, e não uma mudança forte na população.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048250" cy="2305050"/>
            <wp:effectExtent t="0" r="0" b="0" l="0"/>
            <wp:docPr id="5" name="eda_renda_2022_2023.png" descr="Distribuição da renda familiar declarada (Q006) em 2022 e 2023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5 – </w:t>
      </w:r>
      <w:r>
        <w:rPr>
          <w:sz w:val="18"/>
          <w:szCs w:val="18"/>
        </w:rPr>
        <w:t xml:space="preserve">Distribuição da renda familiar declarada (Q006) em 2022 e 2023.</w:t>
      </w:r>
    </w:p>
    <w:p>
      <w:pPr>
        <w:pStyle w:val="Heading1"/>
      </w:pPr>
      <w:bookmarkStart w:name="_Toc9" w:id="9"/>
      <w:r>
        <w:t xml:space="preserve">3. Metodologia</w:t>
      </w:r>
      <w:bookmarkEnd w:id="9"/>
    </w:p>
    <w:p>
      <w:pPr>
        <w:pStyle w:val="Heading2"/>
      </w:pPr>
      <w:bookmarkStart w:name="_Toc10" w:id="10"/>
      <w:r>
        <w:t xml:space="preserve">3.1 Separação entre treino, validação e teste</w:t>
      </w:r>
      <w:bookmarkEnd w:id="10"/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5 – </w:t>
      </w:r>
      <w:r>
        <w:rPr>
          <w:sz w:val="18"/>
          <w:szCs w:val="18"/>
        </w:rPr>
        <w:t xml:space="preserve">Partições usadas.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1871"/>
        <w:gridCol w:w="1590"/>
        <w:gridCol w:w="4490"/>
      </w:tblGrid>
      <w:tr>
        <w:trPr>
          <w:cantSplit/>
          <w:tblHeader/>
        </w:trPr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Partição</w:t>
            </w:r>
          </w:p>
        </w:tc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Origem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Participantes</w:t>
            </w:r>
          </w:p>
        </w:tc>
        <w:tc>
          <w:tcPr>
            <w:tcW w:type="dxa" w:w="44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Treino</w:t>
            </w:r>
          </w:p>
        </w:tc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ENEM 2022 (80%)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1.873.529</w:t>
            </w:r>
          </w:p>
        </w:tc>
        <w:tc>
          <w:tcPr>
            <w:tcW w:type="dxa" w:w="44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ajuste dos pesos e de todo o pré-processamento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Validação</w:t>
            </w:r>
          </w:p>
        </w:tc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ENEM 2022 (10%)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234.192</w:t>
            </w:r>
          </w:p>
        </w:tc>
        <w:tc>
          <w:tcPr>
            <w:tcW w:type="dxa" w:w="44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early stopping, LR scheduler, Optuna e seleção de modelos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Teste-2022</w:t>
            </w:r>
          </w:p>
        </w:tc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ENEM 2022 (10%)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234.192</w:t>
            </w:r>
          </w:p>
        </w:tc>
        <w:tc>
          <w:tcPr>
            <w:tcW w:type="dxa" w:w="44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desempenho no mesmo ano (avaliado uma vez, no fim)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Teste-2023</w:t>
            </w:r>
          </w:p>
        </w:tc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ENEM 2023 (100%)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2.658.763</w:t>
            </w:r>
          </w:p>
        </w:tc>
        <w:tc>
          <w:tcPr>
            <w:tcW w:type="dxa" w:w="44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desempenho no ano seguinte (avaliado uma vez, no fim)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A divisão de 2022 é aleatória e </w:t>
      </w:r>
      <w:r>
        <w:rPr>
          <w:b/>
          <w:bCs/>
        </w:rPr>
        <w:t xml:space="preserve">estratificada por decis do alvo</w:t>
      </w:r>
      <w:r>
        <w:t xml:space="preserve"> (semente 42), para que as três partes tenham a mesma distribuição de notas. Cada participante aparece uma única vez nos microdados, então não há o mesmo indivíduo em duas partições. Consideramos dividir por município, como o enunciado sugere para unidades com várias observações, mas aqui o município é uma </w:t>
      </w:r>
      <w:r>
        <w:rPr>
          <w:b/>
          <w:bCs/>
        </w:rPr>
        <w:t xml:space="preserve">característica de entrada</w:t>
      </w:r>
      <w:r>
        <w:t xml:space="preserve">, não uma unidade medida repetidamente. Dividir por município responderia a outra pergunta (prever para municípios nunca vistos) e impediria o modelo de aprender o efeito municipal, que é uma das entradas pedidas. A verificação de generalização mais forte é o </w:t>
      </w:r>
      <w:r>
        <w:rPr>
          <w:b/>
          <w:bCs/>
        </w:rPr>
        <w:t xml:space="preserve">teste temporal</w:t>
      </w:r>
      <w:r>
        <w:t xml:space="preserve">: o modelo nunca vê 2023 e é avaliado em todos os 2,66 milhões de participantes daquele ano. Municípios com menos de 30 participantes no treino, e os que aparecem só em 2023 (1.478 participantes), caem numa categoria "raro/novo".</w:t>
      </w:r>
    </w:p>
    <w:p>
      <w:pPr>
        <w:pStyle w:val="Heading2"/>
      </w:pPr>
      <w:bookmarkStart w:name="_Toc11" w:id="11"/>
      <w:r>
        <w:t xml:space="preserve">3.2 Pré-processamento</w:t>
      </w:r>
      <w:bookmarkEnd w:id="11"/>
    </w:p>
    <w:p>
      <w:pPr>
        <w:spacing w:after="120" w:line="300"/>
        <w:jc w:val="both"/>
      </w:pPr>
      <w:r>
        <w:t xml:space="preserve">Todos os parâmetros de transformação foram </w:t>
      </w:r>
      <w:r>
        <w:rPr>
          <w:b/>
          <w:bCs/>
        </w:rPr>
        <w:t xml:space="preserve">estimados só no treino</w:t>
      </w:r>
      <w:r>
        <w:t xml:space="preserve"> e depois aplicados à validação e aos testes: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Categóricas (29 variáveis) → one-hot</w:t>
      </w:r>
      <w:r>
        <w:t xml:space="preserve">, 191 colunas no total. Ausência e "não sei" são categorias próprias. Uma categoria nunca vista no treino vira um bloco de zeros (não ocorreu depois da harmonização). Preferimos one-hot a codificação ordinal porque várias variáveis misturam níveis ordenados com respostas não ordenáveis ("não sei", "não respondeu") e porque a MLP pode aprender efeitos não monotônicos (Figura 1, escolaridade da mãe). O custo é pequeno: 191 colunas.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Numérica (`Q005`, nº de moradores) → z-score</w:t>
      </w:r>
      <w:r>
        <w:t xml:space="preserve"> com média e desvio do treino, mais um indicador de ausência (2 colunas).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Município → índice inteiro → camada de embedding.</w:t>
      </w:r>
      <w:r>
        <w:t xml:space="preserve"> Com 1.742 índices, o one-hot seria uma matriz quase toda de zeros. Um embedding de dimensão </w:t>
      </w:r>
      <w:r>
        <w:rPr>
          <w:i/>
          <w:iCs/>
        </w:rPr>
        <w:t xml:space="preserve">d</w:t>
      </w:r>
      <w:r>
        <w:t xml:space="preserve"> é matematicamente uma camada linear sem viés aplicada ao one-hot do município, ou seja, continua sendo uma MLP. </w:t>
      </w:r>
      <w:r>
        <w:rPr>
          <w:i/>
          <w:iCs/>
        </w:rPr>
        <w:t xml:space="preserve">d</w:t>
      </w:r>
      <w:r>
        <w:t xml:space="preserve"> é um hiperparâmetro (0 a 32; 0 = sem município).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Alvo → z-score</w:t>
      </w:r>
      <w:r>
        <w:t xml:space="preserve"> (μ = 543,72; σ = 87,74 no treino). As métricas são sempre calculadas depois de desfazer a padronização, em pontos.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Desbalanceamento:</w:t>
      </w:r>
      <w:r>
        <w:t xml:space="preserve"> não se aplica (regressão). A estratificação por decis garante a mesma distribuição de notas em treino, validação e teste-2022.</w:t>
      </w:r>
    </w:p>
    <w:p>
      <w:pPr>
        <w:spacing w:after="120" w:line="300"/>
        <w:jc w:val="both"/>
      </w:pPr>
      <w:r>
        <w:t xml:space="preserve">Para economizar memória, o one-hot não é materializado (1,87 milhão × 191 floats ≈ 1,4 GB). Guardamos só a posição do "1" de cada variável, e o vetor one-hot é montado na GPU dentro do </w:t>
      </w:r>
      <w:r>
        <w:rPr>
          <w:rFonts w:ascii="Consolas" w:cs="Consolas" w:eastAsia="Consolas" w:hAnsi="Consolas"/>
          <w:sz w:val="20"/>
          <w:szCs w:val="20"/>
        </w:rPr>
        <w:t xml:space="preserve">forward</w:t>
      </w:r>
      <w:r>
        <w:t xml:space="preserve">. O resultado é idêntico ao one-hot convencional.</w:t>
      </w:r>
    </w:p>
    <w:p>
      <w:pPr>
        <w:pStyle w:val="Heading2"/>
      </w:pPr>
      <w:bookmarkStart w:name="_Toc12" w:id="12"/>
      <w:r>
        <w:t xml:space="preserve">3.3 Arquitetura</w:t>
      </w:r>
      <w:bookmarkEnd w:id="12"/>
    </w:p>
    <w:p>
      <w:pPr>
        <w:spacing w:after="120" w:line="300"/>
        <w:jc w:val="both"/>
      </w:pPr>
      <w:r>
        <w:t xml:space="preserve">A Figura 6 mostra a MLP. A entrada concatena o one-hot (191), as numéricas (2) e o embedding do município (</w:t>
      </w:r>
      <w:r>
        <w:rPr>
          <w:i/>
          <w:iCs/>
        </w:rPr>
        <w:t xml:space="preserve">d</w:t>
      </w:r>
      <w:r>
        <w:t xml:space="preserve">). Seguem </w:t>
      </w:r>
      <w:r>
        <w:rPr>
          <w:i/>
          <w:iCs/>
        </w:rPr>
        <w:t xml:space="preserve">L</w:t>
      </w:r>
      <w:r>
        <w:t xml:space="preserve"> blocos ocultos, cada um com Linear → normalização opcional (BatchNorm ou LayerNorm) → ativação (ReLU, GELU ou SiLU) → Dropout. A saída é </w:t>
      </w:r>
      <w:r>
        <w:rPr>
          <w:b/>
          <w:bCs/>
        </w:rPr>
        <w:t xml:space="preserve">uma camada linear com um neurônio e sem ativação</w:t>
      </w:r>
      <w:r>
        <w:t xml:space="preserve">, como é adequado para regressão sem limites rígidos (a nota pode ir de ~250 a ~860). Com </w:t>
      </w:r>
      <w:r>
        <w:rPr>
          <w:i/>
          <w:iCs/>
        </w:rPr>
        <w:t xml:space="preserve">L</w:t>
      </w:r>
      <w:r>
        <w:t xml:space="preserve"> = 0 o modelo vira uma </w:t>
      </w:r>
      <w:r>
        <w:rPr>
          <w:b/>
          <w:bCs/>
        </w:rPr>
        <w:t xml:space="preserve">regressão linear</w:t>
      </w:r>
      <w:r>
        <w:t xml:space="preserve"> sobre as mesmas entradas, que usamos como referência. A largura pode ser constante ou em "funil" (cada camada com metade da anterior).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143125"/>
            <wp:effectExtent t="0" r="0" b="0" l="0"/>
            <wp:docPr id="6" name="arquitetura.png" descr="Arquitetura da MLP. O bloco oculto é repetido L vezes; normalização, ativação, dropout, L, largura e d são hiperparâmetros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6 – </w:t>
      </w:r>
      <w:r>
        <w:rPr>
          <w:sz w:val="18"/>
          <w:szCs w:val="18"/>
        </w:rPr>
        <w:t xml:space="preserve">Arquitetura da MLP. O bloco oculto é repetido L vezes; normalização, ativação, dropout, L, largura e d são hiperparâmetros.</w:t>
      </w:r>
    </w:p>
    <w:p>
      <w:pPr>
        <w:pStyle w:val="Heading2"/>
      </w:pPr>
      <w:bookmarkStart w:name="_Toc13" w:id="13"/>
      <w:r>
        <w:t xml:space="preserve">3.4 Treinamento</w:t>
      </w:r>
      <w:bookmarkEnd w:id="13"/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Perda:</w:t>
      </w:r>
      <w:r>
        <w:t xml:space="preserve"> erro quadrático médio (MSE) no alvo padronizado, mais penalidades explícitas λ₁‖W‖₁ e λ₂‖W‖₂² sobre os pesos das camadas lineares (sem penalizar vieses, normalização e embedding). Penalidades explícitas, em vez do </w:t>
      </w:r>
      <w:r>
        <w:rPr>
          <w:rFonts w:ascii="Consolas" w:cs="Consolas" w:eastAsia="Consolas" w:hAnsi="Consolas"/>
          <w:sz w:val="20"/>
          <w:szCs w:val="20"/>
        </w:rPr>
        <w:t xml:space="preserve">weight_decay</w:t>
      </w:r>
      <w:r>
        <w:t xml:space="preserve"> do otimizador, deixam L1 e L2 comparáveis entre si.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Otimizador:</w:t>
      </w:r>
      <w:r>
        <w:t xml:space="preserve"> Adam, com lotes embaralhados a cada época.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Taxa de aprendizado: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ReduceLROnPlateau</w:t>
      </w:r>
      <w:r>
        <w:t xml:space="preserve"> (multiplica por 0,5 quando a validação não melhora por 2 épocas) nos experimentos de busca e nos modelos finais. Nos estudos controlados de capacidade e regularização, a taxa é </w:t>
      </w:r>
      <w:r>
        <w:rPr>
          <w:b/>
          <w:bCs/>
        </w:rPr>
        <w:t xml:space="preserve">constante</w:t>
      </w:r>
      <w:r>
        <w:t xml:space="preserve">, para que a redução da taxa não mascare o overfitting.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Early stopping:</w:t>
      </w:r>
      <w:r>
        <w:t xml:space="preserve"> paciência de 5 épocas (4 no Optuna) sobre o RMSE de validação, com tolerância de 0,001 ponto, </w:t>
      </w:r>
      <w:r>
        <w:rPr>
          <w:b/>
          <w:bCs/>
        </w:rPr>
        <w:t xml:space="preserve">restaurando os pesos da melhor época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Curvas de treino:</w:t>
      </w:r>
      <w:r>
        <w:t xml:space="preserve"> a cada época, o RMSE de treino é medido em modo de avaliação numa amostra fixa de 100 mil exemplos do treino. Assim dropout e BatchNorm não distorcem a comparação treino × validação.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Hardware:</w:t>
      </w:r>
      <w:r>
        <w:t xml:space="preserve"> Mac com chip Apple M2 (8 núcleos, 16 GB de memória unificada), PyTorch 2.14 com GPU via MPS. Os dados ficam inteiros na GPU.</w:t>
      </w:r>
    </w:p>
    <w:p>
      <w:pPr>
        <w:pStyle w:val="Heading2"/>
      </w:pPr>
      <w:bookmarkStart w:name="_Toc14" w:id="14"/>
      <w:r>
        <w:t xml:space="preserve">3.5 Métricas</w:t>
      </w:r>
      <w:bookmarkEnd w:id="14"/>
    </w:p>
    <w:p>
      <w:pPr>
        <w:spacing w:after="120" w:line="300"/>
        <w:jc w:val="both"/>
      </w:pPr>
      <w:r>
        <w:t xml:space="preserve">A </w:t>
      </w:r>
      <w:r>
        <w:rPr>
          <w:b/>
          <w:bCs/>
        </w:rPr>
        <w:t xml:space="preserve">métrica principal é o RMSE</w:t>
      </w:r>
      <w:r>
        <w:t xml:space="preserve"> (raiz do erro quadrático médio), em pontos: está na unidade do alvo, penaliza mais os erros grandes e é coerente com a perda MSE usada no treino. Complementamos com o </w:t>
      </w:r>
      <w:r>
        <w:rPr>
          <w:b/>
          <w:bCs/>
        </w:rPr>
        <w:t xml:space="preserve">MAE</w:t>
      </w:r>
      <w:r>
        <w:t xml:space="preserve"> (erro absoluto médio, o erro "típico" em pontos, menos sensível a extremos), o </w:t>
      </w:r>
      <w:r>
        <w:rPr>
          <w:b/>
          <w:bCs/>
        </w:rPr>
        <w:t xml:space="preserve">R²</w:t>
      </w:r>
      <w:r>
        <w:t xml:space="preserve"> (fração da variância explicada, comparável ao η² da Seção 2.3) e o </w:t>
      </w:r>
      <w:r>
        <w:rPr>
          <w:b/>
          <w:bCs/>
        </w:rPr>
        <w:t xml:space="preserve">viés</w:t>
      </w:r>
      <w:r>
        <w:t xml:space="preserve"> (erro médio: previsto − real), importante no teste temporal. Referência: prever sempre a média do treino dá RMSE ≈ desvio-padrão do alvo, ou seja, ~88 pontos em 2022 e ~93 em 2023.</w:t>
      </w:r>
    </w:p>
    <w:p>
      <w:pPr>
        <w:pStyle w:val="Heading2"/>
      </w:pPr>
      <w:bookmarkStart w:name="_Toc15" w:id="15"/>
      <w:r>
        <w:t xml:space="preserve">3.6 Protocolo experimental</w:t>
      </w:r>
      <w:bookmarkEnd w:id="15"/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6 – </w:t>
      </w:r>
      <w:r>
        <w:rPr>
          <w:sz w:val="18"/>
          <w:szCs w:val="18"/>
        </w:rPr>
        <w:t xml:space="preserve">Experimentos realizados (todos com a mesma divisão de dados e o mesmo pré-processamento).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2806"/>
        <w:gridCol w:w="1684"/>
        <w:gridCol w:w="3367"/>
      </w:tblGrid>
      <w:tr>
        <w:trPr>
          <w:cantSplit/>
          <w:tblHeader/>
        </w:trPr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Exp.</w:t>
            </w:r>
          </w:p>
        </w:tc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Pergunta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Dados de treino</w:t>
            </w:r>
          </w:p>
        </w:tc>
        <w:tc>
          <w:tcPr>
            <w:tcW w:type="dxa" w:w="33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E1 – Capacidade</w:t>
            </w:r>
          </w:p>
        </w:tc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Como profundidade e largura afetam erro, overfitting e custo?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20 mil e 500 mil exemplos (amostras fixas)</w:t>
            </w:r>
          </w:p>
        </w:tc>
        <w:tc>
          <w:tcPr>
            <w:tcW w:type="dxa" w:w="33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 ∈ {0,1,2,3,4,6} × largura ∈ {32,128,512}; sem regularização; LR constante 10⁻³; 120 / 30 épocas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E2 – Regularização</w:t>
            </w:r>
          </w:p>
        </w:tc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Qual estratégia controla o overfitting e a que custo?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20 mil e 500 mil</w:t>
            </w:r>
          </w:p>
        </w:tc>
        <w:tc>
          <w:tcPr>
            <w:tcW w:type="dxa" w:w="33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MLP 4×512; 11 variantes, cada uma muda uma coisa: early stopping, dropout, L1, L2, BatchNorm, LayerNorm, combinação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E3 – Optuna</w:t>
            </w:r>
          </w:p>
        </w:tc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Qual combinação de hiperparâmetros minimiza o RMSE de validação?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400 mil (validação: 100 mil)</w:t>
            </w:r>
          </w:p>
        </w:tc>
        <w:tc>
          <w:tcPr>
            <w:tcW w:type="dxa" w:w="33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TPE multivariado + poda por mediana; 60 trials; 10 hiperparâmetros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E4 – Modelos finais</w:t>
            </w:r>
          </w:p>
        </w:tc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As 3 arquiteturas selecionadas generalizam para o teste e para 2023? A que custo?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1,87 milhão (completo)</w:t>
            </w:r>
          </w:p>
        </w:tc>
        <w:tc>
          <w:tcPr>
            <w:tcW w:type="dxa" w:w="33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3 sementes por modelo; referências: média e regressão linear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E1 e E2 usam duas escalas de treino de propósito. Com 20 mil exemplos, a capacidade da rede supera em muito a informação disponível e o overfitting fica evidente. Com 500 mil, aparece o regime em que estão os modelos finais. Os dois experimentos usam uma amostra fixa de 100 mil exemplos da validação.</w:t>
      </w:r>
    </w:p>
    <w:p>
      <w:pPr>
        <w:pStyle w:val="Heading1"/>
      </w:pPr>
      <w:bookmarkStart w:name="_Toc16" w:id="16"/>
      <w:r>
        <w:t xml:space="preserve">4. Resultados de validação e seleção dos modelos</w:t>
      </w:r>
      <w:bookmarkEnd w:id="16"/>
    </w:p>
    <w:p>
      <w:pPr>
        <w:pStyle w:val="Heading2"/>
      </w:pPr>
      <w:bookmarkStart w:name="_Toc17" w:id="17"/>
      <w:r>
        <w:t xml:space="preserve">4.1 Profundidade e largura (E1)</w:t>
      </w:r>
      <w:bookmarkEnd w:id="17"/>
    </w:p>
    <w:p>
      <w:pPr>
        <w:spacing w:after="120" w:line="300"/>
        <w:jc w:val="both"/>
      </w:pPr>
      <w:r>
        <w:t xml:space="preserve">A Tabela 7 resume as 32 redes da grade. Lembrando o protocolo: nenhuma regularização, LR constante e todas as épocas treinadas. A coluna "melhor" é o RMSE de validação na melhor época (o que o early stopping devolveria); "final" é o RMSE na última época.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7 – </w:t>
      </w:r>
      <w:r>
        <w:rPr>
          <w:sz w:val="18"/>
          <w:szCs w:val="18"/>
        </w:rPr>
        <w:t xml:space="preserve">Grade de capacidade (validação: 100 mil exemplos de 2022). RMSE em pontos.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1122"/>
        <w:gridCol w:w="1122"/>
        <w:gridCol w:w="842"/>
        <w:gridCol w:w="1029"/>
        <w:gridCol w:w="1029"/>
        <w:gridCol w:w="1029"/>
        <w:gridCol w:w="1122"/>
        <w:gridCol w:w="1217"/>
      </w:tblGrid>
      <w:tr>
        <w:trPr>
          <w:cantSplit/>
          <w:tblHeader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Treino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Arquitetura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Parâmetros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Melhor época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Val. (melhor)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Treino (final)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Val. (final)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Gap final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s/época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linear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28.082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66,85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73,22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6,37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0,06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34.625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70,56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46,13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86,20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40,07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0,09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54.881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70,56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21,03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99,57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78,54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0,10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135.905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8,80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92,99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84,19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0,11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35.681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70,62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40,65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90,10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49,45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0,11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71.393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8,59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99,56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90,98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0,13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398.561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70,88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8,46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81,33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72,88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0,18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36.737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38,40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91,09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52,69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0,13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87.905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8,79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94,15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85,36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0,15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661.217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6,46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78,92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72,46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0,24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37.793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37,22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92,66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55,43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0,16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104.417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8,93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90,39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81,46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0,18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923.873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11,44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80,96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69,53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0,31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39.905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70,80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37,18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94,09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56,90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0,20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137.441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70,80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9,30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88,80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79,50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0,24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1.449.185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71,25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4,78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80,64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75,86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0,86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linear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28.082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70,10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69,94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70,11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0,17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0,18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34.625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68,99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67,98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69,07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1,08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0,27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54.881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66,68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69,48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2,81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0,29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135.905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69,07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63,01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71,54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8,54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0,65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35.681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67,83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69,17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1,34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0,32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71.393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65,14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70,69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5,55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0,38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398.561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47,33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80,74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33,41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1,30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36.737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67,80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1,28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0,42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87.905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64,33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71,14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6,81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0,51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661.217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69,29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37,68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85,03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47,34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1,98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37.793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68,98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67,86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69,03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1,17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0,48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104.417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69,07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63,39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71,59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8,21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0,60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923.873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69,22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34,93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84,51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49,58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2,79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 × 32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39.905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68,94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67,95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69,01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1,06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0,61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 × 128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137.441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63,92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71,38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7,46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0,74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 × 512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1.449.185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35,03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84,64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49,61</w:t>
            </w:r>
          </w:p>
        </w:tc>
        <w:tc>
          <w:tcPr>
            <w:tcW w:type="dxa" w:w="12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4,13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1) No melhor ponto, a arquitetura importa pouco.</w:t>
      </w:r>
      <w:r>
        <w:t xml:space="preserve"> Com 500 mil exemplos, todas as MLPs ficam entre 68,94 e 69,29 pontos de RMSE de validação (Figura 7), contra 70,10 da regressão linear. Ou seja, </w:t>
      </w:r>
      <w:r>
        <w:rPr>
          <w:b/>
          <w:bCs/>
        </w:rPr>
        <w:t xml:space="preserve">uma única camada oculta já captura quase todo o ganho da não linearidade</w:t>
      </w:r>
      <w:r>
        <w:t xml:space="preserve"> (~1,2 ponto). Esse ganho vem de interações entre as entradas (por exemplo, o efeito da renda depende da UF e do tipo de escola), que um modelo aditivo não representa. Aprofundar ou alargar a rede não ajuda: a largura 512 fica sistematicamente um pouco pior que 32 e 128.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1876425"/>
            <wp:effectExtent t="0" r="0" b="0" l="0"/>
            <wp:docPr id="7" name="cap_melhor_val.png" descr="RMSE de validação na melhor época por número de camadas ocultas e largura. 0 camadas = regressão linear (mesmo ponto para as três larguras)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7 – </w:t>
      </w:r>
      <w:r>
        <w:rPr>
          <w:sz w:val="18"/>
          <w:szCs w:val="18"/>
        </w:rPr>
        <w:t xml:space="preserve">RMSE de validação na melhor época por número de camadas ocultas e largura. 0 camadas = regressão linear (mesmo ponto para as três larguras).</w:t>
      </w:r>
    </w:p>
    <w:p>
      <w:pPr>
        <w:spacing w:after="120" w:line="300"/>
        <w:jc w:val="both"/>
      </w:pPr>
      <w:r>
        <w:rPr>
          <w:b/>
          <w:bCs/>
        </w:rPr>
        <w:t xml:space="preserve">2) Quantidade de dados importa mais que capacidade.</w:t>
      </w:r>
      <w:r>
        <w:t xml:space="preserve"> Passar de 20 mil para 500 mil exemplos reduz o melhor RMSE de 70,56 (1×32) para 68,94 (6×32), mais do que qualquer mudança de arquitetura dentro de uma mesma escala. Isso condiz com a Seção 2.3: o sinal disponível é limitado e ruidoso (desvio de ~73 pontos entre pessoas com o mesmo perfil), e mais exemplos ajudam a estimar melhor as médias condicionais, sobretudo as dos 1,7 mil municípios no embedding.</w:t>
      </w:r>
    </w:p>
    <w:p>
      <w:pPr>
        <w:spacing w:after="120" w:line="300"/>
        <w:jc w:val="both"/>
      </w:pPr>
      <w:r>
        <w:rPr>
          <w:b/>
          <w:bCs/>
        </w:rPr>
        <w:t xml:space="preserve">3) Sem regularização, a largura determina o overfitting</w:t>
      </w:r>
      <w:r>
        <w:t xml:space="preserve"> (Figuras 8 e 9). Com 20 mil exemplos, as MLPs com 128 ou mais neurônios por camada chegam a RMSE de treino entre 5 e 21 pontos, ou seja, </w:t>
      </w:r>
      <w:r>
        <w:rPr>
          <w:b/>
          <w:bCs/>
        </w:rPr>
        <w:t xml:space="preserve">decoram o conjunto de treino</w:t>
      </w:r>
      <w:r>
        <w:t xml:space="preserve">, enquanto a validação sobe de ~71 para 79–100 pontos. Até a regressão linear sofre overfitting leve (gap de 6,4), por causa dos ~28 mil parâmetros do embedding de município estimados com 20 mil exemplos. Com 500 mil exemplos, as redes de largura 32 quase não sofrem overfitting (gap ≈ 1 ponto em 30 épocas, independentemente da profundidade), enquanto as de largura 512 voltam a decorar: a 4×512 termina com 34,9 no treino e 84,5 na validação, contra 67,9/69,0 da 4×32. O número de parâmetros cresce com o quadrado da largura, mas só linearmente com a profundidade, e é isso que domina.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1876425"/>
            <wp:effectExtent t="0" r="0" b="0" l="0"/>
            <wp:docPr id="8" name="cap_gap.png" descr="Diferença entre RMSE de validação e de treino na última época. Valores altos = overfitting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8 – </w:t>
      </w:r>
      <w:r>
        <w:rPr>
          <w:sz w:val="18"/>
          <w:szCs w:val="18"/>
        </w:rPr>
        <w:t xml:space="preserve">Diferença entre RMSE de validação e de treino na última época. Valores altos = overfitting.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543175"/>
            <wp:effectExtent t="0" r="0" b="0" l="0"/>
            <wp:docPr id="9" name="cap_curvas.png" descr="Curvas de treino e validação para quatro capacidades nas duas escalas. O ponto marca a melhor época da validação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9 – </w:t>
      </w:r>
      <w:r>
        <w:rPr>
          <w:sz w:val="18"/>
          <w:szCs w:val="18"/>
        </w:rPr>
        <w:t xml:space="preserve">Curvas de treino e validação para quatro capacidades nas duas escalas. O ponto marca a melhor época da validação.</w:t>
      </w:r>
    </w:p>
    <w:p>
      <w:pPr>
        <w:spacing w:after="120" w:line="300"/>
        <w:jc w:val="both"/>
      </w:pPr>
      <w:r>
        <w:rPr>
          <w:b/>
          <w:bCs/>
        </w:rPr>
        <w:t xml:space="preserve">4) Quanto maior a capacidade, mais cedo aparece o melhor ponto.</w:t>
      </w:r>
      <w:r>
        <w:t xml:space="preserve"> Com 500 mil exemplos, as redes de largura 512 atingem o mínimo da validação nas épocas 4–6, e as de largura 32 nas épocas 15–21. Com 20 mil, nas épocas 2–3 e 6–11. Nas maiores, as curvas de treino com LR constante mostram picos de instabilidade (6×512 com 20 mil exemplos), um sinal de taxa de aprendizado alta demais para aquela capacidade sem normalização. Nenhuma configuração ficou em </w:t>
      </w:r>
      <w:r>
        <w:rPr>
          <w:b/>
          <w:bCs/>
        </w:rPr>
        <w:t xml:space="preserve">subajuste</w:t>
      </w:r>
      <w:r>
        <w:t xml:space="preserve"> claro: mesmo a 1×32 tem treino e validação praticamente iguais e no patamar das maiores. O único modelo limitado pela capacidade é o linear, cerca de 1 ponto pior que qualquer MLP com 500 mil exemplos e com treino ≈ validação (69,9 × 70,1), a assinatura de viés de modelo.</w:t>
      </w:r>
    </w:p>
    <w:p>
      <w:pPr>
        <w:spacing w:after="120" w:line="300"/>
        <w:jc w:val="both"/>
      </w:pPr>
      <w:r>
        <w:rPr>
          <w:b/>
          <w:bCs/>
        </w:rPr>
        <w:t xml:space="preserve">5) Custo.</w:t>
      </w:r>
      <w:r>
        <w:t xml:space="preserve"> O tempo por época cresce com o número de parâmetros (Figura 10): com 500 mil exemplos, de 0,18 s (linear) a 4,13 s (6×512), sem nenhum ganho de RMSE nas maiores. A 6×512 tem 1.449.185 parâmetros, 42 vezes a 1×32, e é 0,19 ponto pior. Parte fixa importante: o embedding de município (16 × 1.742 ≈ 28 mil parâmetros) é a maior parte dos parâmetros das redes pequenas.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162425" cy="2590800"/>
            <wp:effectExtent t="0" r="0" b="0" l="0"/>
            <wp:docPr id="10" name="cap_custo.png" descr="Segundos por época (500 mil exemplos, GPU M2) por número de parâmetros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10 – </w:t>
      </w:r>
      <w:r>
        <w:rPr>
          <w:sz w:val="18"/>
          <w:szCs w:val="18"/>
        </w:rPr>
        <w:t xml:space="preserve">Segundos por época (500 mil exemplos, GPU M2) por número de parâmetros.</w:t>
      </w:r>
    </w:p>
    <w:p>
      <w:pPr>
        <w:pStyle w:val="Heading2"/>
      </w:pPr>
      <w:bookmarkStart w:name="_Toc18" w:id="18"/>
      <w:r>
        <w:t xml:space="preserve">4.2 Estratégias de regularização (E2)</w:t>
      </w:r>
      <w:bookmarkEnd w:id="18"/>
    </w:p>
    <w:p>
      <w:pPr>
        <w:spacing w:after="120" w:line="300"/>
        <w:jc w:val="both"/>
      </w:pPr>
      <w:r>
        <w:t xml:space="preserve">Partimos da MLP 4×512 (924 mil parâmetros), a de maior overfitting em E1, e mudamos uma coisa por vez. Todas treinam o mesmo número de épocas com LR constante; as variantes com early stopping param antes e devolvem os pesos da melhor época. A Tabela 8 traz, para cada variante, o melhor RMSE de validação, o estado na última época e o RMSE do </w:t>
      </w:r>
      <w:r>
        <w:rPr>
          <w:b/>
          <w:bCs/>
        </w:rPr>
        <w:t xml:space="preserve">modelo devolvido</w:t>
      </w:r>
      <w:r>
        <w:t xml:space="preserve">, que é o que importa na prática.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8 – </w:t>
      </w:r>
      <w:r>
        <w:rPr>
          <w:sz w:val="18"/>
          <w:szCs w:val="18"/>
        </w:rPr>
        <w:t xml:space="preserve">Regularização na MLP 4×512 (validação: 100 mil exemplos de 2022; RMSE em pontos; tempo total em segundos).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526"/>
        <w:gridCol w:w="748"/>
        <w:gridCol w:w="842"/>
        <w:gridCol w:w="842"/>
        <w:gridCol w:w="842"/>
        <w:gridCol w:w="842"/>
        <w:gridCol w:w="1029"/>
        <w:gridCol w:w="935"/>
      </w:tblGrid>
      <w:tr>
        <w:trPr>
          <w:cantSplit/>
          <w:tblHeader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Treino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Variante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Melhor época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Val. (melhor)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Treino (final)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Val. (final)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Gap final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Modelo devolvido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Tempo (s)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sem regularização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2,55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79,18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76,63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79,18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early stopping (paciência 10)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24,91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83,19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58,28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70,95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 0,2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71,10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11,07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77,68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66,61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77,68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 0,5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70,87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28,87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76,19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47,32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76,19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λ = 10⁻⁴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13,76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83,58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69,82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83,58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λ = 10⁻³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19,14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89,42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70,28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89,42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L1 λ = 10⁻⁵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71,00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13,61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85,03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71,42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85,03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L1 λ = 10⁻⁴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25,49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98,30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72,81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98,30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BatchNorm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73,57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9,82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76,58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66,76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76,58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LayerNorm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70,88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5,75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82,85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77,10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82,85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 0,3 + L2 10⁻⁴ + early stopping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71,26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53,42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74,57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21,14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71,26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sem regularização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69,25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35,62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85,00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49,37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85,00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early stopping (paciência 10)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69,23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58,56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73,70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15,14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69,23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 0,2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58,54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12,63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71,17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 0,5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66,43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69,59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3,16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69,59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132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λ = 10⁻⁴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69,28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62,57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71,73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9,16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71,73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148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λ = 10⁻³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68,97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68,04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1,12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69,16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129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L1 λ = 10⁻⁵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65,17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70,14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4,98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70,14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156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L1 λ = 10⁻⁴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68,96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68,46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0,58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69,04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156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BatchNorm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69,47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30,03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85,32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55,29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85,32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196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LayerNorm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56,59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75,06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18,47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75,06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124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500 mil</w:t>
            </w:r>
          </w:p>
        </w:tc>
        <w:tc>
          <w:tcPr>
            <w:tcW w:type="dxa" w:w="25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 0,3 + L2 10⁻⁴ + early stopping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67,38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69,39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2,01</w:t>
            </w:r>
          </w:p>
        </w:tc>
        <w:tc>
          <w:tcPr>
            <w:tcW w:type="dxa" w:w="10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 500 mil exemplos</w:t>
      </w:r>
    </w:p>
    <w:p>
      <w:pPr>
        <w:spacing w:after="120" w:line="300"/>
        <w:jc w:val="both"/>
      </w:pPr>
      <w:r>
        <w:t xml:space="preserve">Sem regularização, a rede passa do ponto ótimo na época 4 e termina com 35,6 no treino e 85,0 na validação (Figura 11). As estratégias se dividem em três grupos: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Eliminam o overfitting:</w:t>
      </w:r>
      <w:r>
        <w:t xml:space="preserve"> L2 com λ = 10⁻³ e L1 com λ = 10⁻⁴ deixam treino e validação praticamente juntos até a última época (gaps de 1,1 e 0,6) e dão os </w:t>
      </w:r>
      <w:r>
        <w:rPr>
          <w:b/>
          <w:bCs/>
        </w:rPr>
        <w:t xml:space="preserve">melhores RMSE do experimento</w:t>
      </w:r>
      <w:r>
        <w:t xml:space="preserve"> (68,97 e 68,96, nas épocas 27 e 26). Dropout 0,5 chega perto (gap 3,2; 69,59 na última época). Essas variantes trocam a memorização por um ajuste lento e estável, e o resultado deixa de depender de quando o treino para. Os valores mais fracos (L2 10⁻⁴, L1 10⁻⁵, dropout 0,2) só atrasam o overfitting (gaps de 5 a 13 pontos).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Não regularizam, mas salvam o modelo:</w:t>
      </w:r>
      <w:r>
        <w:t xml:space="preserve"> o early stopping não impede o overfitting, só o interrompe. Ele devolve 69,23 (época 4) e é a opção </w:t>
      </w:r>
      <w:r>
        <w:rPr>
          <w:b/>
          <w:bCs/>
        </w:rPr>
        <w:t xml:space="preserve">mais barata</w:t>
      </w:r>
      <w:r>
        <w:t xml:space="preserve"> (51 s, contra 92 s sem regularização e 129–156 s com L2/L1, cuja penalidade é recalculada a cada lote).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Não ajudam:</w:t>
      </w:r>
      <w:r>
        <w:t xml:space="preserve"> a BatchNorm sofre overfitting tanto quanto a rede sem nada (85,3 na última época), tem o pior melhor-ponto (69,47) e é a mais lenta (196 s). Com lotes de 2048, o ruído das estatísticas do lote, que dá à BatchNorm algum efeito regularizador, é desprezível. A LayerNorm suaviza a curva, mas termina com gap de 18,5. Normalização aqui é ferramenta de </w:t>
      </w:r>
      <w:r>
        <w:rPr>
          <w:b/>
          <w:bCs/>
        </w:rPr>
        <w:t xml:space="preserve">otimização</w:t>
      </w:r>
      <w:r>
        <w:t xml:space="preserve">, não de regularização.</w:t>
      </w:r>
    </w:p>
    <w:p>
      <w:pPr>
        <w:spacing w:after="120" w:line="300"/>
        <w:jc w:val="both"/>
      </w:pPr>
      <w:r>
        <w:t xml:space="preserve">No </w:t>
      </w:r>
      <w:r>
        <w:rPr>
          <w:b/>
          <w:bCs/>
        </w:rPr>
        <w:t xml:space="preserve">melhor ponto</w:t>
      </w:r>
      <w:r>
        <w:t xml:space="preserve">, porém, todas as variantes de 500 mil ficam entre 68,96 e 69,47 pontos. A regularização praticamente não melhora o erro atingível: ela torna o treino </w:t>
      </w:r>
      <w:r>
        <w:rPr>
          <w:b/>
          <w:bCs/>
        </w:rPr>
        <w:t xml:space="preserve">robusto</w:t>
      </w:r>
      <w:r>
        <w:t xml:space="preserve">, sem exigir o momento exato de parar, e permite treinar por mais épocas com ganho pequeno (~0,3 ponto com L1/L2).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629025"/>
            <wp:effectExtent t="0" r="0" b="0" l="0"/>
            <wp:docPr id="11" name="reg_curvas_n500k.png" descr="Curvas de treino e validação por estratégia, 500 mil exemplos (MLP 4×512)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11 – </w:t>
      </w:r>
      <w:r>
        <w:rPr>
          <w:sz w:val="18"/>
          <w:szCs w:val="18"/>
        </w:rPr>
        <w:t xml:space="preserve">Curvas de treino e validação por estratégia, 500 mil exemplos (MLP 4×512).</w:t>
      </w:r>
    </w:p>
    <w:p>
      <w:pPr>
        <w:pStyle w:val="Heading3"/>
      </w:pPr>
      <w:r>
        <w:t xml:space="preserve">Com 20 mil exemplos</w:t>
      </w:r>
    </w:p>
    <w:p>
      <w:pPr>
        <w:spacing w:after="120" w:line="300"/>
        <w:jc w:val="both"/>
      </w:pPr>
      <w:r>
        <w:t xml:space="preserve">Com poucos dados o quadro muda (Figura 12). Sem regularização, a rede decora o treino (RMSE 2,5) e termina com 79,2 na validação. Só as variantes com </w:t>
      </w:r>
      <w:r>
        <w:rPr>
          <w:b/>
          <w:bCs/>
        </w:rPr>
        <w:t xml:space="preserve">early stopping</w:t>
      </w:r>
      <w:r>
        <w:t xml:space="preserve"> devolvem um modelo bom (70,95 e 71,26): o ótimo ocorre na 2ª–4ª época, antes de qualquer regularizador fazer diferença. Dropout reduz a memorização (validação final de 76–78), mas não a evita em 120 épocas. A BatchNorm, com lotes de 256 e pouca variedade de exemplos, piora até o melhor ponto (73,57).</w:t>
      </w:r>
    </w:p>
    <w:p>
      <w:pPr>
        <w:spacing w:after="120" w:line="300"/>
        <w:jc w:val="both"/>
      </w:pPr>
      <w:r>
        <w:t xml:space="preserve">Contrariando a intuição, </w:t>
      </w:r>
      <w:r>
        <w:rPr>
          <w:b/>
          <w:bCs/>
        </w:rPr>
        <w:t xml:space="preserve">L1 e L2 deixaram a validação final pior</w:t>
      </w:r>
      <w:r>
        <w:t xml:space="preserve"> que sem regularização (83,6 a 98,3 contra 79,2), mesmo com o RMSE de treino subindo. Investigamos duas hipóteses (Tabela 9; </w:t>
      </w:r>
      <w:r>
        <w:rPr>
          <w:rFonts w:ascii="Consolas" w:cs="Consolas" w:eastAsia="Consolas" w:hAnsi="Consolas"/>
          <w:sz w:val="20"/>
          <w:szCs w:val="20"/>
        </w:rPr>
        <w:t xml:space="preserve">scripts/03b_diagnostico_l2.py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(1) O embedding do município, que não é penalizado, compensaria os pesos encolhidos.</w:t>
      </w:r>
      <w:r>
        <w:t xml:space="preserve"> Descartada: sem embedding (d = 0), L2 10⁻³ e L1 10⁻⁴ continuam piores que nada (90,8 e 85,6 contra 82,9).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(2) Penalidade somada à perda perde efeito no Adam</w:t>
      </w:r>
      <w:r>
        <w:t xml:space="preserve"> (o passo adaptativo normaliza o gradiente da penalidade; Loshchilov e Hutter, 2019). Descartada como explicação: o </w:t>
      </w:r>
      <w:r>
        <w:rPr>
          <w:i/>
          <w:iCs/>
        </w:rPr>
        <w:t xml:space="preserve">weight decay</w:t>
      </w:r>
      <w:r>
        <w:t xml:space="preserve"> desacoplado (AdamW, 0,01 a 1,0) também não segura a memorização (79,6 a 85,5).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9 – </w:t>
      </w:r>
      <w:r>
        <w:rPr>
          <w:sz w:val="18"/>
          <w:szCs w:val="18"/>
        </w:rPr>
        <w:t xml:space="preserve">Diagnóstico das penalidades com 20 mil exemplos (MLP 4×512, 120 épocas, LR constante).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1216"/>
        <w:gridCol w:w="1216"/>
        <w:gridCol w:w="1403"/>
        <w:gridCol w:w="1310"/>
        <w:gridCol w:w="1403"/>
      </w:tblGrid>
      <w:tr>
        <w:trPr>
          <w:cantSplit/>
          <w:tblHeader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Variante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Embedding (d)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Otimizador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Val. (melhor)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Treino (final)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Val. (final)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L1 λ = 10⁻⁴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70,58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48,11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85,59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λ = 10⁻³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70,63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25,79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90,78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sem regularização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70,71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27,23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82,90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 wd = 0.01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70,71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6,40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79,89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 wd = 0.1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70,72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22,44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83,09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 wd = 1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70,79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31,14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81,74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L1 λ = 10⁻⁴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71,17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25,49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98,30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λ = 10⁻³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71,16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19,14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89,42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sem regularização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70,97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2,55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79,18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 wd = 0.01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70,98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2,72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79,60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 wd = 0.1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70,97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9,61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79,87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 wd = 1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AdamW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70,96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31,38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85,45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Nossa leitura: com 924 mil parâmetros para 20 mil exemplos, existem soluções de </w:t>
      </w:r>
      <w:r>
        <w:rPr>
          <w:b/>
          <w:bCs/>
        </w:rPr>
        <w:t xml:space="preserve">norma pequena que ainda interpolam o ruído</w:t>
      </w:r>
      <w:r>
        <w:t xml:space="preserve"> do treino. Penalizar a norma muda qual dessas soluções é encontrada, e às vezes leva a uma que generaliza pior, mas não impede a interpolação. Com 500 mil exemplos, o ruído não pode mais ser interpolado com norma pequena, e a mesma penalidade passa a funcionar como esperado. Lição prática: </w:t>
      </w:r>
      <w:r>
        <w:rPr>
          <w:b/>
          <w:bCs/>
        </w:rPr>
        <w:t xml:space="preserve">a força certa da penalidade depende do tamanho do conjunto de treino</w:t>
      </w:r>
      <w:r>
        <w:t xml:space="preserve">, e com poucos dados o early stopping é a defesa principal. Por isso o early stopping está presente em todos os trials do Optuna e nos modelos finais.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629025"/>
            <wp:effectExtent t="0" r="0" b="0" l="0"/>
            <wp:docPr id="12" name="reg_curvas_n20k.png" descr="Curvas de treino e validação por estratégia, 20 mil exemplos (MLP 4×512)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12 – </w:t>
      </w:r>
      <w:r>
        <w:rPr>
          <w:sz w:val="18"/>
          <w:szCs w:val="18"/>
        </w:rPr>
        <w:t xml:space="preserve">Curvas de treino e validação por estratégia, 20 mil exemplos (MLP 4×512).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048250" cy="2228850"/>
            <wp:effectExtent t="0" r="0" b="0" l="0"/>
            <wp:docPr id="13" name="reg_resumo.png" descr="RMSE de validação do modelo devolvido por estratégia e escala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13 – </w:t>
      </w:r>
      <w:r>
        <w:rPr>
          <w:sz w:val="18"/>
          <w:szCs w:val="18"/>
        </w:rPr>
        <w:t xml:space="preserve">RMSE de validação do modelo devolvido por estratégia e escala.</w:t>
      </w:r>
    </w:p>
    <w:p>
      <w:pPr>
        <w:pStyle w:val="Heading2"/>
      </w:pPr>
      <w:bookmarkStart w:name="_Toc19" w:id="19"/>
      <w:r>
        <w:t xml:space="preserve">4.3 Busca de hiperparâmetros com Optuna (E3)</w:t>
      </w:r>
      <w:bookmarkEnd w:id="19"/>
    </w:p>
    <w:p>
      <w:pPr>
        <w:pStyle w:val="Heading3"/>
      </w:pPr>
      <w:r>
        <w:t xml:space="preserve">Espaço de busca e justificativa</w:t>
      </w:r>
    </w:p>
    <w:p>
      <w:pPr>
        <w:spacing w:after="120" w:line="300"/>
        <w:jc w:val="both"/>
      </w:pPr>
      <w:r>
        <w:t xml:space="preserve">O espaço (Tabela 10) foi definido a partir de práticas usuais para MLPs em dados tabulares e de um teste inicial de velocidade. E1 e E2 rodaram antes do estudo e serviram para checar se cada intervalo era informativo. Houve </w:t>
      </w:r>
      <w:r>
        <w:rPr>
          <w:b/>
          <w:bCs/>
        </w:rPr>
        <w:t xml:space="preserve">um ajuste</w:t>
      </w:r>
      <w:r>
        <w:t xml:space="preserve">: o intervalo da penalidade L2 era originalmente [10⁻⁷, 10⁻³], mas E2 (500 mil exemplos) mostrou o melhor λ exatamente no limite superior, então ampliamos para [10⁻⁶, 10⁻²] antes de iniciar o estudo. Esse ajuste usa só treino e validação; o teste não foi consultado.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10 – </w:t>
      </w:r>
      <w:r>
        <w:rPr>
          <w:sz w:val="18"/>
          <w:szCs w:val="18"/>
        </w:rPr>
        <w:t xml:space="preserve">Espaço de busca do Optuna.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0"/>
        <w:gridCol w:w="1590"/>
        <w:gridCol w:w="935"/>
        <w:gridCol w:w="5239"/>
      </w:tblGrid>
      <w:tr>
        <w:trPr>
          <w:cantSplit/>
          <w:tblHeader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Hiperparâmetro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Intervalo / opções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Escala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Por que entra e por que esse intervalo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Camadas ocultas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 a 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inteiro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E1: 1 camada já captura o ganho não linear, e mais camadas não ajudaram sem regularização. A busca verifica se isso muda com dropout e normalização. A regressão linear (0) fica como referência separada.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Largura (1ª camada)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32 a 1024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log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E1 cobriu 32–512; a busca vai até 1024 porque, com dropout ou normalização, redes largas podem deixar de decorar. Escala log porque o efeito da largura é multiplicativo (parâmetros ∝ largura²).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Formato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constante; funil (½ por camada)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o funil corta parâmetros das camadas profundas; é uma forma comum em dados tabulares de reduzir custo sem perder a largura na entrada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Dropout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0 a 0,5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linear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E2: reduziu o overfitting nas duas escalas (com 500 mil, gap final de 49 para 3 pontos com p = 0,5). Acima de 0,5 a rede passa a perder sinal útil.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Normalização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nenhuma; BatchNorm; LayerNorm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E2: muda a estabilidade e a velocidade de convergência; o efeito no erro depende da combinação com LR e lote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Penalidade L2 (λ₂)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10⁻⁶ a 10⁻²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log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E2 (500 mil): λ = 10⁻³ eliminou o overfitting e deu o melhor RMSE do experimento, então o intervalo cobre uma década acima e três abaixo. L1 ficou de fora: em E2 teve efeito equivalente (68,96 × 68,97), e buscar as duas gastaria orçamento em hiperparâmetros redundantes.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Taxa de aprendizado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10⁻⁴ a 3·10⁻³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log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faixa usual do Adam. E1 mostrou instabilidade com 10⁻³ constante nas redes grandes, e o limite superior atende redes pequenas com lotes grandes.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Tamanho do lote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512; 1024; 2048; 4096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afeta o custo (vazão da GPU) e o ruído do gradiente (regularização implícita). Lotes menores que 512 deixam a época lenta demais com 400 mil exemplos.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Dimensão do embedding do município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0; 4; 8; 16; 32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0 testa se o município acrescenta algo além da UF (η² 0,10 contra 0,05). Acima de 32 não faz sentido para ~1,7 mil categorias.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Ativação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ReLU; GELU; SiLU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type="dxa" w:w="523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influência esperada pequena; entra com só 3 opções, barato para o TPE. Tanh e sigmoide ficaram de fora (saturação).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Fixados, fora da busca:</w:t>
      </w:r>
      <w:r>
        <w:t xml:space="preserve"> otimizador Adam, perda MSE, </w:t>
      </w:r>
      <w:r>
        <w:rPr>
          <w:rFonts w:ascii="Consolas" w:cs="Consolas" w:eastAsia="Consolas" w:hAnsi="Consolas"/>
          <w:sz w:val="20"/>
          <w:szCs w:val="20"/>
        </w:rPr>
        <w:t xml:space="preserve">ReduceLROnPlateau</w:t>
      </w:r>
      <w:r>
        <w:t xml:space="preserve"> (fator 0,5, paciência 2), no máximo 25 épocas com early stopping de paciência 4. São escolhas-padrão com pouca influência esperada, ou cujo efeito já é coberto por outro hiperparâmetro (o scheduler compensa parte de uma LR inicial ruim).</w:t>
      </w:r>
    </w:p>
    <w:p>
      <w:pPr>
        <w:pStyle w:val="Heading3"/>
      </w:pPr>
      <w:r>
        <w:t xml:space="preserve">Configuração do estudo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Métrica otimizada:</w:t>
      </w:r>
      <w:r>
        <w:t xml:space="preserve"> RMSE de validação (pontos) do modelo restaurado na melhor época, minimizado.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Dados:</w:t>
      </w:r>
      <w:r>
        <w:t xml:space="preserve"> amostra fixa de 400 mil exemplos do treino e 100 mil da validação. E1 mostrou que, a partir de ~500 mil, a arquitetura já está no regime de "muitos dados". Com 400 mil, cada trial leva ~1 min em vez de ~5 min com o treino completo. Os modelos selecionados são retreinados no treino completo em E4.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Amostrador:</w:t>
      </w:r>
      <w:r>
        <w:t xml:space="preserve"> TPE multivariado (modela dependências entre hiperparâmetros, como LR × lote e dropout × largura), com 12 trials iniciais aleatórios (20% do orçamento) para cobrir o espaço antes de explorar as regiões promissoras.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Poda: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MedianPruner</w:t>
      </w:r>
      <w:r>
        <w:t xml:space="preserve">. A partir da 4ª época, interrompe o trial cujo RMSE de validação está pior que a mediana dos trials anteriores na mesma época (só depois de 8 trials completos). Corta trials ruins cedo e economiza orçamento para os promissores.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Orçamento:</w:t>
      </w:r>
      <w:r>
        <w:t xml:space="preserve"> 60 trials. Com 10 hiperparâmetros, o TPE costuma estabilizar entre 40 e 80 trials, e o histórico (Figura adiante) mostra se a busca convergiu.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Ponto de partida:</w:t>
      </w:r>
      <w:r>
        <w:t xml:space="preserve"> o primeiro trial é uma configuração escolhida à mão (3×256, ReLU, dropout 0,1, LR 10⁻³, lote 2048, embedding 16), que serve de referência para o ganho da busca.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Registro:</w:t>
      </w:r>
      <w:r>
        <w:t xml:space="preserve"> o estudo fica num SQLite (</w:t>
      </w:r>
      <w:r>
        <w:rPr>
          <w:rFonts w:ascii="Consolas" w:cs="Consolas" w:eastAsia="Consolas" w:hAnsi="Consolas"/>
          <w:sz w:val="20"/>
          <w:szCs w:val="20"/>
        </w:rPr>
        <w:t xml:space="preserve">outputs/optuna.db</w:t>
      </w:r>
      <w:r>
        <w:t xml:space="preserve">) com parâmetros, valores intermediários por época, estado (completo/podado), parâmetros treináveis, tempo e RMSE de treino de cada trial, e pode ser auditado ou retomado. A tabela completa está em </w:t>
      </w:r>
      <w:r>
        <w:rPr>
          <w:rFonts w:ascii="Consolas" w:cs="Consolas" w:eastAsia="Consolas" w:hAnsi="Consolas"/>
          <w:sz w:val="20"/>
          <w:szCs w:val="20"/>
        </w:rPr>
        <w:t xml:space="preserve">outputs/tables/optuna_trials.csv</w:t>
      </w:r>
      <w:r>
        <w:t xml:space="preserve">.</w:t>
      </w:r>
    </w:p>
    <w:p>
      <w:pPr>
        <w:pStyle w:val="Heading3"/>
      </w:pPr>
      <w:r>
        <w:t xml:space="preserve">Resultados da busca</w:t>
      </w:r>
    </w:p>
    <w:p>
      <w:pPr>
        <w:spacing w:after="120" w:line="300"/>
        <w:jc w:val="both"/>
      </w:pPr>
      <w:r>
        <w:t xml:space="preserve">O estudo rodou 60 trials em 25 minutos de GPU: </w:t>
      </w:r>
      <w:r>
        <w:rPr>
          <w:b/>
          <w:bCs/>
        </w:rPr>
        <w:t xml:space="preserve">36 completos e 24 podados</w:t>
      </w:r>
      <w:r>
        <w:t xml:space="preserve">. Quase todas as podas (19 de 24) ocorreram na 4ª época, o primeiro ponto em que o pruner pode agir. Um trial podado custou em média 11,5 s, contra 33,6 s de um completo, o que dá uma economia estimada de ~9 minutos, cerca de um quarto do tempo total que a busca teria sem poda. O histórico (Figura 14) mostra convergência rápida. Os 12 trials aleatórios iniciais chegaram a 69,00; a fase guiada pelo TPE encontrou 68,89 no trial 13 e o melhor valor, </w:t>
      </w:r>
      <w:r>
        <w:rPr>
          <w:b/>
          <w:bCs/>
        </w:rPr>
        <w:t xml:space="preserve">68,84, no trial 33</w:t>
      </w:r>
      <w:r>
        <w:t xml:space="preserve">. Nenhum dos 26 trials seguintes superou esse valor (o mais próximo foi 68,85), sinal de que o orçamento de 60 foi suficiente. O ganho total da busca sobre a configuração escolhida à mão (trial 0: 69,18) foi de 0,33 ponto.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4" name="optuna_historico.png" descr="Histórico da otimização: RMSE de validação por trial (cinza = valor no momento da poda) e melhor valor acumulado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14 – </w:t>
      </w:r>
      <w:r>
        <w:rPr>
          <w:sz w:val="18"/>
          <w:szCs w:val="18"/>
        </w:rPr>
        <w:t xml:space="preserve">Histórico da otimização: RMSE de validação por trial (cinza = valor no momento da poda) e melhor valor acumulado.</w:t>
      </w:r>
    </w:p>
    <w:p>
      <w:pPr>
        <w:spacing w:after="120" w:line="300"/>
        <w:jc w:val="both"/>
      </w:pPr>
      <w:r>
        <w:rPr>
          <w:b/>
          <w:bCs/>
        </w:rPr>
        <w:t xml:space="preserve">O que importou.</w:t>
      </w:r>
      <w:r>
        <w:t xml:space="preserve"> A importância por fANOVA (Figura 15) mede quanto da variação do RMSE entre trials cada hiperparâmetro explica. Os de </w:t>
      </w:r>
      <w:r>
        <w:rPr>
          <w:b/>
          <w:bCs/>
        </w:rPr>
        <w:t xml:space="preserve">regularização</w:t>
      </w:r>
      <w:r>
        <w:t xml:space="preserve"> (L2: 0,23; dropout: 0,21) e os de </w:t>
      </w:r>
      <w:r>
        <w:rPr>
          <w:b/>
          <w:bCs/>
        </w:rPr>
        <w:t xml:space="preserve">representação e otimização</w:t>
      </w:r>
      <w:r>
        <w:t xml:space="preserve"> (embedding do município e normalização: 0,14 cada; taxa de aprendizado: 0,12) dominam. </w:t>
      </w:r>
      <w:r>
        <w:rPr>
          <w:b/>
          <w:bCs/>
        </w:rPr>
        <w:t xml:space="preserve">Profundidade (0,02), largura (0,03) e formato (0,00) quase não importam</w:t>
      </w:r>
      <w:r>
        <w:t xml:space="preserve">, o que confirma de forma independente o resultado de E1. Ativação (0,06) e tamanho do lote (0,05) ficaram no meio.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457700" cy="2362200"/>
            <wp:effectExtent t="0" r="0" b="0" l="0"/>
            <wp:docPr id="15" name="optuna_importancia.png" descr="Importância dos hiperparâmetros (fANOVA) sobre o RMSE de validação dos trials completos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15 – </w:t>
      </w:r>
      <w:r>
        <w:rPr>
          <w:sz w:val="18"/>
          <w:szCs w:val="18"/>
        </w:rPr>
        <w:t xml:space="preserve">Importância dos hiperparâmetros (fANOVA) sobre o RMSE de validação dos trials completos.</w:t>
      </w:r>
    </w:p>
    <w:p>
      <w:pPr>
        <w:spacing w:after="120" w:line="300"/>
        <w:jc w:val="both"/>
      </w:pPr>
      <w:r>
        <w:t xml:space="preserve">A Figura 16 mostra o RMSE de cada trial completo contra cada hiperparâmetro: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Região ótima bem definida:</w:t>
      </w:r>
      <w:r>
        <w:t xml:space="preserve"> os 10 melhores trials (68,84 a 68,89 — diferença de 0,05 ponto) </w:t>
      </w:r>
      <w:r>
        <w:rPr>
          <w:b/>
          <w:bCs/>
        </w:rPr>
        <w:t xml:space="preserve">todos</w:t>
      </w:r>
      <w:r>
        <w:t xml:space="preserve"> usam LayerNorm, SiLU, dropout entre 0,34 e 0,49, lote 1024 e embedding de dimensão 16, com L2 entre 1,6·10⁻⁶ e 4,9·10⁻⁵ e taxa de aprendizado entre 4,5·10⁻⁴ e 1,7·10⁻³. Têm de 1 a 3 camadas e de 76 mil a 603 mil parâmetros: a arquitetura varia, o desempenho não.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Município importa:</w:t>
      </w:r>
      <w:r>
        <w:t xml:space="preserve"> o único trial sem embedding (d = 0) foi o pior de todos (70,23). d = 16 foi melhor que 4, 8 e 32 (mediana 68,92 contra 69,46–69,81). Com 32, o embedding tende a ajustar ruído dos municípios pequenos.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L2 forte causa subajuste:</w:t>
      </w:r>
      <w:r>
        <w:t xml:space="preserve"> os 4 trials com λ &gt; 10⁻³ (todos entre 3,8·10⁻³ e 7,6·10⁻³) ficaram entre 69,24 e 70,81, com RMSE de treino tão alto quanto o de validação (69,0 a 71,1), a assinatura de </w:t>
      </w:r>
      <w:r>
        <w:rPr>
          <w:b/>
          <w:bCs/>
        </w:rPr>
        <w:t xml:space="preserve">subajuste</w:t>
      </w:r>
      <w:r>
        <w:t xml:space="preserve">. Isso acontece com dropout alto ou baixo e mostra que a ampliação do intervalo foi informativa: além de ~10⁻³ só piora. O TPE convergiu para L2 fraco (~10⁻⁵) e deixou dropout e LayerNorm fazerem a regularização.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Normalização:</w:t>
      </w:r>
      <w:r>
        <w:t xml:space="preserve"> LayerNorm venceu (mediana 68,91 em 26 trials) contra nenhuma (69,63) e BatchNorm (69,57), repetindo E2: a BatchNorm não ajuda com lotes grandes, e a LayerNorm estabiliza o treino e permite taxas de aprendizado maiores.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Dropout baixo é ruim:</w:t>
      </w:r>
      <w:r>
        <w:t xml:space="preserve"> todos os trials com dropout &lt; 0,15 ficaram acima de 69,17.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6" name="optuna_slices.png" descr="RMSE de validação dos trials completos por hiperparâmetro (eixo y cortado no percentil 95)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16 – </w:t>
      </w:r>
      <w:r>
        <w:rPr>
          <w:sz w:val="18"/>
          <w:szCs w:val="18"/>
        </w:rPr>
        <w:t xml:space="preserve">RMSE de validação dos trials completos por hiperparâmetro (eixo y cortado no percentil 95).</w:t>
      </w:r>
    </w:p>
    <w:p>
      <w:pPr>
        <w:spacing w:after="120" w:line="300"/>
        <w:jc w:val="both"/>
      </w:pPr>
      <w:r>
        <w:rPr>
          <w:b/>
          <w:bCs/>
        </w:rPr>
        <w:t xml:space="preserve">Overfitting nos trials.</w:t>
      </w:r>
      <w:r>
        <w:t xml:space="preserve"> Nos 10 melhores trials, a diferença entre RMSE de validação e de treino (medido em modo de avaliação, sem dropout) fica entre 0,58 e 1,01 ponto, e em todos os trials completos entre −0,26 e 2,65 (Figura 17). Com 400 mil exemplos, early stopping e dropout, nenhum trial completo chegou perto do overfitting visto em E1–E2. Os trials ruins são ruins por </w:t>
      </w:r>
      <w:r>
        <w:rPr>
          <w:b/>
          <w:bCs/>
        </w:rPr>
        <w:t xml:space="preserve">subajuste</w:t>
      </w:r>
      <w:r>
        <w:t xml:space="preserve"> (L2 forte, sem município) ou otimização instável, não por memorização.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457700" cy="2638425"/>
            <wp:effectExtent t="0" r="0" b="0" l="0"/>
            <wp:docPr id="17" name="optuna_gap.png" descr="Diferença validação − treino nos trials completos, por dropout e normalização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17 – </w:t>
      </w:r>
      <w:r>
        <w:rPr>
          <w:sz w:val="18"/>
          <w:szCs w:val="18"/>
        </w:rPr>
        <w:t xml:space="preserve">Diferença validação − treino nos trials completos, por dropout e normalização.</w:t>
      </w:r>
    </w:p>
    <w:p>
      <w:pPr>
        <w:pStyle w:val="Heading2"/>
      </w:pPr>
      <w:bookmarkStart w:name="_Toc20" w:id="20"/>
      <w:r>
        <w:t xml:space="preserve">4.4 Seleção das arquiteturas para a avaliação final</w:t>
      </w:r>
      <w:bookmarkEnd w:id="20"/>
    </w:p>
    <w:p>
      <w:pPr>
        <w:spacing w:after="120" w:line="300"/>
        <w:jc w:val="both"/>
      </w:pPr>
      <w:r>
        <w:t xml:space="preserve">O critério de seleção foi fixado </w:t>
      </w:r>
      <w:r>
        <w:rPr>
          <w:b/>
          <w:bCs/>
        </w:rPr>
        <w:t xml:space="preserve">antes</w:t>
      </w:r>
      <w:r>
        <w:t xml:space="preserve"> de olhar qualquer resultado de teste e usa só o RMSE de validação do Optuna: (A) o melhor trial; (B) o de </w:t>
      </w:r>
      <w:r>
        <w:rPr>
          <w:b/>
          <w:bCs/>
        </w:rPr>
        <w:t xml:space="preserve">menos parâmetros</w:t>
      </w:r>
      <w:r>
        <w:t xml:space="preserve"> entre os trials a até 0,5% do melhor RMSE; (C) o melhor trial com profundidade "do outro lado": como A tem 2 camadas, o melhor com 4 ou mais. A ideia é comparar, no mesmo protocolo, o melhor modelo, o mais barato equivalente e uma rede profunda. A Tabela 11 lista as escolhas, e a Figura 18 as localiza no plano custo × desempenho.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11 – </w:t>
      </w:r>
      <w:r>
        <w:rPr>
          <w:sz w:val="18"/>
          <w:szCs w:val="18"/>
        </w:rPr>
        <w:t xml:space="preserve">Arquiteturas selecionadas (RMSE de validação no Optuna, treino de 400 mil).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655"/>
        <w:gridCol w:w="1590"/>
        <w:gridCol w:w="2058"/>
        <w:gridCol w:w="1964"/>
        <w:gridCol w:w="935"/>
        <w:gridCol w:w="936"/>
      </w:tblGrid>
      <w:tr>
        <w:trPr>
          <w:cantSplit/>
          <w:tblHeader/>
        </w:trPr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Modelo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Trial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Camadas ocultas</w:t>
            </w:r>
          </w:p>
        </w:tc>
        <w:tc>
          <w:tcPr>
            <w:tcW w:type="dxa" w:w="20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Ativação; norm.; dropout</w:t>
            </w:r>
          </w:p>
        </w:tc>
        <w:tc>
          <w:tcPr>
            <w:tcW w:type="dxa" w:w="19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Otimização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Parâmetros</w:t>
            </w:r>
          </w:p>
        </w:tc>
        <w:tc>
          <w:tcPr>
            <w:tcW w:type="dxa" w:w="9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 val.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 – melhor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#33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658 → 658</w:t>
            </w:r>
          </w:p>
        </w:tc>
        <w:tc>
          <w:tcPr>
            <w:tcW w:type="dxa" w:w="20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SILU; LayerNorm; dropout 0,46</w:t>
            </w:r>
          </w:p>
        </w:tc>
        <w:tc>
          <w:tcPr>
            <w:tcW w:type="dxa" w:w="19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5,1·10⁻⁶; LR 4,5·10⁻⁴; lote 1024; emb. 16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602.965</w:t>
            </w:r>
          </w:p>
        </w:tc>
        <w:tc>
          <w:tcPr>
            <w:tcW w:type="dxa" w:w="9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68,84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 – compacta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#46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173</w:t>
            </w:r>
          </w:p>
        </w:tc>
        <w:tc>
          <w:tcPr>
            <w:tcW w:type="dxa" w:w="20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SILU; LayerNorm; dropout 0,41</w:t>
            </w:r>
          </w:p>
        </w:tc>
        <w:tc>
          <w:tcPr>
            <w:tcW w:type="dxa" w:w="19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4,8·10⁻⁶; LR 1,9·10⁻³; lote 1024; emb. 16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64.722</w:t>
            </w:r>
          </w:p>
        </w:tc>
        <w:tc>
          <w:tcPr>
            <w:tcW w:type="dxa" w:w="9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68,96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 – contraste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#16</w:t>
            </w:r>
          </w:p>
        </w:tc>
        <w:tc>
          <w:tcPr>
            <w:tcW w:type="dxa" w:w="1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380 → 190 → 95 → 47</w:t>
            </w:r>
          </w:p>
        </w:tc>
        <w:tc>
          <w:tcPr>
            <w:tcW w:type="dxa" w:w="20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RELU; LayerNorm; dropout 0,27</w:t>
            </w:r>
          </w:p>
        </w:tc>
        <w:tc>
          <w:tcPr>
            <w:tcW w:type="dxa" w:w="19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L2 6,4·10⁻⁶; LR 6,8·10⁻⁴; lote 512; emb. 16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204.191</w:t>
            </w:r>
          </w:p>
        </w:tc>
        <w:tc>
          <w:tcPr>
            <w:tcW w:type="dxa" w:w="9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69,01</w:t>
            </w:r>
          </w:p>
        </w:tc>
      </w:tr>
    </w:tbl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1876425"/>
            <wp:effectExtent t="0" r="0" b="0" l="0"/>
            <wp:docPr id="18" name="optuna_pareto.png" descr="Trials completos no plano parâmetros × RMSE e duração × RMSE, com as três arquiteturas selecionadas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18 – </w:t>
      </w:r>
      <w:r>
        <w:rPr>
          <w:sz w:val="18"/>
          <w:szCs w:val="18"/>
        </w:rPr>
        <w:t xml:space="preserve">Trials completos no plano parâmetros × RMSE e duração × RMSE, com as três arquiteturas selecionadas.</w:t>
      </w:r>
    </w:p>
    <w:p>
      <w:pPr>
        <w:spacing w:after="120" w:line="300"/>
        <w:jc w:val="both"/>
      </w:pPr>
      <w:r>
        <w:t xml:space="preserve">A compacta (B) tem </w:t>
      </w:r>
      <w:r>
        <w:rPr>
          <w:b/>
          <w:bCs/>
        </w:rPr>
        <w:t xml:space="preserve">9 vezes menos parâmetros</w:t>
      </w:r>
      <w:r>
        <w:t xml:space="preserve"> que A e treinou um trial em 9 s, contra 63 s, pagando 0,11 ponto de RMSE. A profunda (C), um funil de 4 camadas, fica 0,17 ponto atrás de A. Pelo platô observado, essas diferenças podem não sobreviver ao retreino no conjunto completo, e é isso que a próxima seção testa.</w:t>
      </w:r>
    </w:p>
    <w:p>
      <w:pPr>
        <w:pStyle w:val="Heading1"/>
      </w:pPr>
      <w:bookmarkStart w:name="_Toc21" w:id="21"/>
      <w:r>
        <w:t xml:space="preserve">5. Avaliação final no conjunto de teste e análise de custo × efetividade</w:t>
      </w:r>
      <w:bookmarkEnd w:id="21"/>
    </w:p>
    <w:p>
      <w:pPr>
        <w:pStyle w:val="Heading2"/>
      </w:pPr>
      <w:bookmarkStart w:name="_Toc22" w:id="22"/>
      <w:r>
        <w:t xml:space="preserve">5.1 Desempenho no teste</w:t>
      </w:r>
      <w:bookmarkEnd w:id="22"/>
    </w:p>
    <w:p>
      <w:pPr>
        <w:spacing w:after="120" w:line="300"/>
        <w:jc w:val="both"/>
      </w:pPr>
      <w:r>
        <w:t xml:space="preserve">As três arquiteturas e a regressão linear foram retreinadas no treino completo (1,87 milhão), com early stopping na validação (paciência 5, até 40 épocas), três sementes cada, e avaliadas </w:t>
      </w:r>
      <w:r>
        <w:rPr>
          <w:b/>
          <w:bCs/>
        </w:rPr>
        <w:t xml:space="preserve">uma única vez</w:t>
      </w:r>
      <w:r>
        <w:t xml:space="preserve"> nos dois conjuntos de teste. A Tabela 12 traz a média das três sementes.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12 – </w:t>
      </w:r>
      <w:r>
        <w:rPr>
          <w:sz w:val="18"/>
          <w:szCs w:val="18"/>
        </w:rPr>
        <w:t xml:space="preserve">Desempenho final (média de 3 sementes). RMSE, MAE e viés em pontos; viés = previsto − real.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842"/>
        <w:gridCol w:w="935"/>
        <w:gridCol w:w="935"/>
        <w:gridCol w:w="842"/>
        <w:gridCol w:w="935"/>
        <w:gridCol w:w="935"/>
        <w:gridCol w:w="935"/>
        <w:gridCol w:w="1124"/>
      </w:tblGrid>
      <w:tr>
        <w:trPr>
          <w:cantSplit/>
          <w:tblHeader/>
        </w:trPr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Modelo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 val.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 teste-22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MAE teste-22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R² teste-22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 teste-23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MAE teste-23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R² teste-23</w:t>
            </w:r>
          </w:p>
        </w:tc>
        <w:tc>
          <w:tcPr>
            <w:tcW w:type="dxa" w:w="11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Viés teste-23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Média do treino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87,86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87,77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69,93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0,000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92,97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75,14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-0,000</w:t>
            </w:r>
          </w:p>
        </w:tc>
        <w:tc>
          <w:tcPr>
            <w:tcW w:type="dxa" w:w="11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+1,3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Regressão linear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70,16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70,18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55,23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0,361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74,77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59,63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0,353</w:t>
            </w:r>
          </w:p>
        </w:tc>
        <w:tc>
          <w:tcPr>
            <w:tcW w:type="dxa" w:w="11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-2,6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 – melhor (2×658)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68,40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68,45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53,69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0,392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72,92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57,99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0,385</w:t>
            </w:r>
          </w:p>
        </w:tc>
        <w:tc>
          <w:tcPr>
            <w:tcW w:type="dxa" w:w="11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-2,5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 – compacta (1×173)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68,49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68,53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53,78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0,390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73,05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58,12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0,383</w:t>
            </w:r>
          </w:p>
        </w:tc>
        <w:tc>
          <w:tcPr>
            <w:tcW w:type="dxa" w:w="11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-2,4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 – profunda (380→47)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68,47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68,54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53,77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0,390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73,03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58,09</w:t>
            </w:r>
          </w:p>
        </w:tc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0,383</w:t>
            </w:r>
          </w:p>
        </w:tc>
        <w:tc>
          <w:tcPr>
            <w:tcW w:type="dxa" w:w="11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-2,6</w:t>
            </w:r>
          </w:p>
        </w:tc>
      </w:tr>
    </w:tbl>
    <w:p>
      <w:pPr>
        <w:spacing w:after="200" w:before="40"/>
      </w:pPr>
      <w:r>
        <w:rPr>
          <w:color w:val="52514E"/>
          <w:sz w:val="16"/>
          <w:szCs w:val="16"/>
        </w:rPr>
        <w:t xml:space="preserve">Desvio-padrão do RMSE entre sementes ≤ 0,04 ponto em todos os modelos e partições.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A MLP supera as referências.</w:t>
      </w:r>
      <w:r>
        <w:t xml:space="preserve"> No teste-2022, o modelo A erra 68,45 pontos de RMSE (MAE 53,69; R² = 0,392), contra 87,77 de prever sempre a média e 70,18 da regressão linear com as mesmas entradas. A não linearidade reduz o RMSE em 1,74 ponto e aumenta o R² em 0,031. É um ganho real e estável entre sementes, mas modesto: a maior parte do que dá para extrair dessas entradas uma regressão linear já captura.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Validação, teste-2022 e treino concordam.</w:t>
      </w:r>
      <w:r>
        <w:t xml:space="preserve"> RMSE de 68,40 na validação e 68,45 no teste, e as curvas de treino terminam ~0,4 ponto abaixo da validação (Figura 19). Não há overfitting relevante nem sinal de que a seleção de modelos se ajustou à validação.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Retreinar com todos os dados valeu.</w:t>
      </w:r>
      <w:r>
        <w:t xml:space="preserve"> O modelo A caiu de 68,84 (Optuna, 400 mil) para 68,40 na validação (−0,44 ponto), mais do que separa as três arquiteturas entre si. Isso repete a lição de E1: aqui, quantidade de dados pesa mais que arquitetura.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No ano seguinte, o modelo mantém o poder explicativo.</w:t>
      </w:r>
      <w:r>
        <w:t xml:space="preserve"> No teste-2023 o RMSE sobe para 72,92, mas o R² quase não muda (0,392 → 0,385). O aumento vem da maior dispersão das notas de 2023 (desvio 93,0 contra 87,8; Seção 2.4), não de uma relação perfil → nota diferente. O viés é pequeno (-2,47 ponto): em 2023 o modelo subestima levemente as notas, e zerá-lo mudaria o RMSE em menos de 0,05.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1552575"/>
            <wp:effectExtent t="0" r="0" b="0" l="0"/>
            <wp:docPr id="19" name="final_curvas.png" descr="Curvas de treino e validação no treino completo (semente 0). O ponto marca a época restaurada pelo early stopping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19 – </w:t>
      </w:r>
      <w:r>
        <w:rPr>
          <w:sz w:val="18"/>
          <w:szCs w:val="18"/>
        </w:rPr>
        <w:t xml:space="preserve">Curvas de treino e validação no treino completo (semente 0). O ponto marca a época restaurada pelo early stopping.</w:t>
      </w:r>
    </w:p>
    <w:p>
      <w:pPr>
        <w:spacing w:after="120" w:line="300"/>
        <w:jc w:val="both"/>
      </w:pPr>
      <w:r>
        <w:t xml:space="preserve">Nos modelos A e B, a melhor época (37–38 em média) ficou perto do limite de 40, com a taxa de aprendizado já reduzida várias vezes pelo scheduler e a validação praticamente estável. Mais épocas trariam, no máximo, ganhos de centésimos. O modelo C, mais profundo, parou na época 23 e é o único com separação visível entre as curvas (≈1 ponto no fim).</w:t>
      </w:r>
    </w:p>
    <w:p>
      <w:pPr>
        <w:pStyle w:val="Heading2"/>
      </w:pPr>
      <w:bookmarkStart w:name="_Toc23" w:id="23"/>
      <w:r>
        <w:t xml:space="preserve">5.2 Custo × efetividade</w:t>
      </w:r>
      <w:bookmarkEnd w:id="23"/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13 – </w:t>
      </w:r>
      <w:r>
        <w:rPr>
          <w:sz w:val="18"/>
          <w:szCs w:val="18"/>
        </w:rPr>
        <w:t xml:space="preserve">Custo computacional dos modelos finais (média de 3 sementes; GPU Apple M2).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1310"/>
        <w:gridCol w:w="1122"/>
        <w:gridCol w:w="1684"/>
        <w:gridCol w:w="1403"/>
        <w:gridCol w:w="1403"/>
      </w:tblGrid>
      <w:tr>
        <w:trPr>
          <w:cantSplit/>
          <w:tblHeader/>
        </w:trPr>
        <w:tc>
          <w:tcPr>
            <w:tcW w:type="dxa" w:w="24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Parâmetros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Treino (s)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Inferência (s / 100 mil)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RMSE teste-23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Δ RMSE vs. A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Regressão linear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28.082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0,009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74,77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+1,85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A – melhor (2×658)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602.965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542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0,161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72,92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B – compacta (1×173)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64.722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141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0,022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73,05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+0,13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C – profunda (380→47)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204.191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342</w:t>
            </w:r>
          </w:p>
        </w:tc>
        <w:tc>
          <w:tcPr>
            <w:tcW w:type="dxa" w:w="16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0,056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73,03</w:t>
            </w:r>
          </w:p>
        </w:tc>
        <w:tc>
          <w:tcPr>
            <w:tcW w:type="dxa" w:w="14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7"/>
                <w:szCs w:val="17"/>
              </w:rPr>
              <w:t xml:space="preserve">+0,11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A Figura 20 resume o compromisso. O modelo </w:t>
      </w:r>
      <w:r>
        <w:rPr>
          <w:b/>
          <w:bCs/>
        </w:rPr>
        <w:t xml:space="preserve">B (compacto)</w:t>
      </w:r>
      <w:r>
        <w:t xml:space="preserve"> tem 9,3 vezes menos parâmetros que A, treina 3,8 vezes mais rápido (141 s contra 542 s) e infere 7 vezes mais rápido, ao custo de 0,13 ponto de RMSE em 2023 (0,09 em 2022). A diferença é estável entre sementes (desvio ≤ 0,04), mas pequena demais para ter consequência prática, já que é menos de 0,2% do erro. O modelo </w:t>
      </w:r>
      <w:r>
        <w:rPr>
          <w:b/>
          <w:bCs/>
        </w:rPr>
        <w:t xml:space="preserve">C (profundo)</w:t>
      </w:r>
      <w:r>
        <w:t xml:space="preserve"> custa 2,4 vezes o tempo de B e empata com ele: </w:t>
      </w:r>
      <w:r>
        <w:rPr>
          <w:b/>
          <w:bCs/>
        </w:rPr>
        <w:t xml:space="preserve">profundidade não comprou nada</w:t>
      </w:r>
      <w:r>
        <w:t xml:space="preserve">, de novo em linha com E1 e com a importância quase nula de "camadas" no Optuna. A regressão linear é ~14 vezes mais barata que B e 1,7 pontos pior. </w:t>
      </w:r>
      <w:r>
        <w:rPr>
          <w:b/>
          <w:bCs/>
        </w:rPr>
        <w:t xml:space="preserve">Para uso real, B é a melhor escolha</w:t>
      </w:r>
      <w:r>
        <w:t xml:space="preserve">; A só se justifica se cada décimo de ponto importar.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1885950"/>
            <wp:effectExtent t="0" r="0" b="0" l="0"/>
            <wp:docPr id="20" name="final_custo_efetividade.png" descr="RMSE no teste-2023 por número de parâmetros e por tempo de treino (barras = desvio entre sementes, menores que o marcador)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20 – </w:t>
      </w:r>
      <w:r>
        <w:rPr>
          <w:sz w:val="18"/>
          <w:szCs w:val="18"/>
        </w:rPr>
        <w:t xml:space="preserve">RMSE no teste-2023 por número de parâmetros e por tempo de treino (barras = desvio entre sementes, menores que o marcador).</w:t>
      </w:r>
    </w:p>
    <w:p>
      <w:pPr>
        <w:pStyle w:val="Heading2"/>
      </w:pPr>
      <w:bookmarkStart w:name="_Toc24" w:id="24"/>
      <w:r>
        <w:t xml:space="preserve">5.3 Análise de erros: onde e como o modelo falha</w:t>
      </w:r>
      <w:bookmarkEnd w:id="24"/>
    </w:p>
    <w:p>
      <w:pPr>
        <w:spacing w:after="120" w:line="300"/>
        <w:jc w:val="both"/>
      </w:pPr>
      <w:r>
        <w:t xml:space="preserve">Analisamos o modelo A (melhor na validação) nos 2,66 milhões de participantes de 2023. 51% das predições erram menos de 50 pontos, e 17% erram mais de 100.</w:t>
      </w:r>
    </w:p>
    <w:p>
      <w:pPr>
        <w:pStyle w:val="Heading3"/>
      </w:pPr>
      <w:r>
        <w:t xml:space="preserve">Regressão à média</w:t>
      </w:r>
    </w:p>
    <w:p>
      <w:pPr>
        <w:spacing w:after="120" w:line="300"/>
        <w:jc w:val="both"/>
      </w:pPr>
      <w:r>
        <w:t xml:space="preserve">O principal padrão de erro é a </w:t>
      </w:r>
      <w:r>
        <w:rPr>
          <w:b/>
          <w:bCs/>
        </w:rPr>
        <w:t xml:space="preserve">compressão das predições</w:t>
      </w:r>
      <w:r>
        <w:t xml:space="preserve"> (Figuras 21 e 22). As notas reais vão de 246 a 863 (desvio 93,0), e as previstas só de 390 a 727 (desvio 54,8). No decil mais baixo das notas reais (média 383), o modelo prevê em média 493, superestimando em 110 pontos. No decil mais alto (média 706), prevê 611 e subestima em 95. Isso </w:t>
      </w:r>
      <w:r>
        <w:rPr>
          <w:b/>
          <w:bCs/>
        </w:rPr>
        <w:t xml:space="preserve">não é um defeito de treino</w:t>
      </w:r>
      <w:r>
        <w:t xml:space="preserve">: é o comportamento ótimo de um estimador de erro quadrático quando as entradas explicam só ~39% da variância. A melhor predição é a média condicional ao perfil, e quem vai muito bem ou muito mal se afasta dessa média por motivos que as entradas não registram.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686175" cy="2990850"/>
            <wp:effectExtent t="0" r="0" b="0" l="0"/>
            <wp:docPr id="21" name="erro_hexbin.png" descr="Nota média prevista × real no teste-2023 (escala log de densidade). A linha é a predição perfeita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21 – </w:t>
      </w:r>
      <w:r>
        <w:rPr>
          <w:sz w:val="18"/>
          <w:szCs w:val="18"/>
        </w:rPr>
        <w:t xml:space="preserve">Nota média prevista × real no teste-2023 (escala log de densidade). A linha é a predição perfeita.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457700" cy="2324100"/>
            <wp:effectExtent t="0" r="0" b="0" l="0"/>
            <wp:docPr id="22" name="erro_decis.png" descr="Nota média real e prevista por decil da nota real (teste-2023)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22 – </w:t>
      </w:r>
      <w:r>
        <w:rPr>
          <w:sz w:val="18"/>
          <w:szCs w:val="18"/>
        </w:rPr>
        <w:t xml:space="preserve">Nota média real e prevista por decil da nota real (teste-2023).</w:t>
      </w:r>
    </w:p>
    <w:p>
      <w:pPr>
        <w:pStyle w:val="Heading3"/>
      </w:pPr>
      <w:r>
        <w:t xml:space="preserve">Erro por grupo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14 – </w:t>
      </w:r>
      <w:r>
        <w:rPr>
          <w:sz w:val="18"/>
          <w:szCs w:val="18"/>
        </w:rPr>
        <w:t xml:space="preserve">Erro por grupo no teste-2023 (modelo A). Viés = previsto − real (positivo = superestima).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1497"/>
        <w:gridCol w:w="1310"/>
        <w:gridCol w:w="1310"/>
        <w:gridCol w:w="1122"/>
        <w:gridCol w:w="1309"/>
      </w:tblGrid>
      <w:tr>
        <w:trPr>
          <w:cantSplit/>
          <w:tblHeader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Grupo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Participantes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 real média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Viés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RMSE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Tipo de escola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não respondeu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1.614.715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544,9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-1,0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72,6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Tipo de escola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pública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823.248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517,6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-3,0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73,5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Tipo de escola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privada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220.800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616,7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-9,8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73,2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Sexo (não usado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feminino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1.632.353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539,7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-3,0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70,2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Sexo (não usado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masculino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1.026.410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546,7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-1,4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77,1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Cor/raça (não usada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não declarado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32.946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541,5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-3,5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77,0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Cor/raça (não usada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branca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1.146.256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570,6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-9,7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73,4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Cor/raça (não usada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preta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314.240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514,2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+7,1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Cor/raça (não usada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parda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1.108.782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522,3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+2,2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72,9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Cor/raça (não usada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amarela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42.333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538,2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-0,1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73,1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Cor/raça (não usada no modelo)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indígena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14.206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481,4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+19,8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72,4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Treineiro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2.152.164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542,2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-2,1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73,0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Treineiro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506.599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543,2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-3,5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72,7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Redação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nota 0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89.573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358,3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+143,4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151,2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Redação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nota &gt; 0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2.569.190</w:t>
            </w:r>
          </w:p>
        </w:tc>
        <w:tc>
          <w:tcPr>
            <w:tcW w:type="dxa" w:w="13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548,8</w:t>
            </w:r>
          </w:p>
        </w:tc>
        <w:tc>
          <w:tcPr>
            <w:tcW w:type="dxa" w:w="11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-7,4</w:t>
            </w:r>
          </w:p>
        </w:tc>
        <w:tc>
          <w:tcPr>
            <w:tcW w:type="dxa" w:w="13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5"/>
                <w:szCs w:val="15"/>
              </w:rPr>
              <w:t xml:space="preserve">68,6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Redação zero é o maior modo de falha.</w:t>
      </w:r>
      <w:r>
        <w:t xml:space="preserve"> Os 89.573 participantes com redação 0 (3,4%) têm nota média real de 358, e o modelo os superestima em 143 pontos (RMSE 151, contra 68,6 dos demais). Zerar a redação (em branco, fuga ao tema, cópia) é um evento do dia da prova, e o perfil socioeconômico quase não o antecipa.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Cor/raça: viés residual, mesmo sem usar a variável.</w:t>
      </w:r>
      <w:r>
        <w:t xml:space="preserve"> O modelo superestima indígenas (+19,8) e pretos (+7,1) e subestima brancos (-9,7); pardos ficam perto de zero (+2,2). Renda, escolaridade dos pais e município captam a maior parte da diferença entre grupos, mas não toda. Na prática, se o modelo fosse usado para </w:t>
      </w:r>
      <w:r>
        <w:rPr>
          <w:b/>
          <w:bCs/>
        </w:rPr>
        <w:t xml:space="preserve">direcionar apoio</w:t>
      </w:r>
      <w:r>
        <w:t xml:space="preserve">, ele daria prioridade um pouco menor justamente a indígenas e pretos, cujas notas reais são mais baixas que as previstas. Isso deve ser corrigido (por exemplo, com calibração por grupo) antes de qualquer uso.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Sexo:</w:t>
      </w:r>
      <w:r>
        <w:t xml:space="preserve"> o viés é pequeno (-3,0 feminino, -1,4 masculino), mas o RMSE é maior para homens (77,1 contra 70,2), porque as notas masculinas são mais dispersas.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Escola privada:</w:t>
      </w:r>
      <w:r>
        <w:t xml:space="preserve"> subestimada em 9,8 pontos (pública: -3,0), sinal de que "privada" agrupa escolas de qualidade muito diferente e de que falta o efeito da escola em si (sem código de escola em 2023).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UF e renda:</w:t>
      </w:r>
      <w:r>
        <w:t xml:space="preserve"> o viés por UF fica entre -5,9 (GO) e +1,6 (AM), e o RMSE entre 69,8 e 80,3 (o maior no CE). Por faixa de renda, o RMSE é quase constante (70,4–74,4), e o viés vai de +2,8 na faixa sem renda a cerca de −6 nas faixas altas (Figuras 23 e 24). Parte do leve viés negativo geral de 2023 vem daí.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114550"/>
            <wp:effectExtent t="0" r="0" b="0" l="0"/>
            <wp:docPr id="23" name="erro_uf.png" descr="Viés médio por UF da prova no teste-2023 (azul = superestima; laranja = subestima)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23 – </w:t>
      </w:r>
      <w:r>
        <w:rPr>
          <w:sz w:val="18"/>
          <w:szCs w:val="18"/>
        </w:rPr>
        <w:t xml:space="preserve">Viés médio por UF da prova no teste-2023 (azul = superestima; laranja = subestima).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52975" cy="2409825"/>
            <wp:effectExtent t="0" r="0" b="0" l="0"/>
            <wp:docPr id="24" name="erro_renda.png" descr="RMSE e viés por faixa de renda familiar no teste-2023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24 – </w:t>
      </w:r>
      <w:r>
        <w:rPr>
          <w:sz w:val="18"/>
          <w:szCs w:val="18"/>
        </w:rPr>
        <w:t xml:space="preserve">RMSE e viés por faixa de renda familiar no teste-2023.</w:t>
      </w:r>
    </w:p>
    <w:p>
      <w:pPr>
        <w:pStyle w:val="Heading1"/>
      </w:pPr>
      <w:bookmarkStart w:name="_Toc25" w:id="25"/>
      <w:r>
        <w:t xml:space="preserve">6. Limitações, incertezas e situações de falha</w:t>
      </w:r>
      <w:bookmarkEnd w:id="25"/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Erro irredutível alto.</w:t>
      </w:r>
      <w:r>
        <w:t xml:space="preserve"> As entradas explicam ~39% da variância. Isso não é falha de ajuste: pessoas com o mesmo perfil de entrada diferem em ~73 pontos (Seção 2.3), e E1–E4 mostram um platô: nenhuma arquitetura, regularização ou combinação de hiperparâmetros ficou muito abaixo de ~68,4 de RMSE. O que falta são informações que não estão nos microdados: qualidade da escola, histórico de notas, preparação, motivação e as condições no dia da prova.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Regressão à média (principal modo de falha).</w:t>
      </w:r>
      <w:r>
        <w:t xml:space="preserve"> As predições variam bem menos que as notas reais (desvio de 54,8 contra 93,0 pontos em 2023). O modelo </w:t>
      </w:r>
      <w:r>
        <w:rPr>
          <w:b/>
          <w:bCs/>
        </w:rPr>
        <w:t xml:space="preserve">superestima quem vai mal e subestima quem vai bem</w:t>
      </w:r>
      <w:r>
        <w:t xml:space="preserve">: em 2023, erra em média +110 pontos no decil mais baixo e -95 no mais alto. Por isso o modelo serve para </w:t>
      </w:r>
      <w:r>
        <w:rPr>
          <w:b/>
          <w:bCs/>
        </w:rPr>
        <w:t xml:space="preserve">médias de grupos</w:t>
      </w:r>
      <w:r>
        <w:t xml:space="preserve"> (escolas, municípios, perfis), não para prever a nota de uma pessoa. Usá-lo para decisões individuais, como seleção ou alocação de bolsas, seria inadequado.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Redação zero e eventos do dia da prova.</w:t>
      </w:r>
      <w:r>
        <w:t xml:space="preserve"> Quem zera a redação (em branco, fuga ao tema, cópia; 3–4% dos participantes) perde ~125 pontos na média, e o perfil socioeconômico quase não antecipa isso. É o grupo de maior erro (RMSE 151 em 2023, contra 68,6 dos demais).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Viés de seleção.</w:t>
      </w:r>
      <w:r>
        <w:t xml:space="preserve"> O modelo só vale para quem fez as quatro provas (~67% dos inscritos). Os faltantes têm, provavelmente, perfil diferente, e o modelo não diz nada sobre a nota que teriam.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Qualidade e granularidade das entradas.</w:t>
      </w:r>
      <w:r>
        <w:t xml:space="preserve"> O questionário é autodeclarado; renda e idade vêm em faixas; o município é o da prova (o de residência foi retirado pelo INEP); os campos da escola só existem para os concluintes do ano, e o código da escola não existe em 2022–2023. Efeitos de escola, que a literatura aponta como grandes, ficam fora do modelo.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Validade temporal limitada.</w:t>
      </w:r>
      <w:r>
        <w:t xml:space="preserve"> O teste em 2023 mostrou estabilidade da relação perfil → nota (R² praticamente igual), mas foi só um ano à frente. A partir de 2024, o INEP mudou o formato dos microdados e o questionário (23 perguntas em vez de 25), o que exige readaptar as entradas, e, sem notas ligadas ao questionário, não é mais possível avaliar o modelo em edições novas.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Equidade.</w:t>
      </w:r>
      <w:r>
        <w:t xml:space="preserve"> Sexo e cor/raça não são entradas, mas o erro não é neutro em relação a eles: em 2023 o modelo superestima indígenas (+19,8) e pretos (+7,1) e subestima brancos (-9,7) (Seção 5.3). Usado sem correção para priorizar apoio, ele subatenderia justamente os grupos com notas mais baixas que as previstas. Qualquer uso precisa de auditoria e calibração por grupo.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Incerteza das comparações.</w:t>
      </w:r>
      <w:r>
        <w:t xml:space="preserve"> Com 100 mil exemplos de validação, o erro-padrão de um RMSE é de ~0,15 ponto. Diferenças menores que ~0,3 ponto entre configurações de E1–E3 não devem ser lidas como relevantes; parte dos 10 melhores trials do Optuna é empate estatístico. Os modelos finais usam 234 mil (teste-2022) e 2,66 milhões (teste-2023) exemplos e 3 sementes. A variação entre sementes (Tabela de resultados) é a melhor estimativa da instabilidade do treino. Além disso, a GPU do Mac (MPS) não é totalmente determinística: execuções repetidas da mesma configuração diferem nas épocas finais de redes que já decoraram o treino, mas não no melhor ponto.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b/>
          <w:bCs/>
        </w:rPr>
        <w:t xml:space="preserve">Custo da busca em amostra.</w:t>
      </w:r>
      <w:r>
        <w:t xml:space="preserve"> O Optuna usou 400 mil exemplos por custo. Com o treino completo, a região ótima pode mudar um pouco, e os modelos finais retreinados mostram se a ordem entre as arquiteturas se manteve.</w:t>
      </w:r>
    </w:p>
    <w:p>
      <w:pPr>
        <w:pStyle w:val="Heading1"/>
      </w:pPr>
      <w:bookmarkStart w:name="_Toc26" w:id="26"/>
      <w:r>
        <w:t xml:space="preserve">7. Conclusões</w:t>
      </w:r>
      <w:bookmarkEnd w:id="26"/>
    </w:p>
    <w:p>
      <w:pPr>
        <w:spacing w:after="120" w:line="300"/>
        <w:jc w:val="both"/>
      </w:pPr>
      <w:r>
        <w:t xml:space="preserve">Construímos e avaliamos MLPs para prever a nota média no ENEM só com informações anteriores à prova, usando os microdados de 2022 (treino) e 2023 (teste no ano seguinte). As principais conclusões: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b/>
          <w:bCs/>
        </w:rPr>
        <w:t xml:space="preserve">Dá para antecipar cerca de 39% da variação da nota, e não muito mais.</w:t>
      </w:r>
      <w:r>
        <w:t xml:space="preserve"> A melhor MLP chega a RMSE de 68,4 pontos (R² = 0,392) no teste-2022 e mantém o mesmo poder explicativo em 2023 (R² = 0,385), contra 87,8 de prever a média e 70,2 da regressão linear. O limite vem dos dados: pessoas com o mesmo perfil variam ~73 pontos entre si.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b/>
          <w:bCs/>
        </w:rPr>
        <w:t xml:space="preserve">A não linearidade ajuda, mas a capacidade extra não.</w:t>
      </w:r>
      <w:r>
        <w:t xml:space="preserve"> Uma única camada oculta já captura o ganho sobre o modelo linear (~1,7 ponto). Profundidade e largura são as variáveis menos importantes da busca (fANOVA ≤ 0,03), e a rede profunda de 4 camadas empatou com a de 1 camada.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b/>
          <w:bCs/>
        </w:rPr>
        <w:t xml:space="preserve">Regularização é o que separa um bom treino de um ruim, e a estratégia certa depende do volume de dados.</w:t>
      </w:r>
      <w:r>
        <w:t xml:space="preserve"> Sem regularização, redes largas decoram o treino (RMSE de treino 35 contra 85 na validação). Com 500 mil exemplos, L2/L1 fortes ou dropout eliminam o overfitting. Com 20 mil, só o early stopping funciona, e as penalidades chegaram a piorar o resultado. No Optuna, dropout (~0,4) com LayerNorm e L2 fraco formou a região ótima; L2 forte levou a subajuste.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b/>
          <w:bCs/>
        </w:rPr>
        <w:t xml:space="preserve">Mais dados valem mais que mais arquitetura.</w:t>
      </w:r>
      <w:r>
        <w:t xml:space="preserve"> Passar de 20 mil para 500 mil exemplos reduziu o RMSE em 1,6 ponto, e retreinar com 1,87 milhão reduziu mais 0,4. Nenhuma mudança de arquitetura chegou perto disso.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b/>
          <w:bCs/>
        </w:rPr>
        <w:t xml:space="preserve">Custo × efetividade favorece a rede compacta.</w:t>
      </w:r>
      <w:r>
        <w:t xml:space="preserve"> A MLP de 1 camada com 173 neurônios tem 9,3 vezes menos parâmetros e treina 3,8 vezes mais rápido que a melhor, perdendo só 0,1 ponto de RMSE.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b/>
          <w:bCs/>
        </w:rPr>
        <w:t xml:space="preserve">O modelo serve para grupos, não para indivíduos.</w:t>
      </w:r>
      <w:r>
        <w:t xml:space="preserve"> As predições são comprimidas para o centro (regressão à média), falham muito em quem zera a redação e têm viés residual por cor/raça. São úteis para apontar perfis, escolas e municípios que precisam de apoio, desde que calibradas por grupo, e inadequadas para decisões sobre uma pessoa.</w:t>
      </w:r>
    </w:p>
    <w:p>
      <w:pPr>
        <w:spacing w:after="120" w:line="300"/>
        <w:jc w:val="both"/>
      </w:pPr>
      <w:r>
        <w:rPr>
          <w:b/>
          <w:bCs/>
        </w:rPr>
        <w:t xml:space="preserve">Trabalhos futuros.</w:t>
      </w:r>
      <w:r>
        <w:t xml:space="preserve"> (i) Incorporar características da escola, juntando os microdados de 2024 com o Censo Escolar pelo código da escola, numa formulação por escola, já que as notas de 2024 não se ligam ao questionário; (ii) prever as cinco notas de uma vez, com uma saída multitarefa; (iii) modelar a redação zero separadamente (classificação + regressão); (iv) calibração por grupo para reduzir o viés por cor/raça; (v) comparar com modelos de árvores (gradient boosting), referência forte em dados tabulares.</w:t>
      </w:r>
    </w:p>
    <w:p>
      <w:pPr>
        <w:pStyle w:val="Heading1"/>
      </w:pPr>
      <w:bookmarkStart w:name="_Toc27" w:id="27"/>
      <w:r>
        <w:t xml:space="preserve">Referências</w:t>
      </w:r>
      <w:bookmarkEnd w:id="27"/>
    </w:p>
    <w:p>
      <w:pPr>
        <w:spacing w:after="80" w:line="276"/>
        <w:jc w:val="both"/>
      </w:pPr>
      <w:r>
        <w:t xml:space="preserve">INSTITUTO NACIONAL DE ESTUDOS E PESQUISAS EDUCACIONAIS ANÍSIO TEIXEIRA (INEP). </w:t>
      </w:r>
      <w:r>
        <w:rPr>
          <w:b/>
          <w:bCs/>
        </w:rPr>
        <w:t xml:space="preserve">Microdados do ENEM 2022</w:t>
      </w:r>
      <w:r>
        <w:t xml:space="preserve"> e </w:t>
      </w:r>
      <w:r>
        <w:rPr>
          <w:b/>
          <w:bCs/>
        </w:rPr>
        <w:t xml:space="preserve">Microdados do ENEM 2023</w:t>
      </w:r>
      <w:r>
        <w:t xml:space="preserve">. Brasília: Inep. Disponível em: https://dados.gov.br/dados/conjuntos-dados/inep-microdados-do-enem.</w:t>
      </w:r>
    </w:p>
    <w:p>
      <w:pPr>
        <w:spacing w:after="80" w:line="276"/>
        <w:jc w:val="both"/>
      </w:pPr>
      <w:r>
        <w:t xml:space="preserve">INEP. </w:t>
      </w:r>
      <w:r>
        <w:rPr>
          <w:b/>
          <w:bCs/>
        </w:rPr>
        <w:t xml:space="preserve">Microdados ENEM 2024 – Leia-me</w:t>
      </w:r>
      <w:r>
        <w:t xml:space="preserve">. Brasília: Inep, jun. 2025 (mudança de formato: arquivos de participantes e resultados sem chave de ligação).</w:t>
      </w:r>
    </w:p>
    <w:p>
      <w:pPr>
        <w:spacing w:after="80" w:line="276"/>
        <w:jc w:val="both"/>
      </w:pPr>
      <w:r>
        <w:t xml:space="preserve">AKIBA, T. et al. Optuna: a next-generation hyperparameter optimization framework. In: </w:t>
      </w:r>
      <w:r>
        <w:rPr>
          <w:b/>
          <w:bCs/>
        </w:rPr>
        <w:t xml:space="preserve">Proc. 25th ACM SIGKDD</w:t>
      </w:r>
      <w:r>
        <w:t xml:space="preserve">, 2019.</w:t>
      </w:r>
    </w:p>
    <w:p>
      <w:pPr>
        <w:spacing w:after="80" w:line="276"/>
        <w:jc w:val="both"/>
      </w:pPr>
      <w:r>
        <w:t xml:space="preserve">BERGSTRA, J. et al. Algorithms for hyper-parameter optimization (TPE). In: </w:t>
      </w:r>
      <w:r>
        <w:rPr>
          <w:b/>
          <w:bCs/>
        </w:rPr>
        <w:t xml:space="preserve">Advances in Neural Information Processing Systems 24</w:t>
      </w:r>
      <w:r>
        <w:t xml:space="preserve">, 2011.</w:t>
      </w:r>
    </w:p>
    <w:p>
      <w:pPr>
        <w:spacing w:after="80" w:line="276"/>
        <w:jc w:val="both"/>
      </w:pPr>
      <w:r>
        <w:t xml:space="preserve">LOSHCHILOV, I.; HUTTER, F. Decoupled weight decay regularization. In: </w:t>
      </w:r>
      <w:r>
        <w:rPr>
          <w:b/>
          <w:bCs/>
        </w:rPr>
        <w:t xml:space="preserve">ICLR</w:t>
      </w:r>
      <w:r>
        <w:t xml:space="preserve">, 2019.</w:t>
      </w:r>
    </w:p>
    <w:p>
      <w:pPr>
        <w:spacing w:after="80" w:line="276"/>
        <w:jc w:val="both"/>
      </w:pPr>
      <w:r>
        <w:t xml:space="preserve">SRIVASTAVA, N. et al. Dropout: a simple way to prevent neural networks from overfitting. </w:t>
      </w:r>
      <w:r>
        <w:rPr>
          <w:b/>
          <w:bCs/>
        </w:rPr>
        <w:t xml:space="preserve">Journal of Machine Learning Research</w:t>
      </w:r>
      <w:r>
        <w:t xml:space="preserve">, v. 15, 2014.</w:t>
      </w:r>
    </w:p>
    <w:p>
      <w:pPr>
        <w:spacing w:after="80" w:line="276"/>
        <w:jc w:val="both"/>
      </w:pPr>
      <w:r>
        <w:t xml:space="preserve">IOFFE, S.; SZEGEDY, C. Batch normalization. In: </w:t>
      </w:r>
      <w:r>
        <w:rPr>
          <w:b/>
          <w:bCs/>
        </w:rPr>
        <w:t xml:space="preserve">ICML</w:t>
      </w:r>
      <w:r>
        <w:t xml:space="preserve">, 2015. · BA, J. L.; KIROS, J. R.; HINTON, G. E. Layer normalization. arXiv:1607.06450, 2016.</w:t>
      </w:r>
    </w:p>
    <w:p>
      <w:pPr>
        <w:spacing w:after="80" w:line="276"/>
        <w:jc w:val="both"/>
      </w:pPr>
      <w:r>
        <w:t xml:space="preserve">GUO, C.; BERKHAHN, F. Entity embeddings of categorical variables. arXiv:1604.06737, 2016.</w:t>
      </w:r>
    </w:p>
    <w:p>
      <w:pPr>
        <w:spacing w:after="80" w:line="276"/>
        <w:jc w:val="both"/>
      </w:pPr>
      <w:r>
        <w:t xml:space="preserve">HUTTER, F.; HOOS, H.; LEYTON-BROWN, K. An efficient approach for assessing hyperparameter importance (fANOVA). In: </w:t>
      </w:r>
      <w:r>
        <w:rPr>
          <w:b/>
          <w:bCs/>
        </w:rPr>
        <w:t xml:space="preserve">ICML</w:t>
      </w:r>
      <w:r>
        <w:t xml:space="preserve">, 2014.</w:t>
      </w:r>
    </w:p>
    <w:p>
      <w:pPr>
        <w:spacing w:after="80" w:line="276"/>
        <w:jc w:val="both"/>
      </w:pPr>
      <w:r>
        <w:t xml:space="preserve">PASZKE, A. et al. PyTorch: an imperative style, high-performance deep learning library. In: </w:t>
      </w:r>
      <w:r>
        <w:rPr>
          <w:b/>
          <w:bCs/>
        </w:rPr>
        <w:t xml:space="preserve">NeurIPS</w:t>
      </w:r>
      <w:r>
        <w:t xml:space="preserve">, 2019.</w:t>
      </w:r>
    </w:p>
    <w:p>
      <w:pPr>
        <w:pStyle w:val="Heading1"/>
      </w:pPr>
      <w:bookmarkStart w:name="_Toc28" w:id="28"/>
      <w:r>
        <w:t xml:space="preserve">Apêndice A – Registro da busca de hiperparâmetros</w:t>
      </w:r>
      <w:bookmarkEnd w:id="28"/>
    </w:p>
    <w:p>
      <w:pPr>
        <w:spacing w:after="120" w:line="300"/>
        <w:jc w:val="both"/>
      </w:pPr>
      <w:r>
        <w:t xml:space="preserve">Os 15 melhores trials completos do estudo </w:t>
      </w:r>
      <w:r>
        <w:rPr>
          <w:rFonts w:ascii="Consolas" w:cs="Consolas" w:eastAsia="Consolas" w:hAnsi="Consolas"/>
          <w:sz w:val="20"/>
          <w:szCs w:val="20"/>
        </w:rPr>
        <w:t xml:space="preserve">enem_mlp</w:t>
      </w:r>
      <w:r>
        <w:t xml:space="preserve"> (60 trials; TPE multivariado com 12 trials iniciais aleatórios, semente 42; MedianPruner com 8 trials de aquecimento e 4 épocas de warmup; 400 mil exemplos de treino e 100 mil de validação). O registro completo, com valores por época e trials podados, está em </w:t>
      </w:r>
      <w:r>
        <w:rPr>
          <w:rFonts w:ascii="Consolas" w:cs="Consolas" w:eastAsia="Consolas" w:hAnsi="Consolas"/>
          <w:sz w:val="20"/>
          <w:szCs w:val="20"/>
        </w:rPr>
        <w:t xml:space="preserve">outputs/optuna.db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outputs/tables/optuna_trials.csv</w:t>
      </w:r>
      <w:r>
        <w:t xml:space="preserve">; o histórico de cada trial, em </w:t>
      </w:r>
      <w:r>
        <w:rPr>
          <w:rFonts w:ascii="Consolas" w:cs="Consolas" w:eastAsia="Consolas" w:hAnsi="Consolas"/>
          <w:sz w:val="20"/>
          <w:szCs w:val="20"/>
        </w:rPr>
        <w:t xml:space="preserve">outputs/runs/optuna/</w:t>
      </w:r>
      <w:r>
        <w:t xml:space="preserve">.</w:t>
      </w:r>
    </w:p>
    <w:p>
      <w:pPr>
        <w:keepNext/>
        <w:spacing w:after="80" w:before="200"/>
        <w:jc w:val="center"/>
      </w:pPr>
      <w:r>
        <w:rPr>
          <w:b/>
          <w:bCs/>
          <w:sz w:val="18"/>
          <w:szCs w:val="18"/>
        </w:rPr>
        <w:t xml:space="preserve">Tabela 15 – </w:t>
      </w:r>
      <w:r>
        <w:rPr>
          <w:sz w:val="18"/>
          <w:szCs w:val="18"/>
        </w:rPr>
        <w:t xml:space="preserve">Os 15 melhores trials do Optuna (RMSE de validação em pontos).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748"/>
        <w:gridCol w:w="748"/>
        <w:gridCol w:w="1497"/>
        <w:gridCol w:w="561"/>
        <w:gridCol w:w="655"/>
        <w:gridCol w:w="748"/>
        <w:gridCol w:w="842"/>
        <w:gridCol w:w="842"/>
        <w:gridCol w:w="655"/>
        <w:gridCol w:w="561"/>
        <w:gridCol w:w="1123"/>
      </w:tblGrid>
      <w:tr>
        <w:trPr>
          <w:cantSplit/>
          <w:tblHeader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RMSE val.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RMSE treino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Camadas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Ativ.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Norm.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Dropout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L2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LR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Lote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Emb.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Parâm.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33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68,84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68,09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658→658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0,46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5,1·10⁻⁶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4,5·10⁻⁴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602.965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58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68,85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68,00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296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2,0·10⁻⁶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9,9·10⁻⁴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90.921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68,86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68,10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234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0,44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3,1·10⁻⁶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1,7·10⁻³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77.715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52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68,86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68,15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296→296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0,49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2,0·10⁻⁶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1,2·10⁻³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179.425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68,86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68,13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420→210→105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0,45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3,6·10⁻⁵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6,6·10⁻⁴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228.213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59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68,87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68,11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227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1,6·10⁻⁶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1,3·10⁻³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76.224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54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68,87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68,30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282→282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0,44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3,4·10⁻⁶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1,3·10⁻³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168.309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38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68,88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67,87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475→475→475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0,37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1,5·10⁻⁵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1,2·10⁻³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583.148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42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68,89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68,09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348→348→348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4,9·10⁻⁵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9,4·10⁻⁴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346.293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28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68,89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68,25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382→382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0,38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1,1·10⁻⁵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9,7·10⁻⁴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256.309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68,89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67,84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526→263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relu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3,3·10⁻⁵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1,0·10⁻³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278.775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49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68,91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68,25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327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0,39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2,4·10⁻⁶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1,5·10⁻³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97.524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68,91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67,58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442→221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relu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0,33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1,7·10⁻⁵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1,4·10⁻³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193.935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68,92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67,57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349→174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relu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0,31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2,0·10⁻⁵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1,5·10⁻³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163.283</w:t>
            </w:r>
          </w:p>
        </w:tc>
      </w:tr>
      <w:tr>
        <w:trPr>
          <w:cantSplit/>
        </w:trPr>
        <w:tc>
          <w:tcPr>
            <w:tcW w:type="dxa" w:w="3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31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68,92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68,44</w:t>
            </w:r>
          </w:p>
        </w:tc>
        <w:tc>
          <w:tcPr>
            <w:tcW w:type="dxa" w:w="1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234→117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silu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4"/>
                <w:szCs w:val="14"/>
              </w:rPr>
              <w:t xml:space="preserve">Layer</w:t>
            </w:r>
          </w:p>
        </w:tc>
        <w:tc>
          <w:tcPr>
            <w:tcW w:type="dxa" w:w="7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0,41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2,4·10⁻⁵</w:t>
            </w:r>
          </w:p>
        </w:tc>
        <w:tc>
          <w:tcPr>
            <w:tcW w:type="dxa" w:w="8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1,1·10⁻³</w:t>
            </w:r>
          </w:p>
        </w:tc>
        <w:tc>
          <w:tcPr>
            <w:tcW w:type="dxa" w:w="6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1024</w:t>
            </w:r>
          </w:p>
        </w:tc>
        <w:tc>
          <w:tcPr>
            <w:tcW w:type="dxa" w:w="5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12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4"/>
                <w:szCs w:val="14"/>
              </w:rPr>
              <w:t xml:space="preserve">105.327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9" w:id="29"/>
      <w:r>
        <w:t xml:space="preserve">Apêndice B – Reprodutibilidade</w:t>
      </w:r>
      <w:bookmarkEnd w:id="29"/>
    </w:p>
    <w:p>
      <w:pPr>
        <w:spacing w:after="120" w:line="300"/>
        <w:jc w:val="both"/>
      </w:pPr>
      <w:r>
        <w:t xml:space="preserve">Todo o código está no repositório (estrutura e comandos no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). A sequência completa: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scripts/01_preparar_dados.py</w:t>
      </w:r>
      <w:r>
        <w:t xml:space="preserve">: lê os zips do INEP, filtra os registros e grava os parquets (~1 min).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pipeline.build_cache()</w:t>
      </w:r>
      <w:r>
        <w:t xml:space="preserve">: divide os dados, ajusta o pré-processamento no treino e grava os dados codificados.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scripts/02_capacidade.py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03_regularizacao.py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03b_diagnostico_l2.py</w:t>
      </w:r>
      <w:r>
        <w:t xml:space="preserve">: experimentos E1 e E2 (~1 h no M2).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scripts/04_optuna.py 60</w:t>
      </w:r>
      <w:r>
        <w:t xml:space="preserve">: experimento E3 (~25 min); </w:t>
      </w:r>
      <w:r>
        <w:rPr>
          <w:rFonts w:ascii="Consolas" w:cs="Consolas" w:eastAsia="Consolas" w:hAnsi="Consolas"/>
          <w:sz w:val="20"/>
          <w:szCs w:val="20"/>
        </w:rPr>
        <w:t xml:space="preserve">scripts/05_modelos_finais.py</w:t>
      </w:r>
      <w:r>
        <w:t xml:space="preserve">: E4 (~80 min).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notebooks/01_analise_exploratoria.ipynb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02_experimentos_e_resultados.ipynb</w:t>
      </w:r>
      <w:r>
        <w:t xml:space="preserve">: geram todas as tabelas e figuras deste relatório a partir dos registros.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t xml:space="preserve">Sementes fixas (42 para divisão e amostras; 0–2 nos modelos finais). Na GPU do Mac (MPS), algumas operações não são determinísticas; diferenças entre execuções ficam abaixo de 0,05 ponto no melhor ponto da validação.</w:t>
      </w:r>
    </w:p>
    <w:sectPr>
      <w:footerReference w:type="default" r:id="rId6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9878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84F9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52514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cb9a62417236671d5fcdaca5e3cf983434fc4a0.png"/><Relationship Id="rId9" Type="http://schemas.openxmlformats.org/officeDocument/2006/relationships/image" Target="media/14ec6be49880c997450434d36a8777048c4c0bbb.png"/><Relationship Id="rId10" Type="http://schemas.openxmlformats.org/officeDocument/2006/relationships/image" Target="media/0fe52599909104e3e88cae1d632d9d63951cb408.png"/><Relationship Id="rId11" Type="http://schemas.openxmlformats.org/officeDocument/2006/relationships/image" Target="media/7ac428425aabb30b14f792115918a1f0376642fe.png"/><Relationship Id="rId12" Type="http://schemas.openxmlformats.org/officeDocument/2006/relationships/image" Target="media/b391e74f1628c5f09a4625f2838175c5cfde4b8b.png"/><Relationship Id="rId13" Type="http://schemas.openxmlformats.org/officeDocument/2006/relationships/image" Target="media/aa7b55921e099c87a991cc23b8b0a13dc9dedd81.png"/><Relationship Id="rId14" Type="http://schemas.openxmlformats.org/officeDocument/2006/relationships/image" Target="media/22edd550470485f182fd25e235550c2064646471.png"/><Relationship Id="rId15" Type="http://schemas.openxmlformats.org/officeDocument/2006/relationships/image" Target="media/93939d3fb8a845858c28c3253416d200e30474da.png"/><Relationship Id="rId16" Type="http://schemas.openxmlformats.org/officeDocument/2006/relationships/image" Target="media/cc4fae022a7ddd7c69e437694eb5b909efa3d881.png"/><Relationship Id="rId17" Type="http://schemas.openxmlformats.org/officeDocument/2006/relationships/image" Target="media/e256c7d73d690fb3a7ba0754543be10be24b7ed6.png"/><Relationship Id="rId18" Type="http://schemas.openxmlformats.org/officeDocument/2006/relationships/image" Target="media/b0bb947b6422c9cad08dbd828ddf8dc498a49473.png"/><Relationship Id="rId19" Type="http://schemas.openxmlformats.org/officeDocument/2006/relationships/image" Target="media/27b5eff36b0578e72fa62b6fa37431e8aa5a8a03.png"/><Relationship Id="rId20" Type="http://schemas.openxmlformats.org/officeDocument/2006/relationships/image" Target="media/0897269ec14ee26b45560d1619638c1874a1c70f.png"/><Relationship Id="rId21" Type="http://schemas.openxmlformats.org/officeDocument/2006/relationships/image" Target="media/fd7ea214252c2fda2bf5a01c66f294d58a4af00f.png"/><Relationship Id="rId22" Type="http://schemas.openxmlformats.org/officeDocument/2006/relationships/image" Target="media/d21d8241cb9178e060e2a7702d308c0a872adbdb.png"/><Relationship Id="rId23" Type="http://schemas.openxmlformats.org/officeDocument/2006/relationships/image" Target="media/2f7c0d860ca60303b6c2a198f3f5dbfa47933fc5.png"/><Relationship Id="rId24" Type="http://schemas.openxmlformats.org/officeDocument/2006/relationships/image" Target="media/4bb4fd76929ea7bbb8ce7ddc94707e5529fea253.png"/><Relationship Id="rId25" Type="http://schemas.openxmlformats.org/officeDocument/2006/relationships/image" Target="media/959209f8497b3a781b28ad58c517479c2397d128.png"/><Relationship Id="rId26" Type="http://schemas.openxmlformats.org/officeDocument/2006/relationships/image" Target="media/4dfccdebb567c7d7a95566e8bd8fa5a12e2d1301.png"/><Relationship Id="rId27" Type="http://schemas.openxmlformats.org/officeDocument/2006/relationships/image" Target="media/0e3e6a75293dfe9cee7db62fe76d66a6303d1af2.png"/><Relationship Id="rId28" Type="http://schemas.openxmlformats.org/officeDocument/2006/relationships/image" Target="media/6904c967d072dd4966105a8dd76f1eb0b87c9f50.png"/><Relationship Id="rId29" Type="http://schemas.openxmlformats.org/officeDocument/2006/relationships/image" Target="media/f880ee2b2ad185f0b851634740cdfa396eefc2f1.png"/><Relationship Id="rId30" Type="http://schemas.openxmlformats.org/officeDocument/2006/relationships/image" Target="media/d2429090d478540794bc7de952cce8e42c4bc91e.png"/><Relationship Id="rId31" Type="http://schemas.openxmlformats.org/officeDocument/2006/relationships/image" Target="media/068432aadf16d3da7d0c76458d6e9636a6bd8990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Previsão da nota média no ENEM com MLP</dc:title>
  <dc:creator>Grupo</dc:creator>
  <cp:lastModifiedBy>Un-named</cp:lastModifiedBy>
  <cp:revision>1</cp:revision>
  <dcterms:created xsi:type="dcterms:W3CDTF">2026-10-14T14:01:22.677Z</dcterms:created>
  <dcterms:modified xsi:type="dcterms:W3CDTF">2026-10-14T14:01:22.678Z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