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Calibri" w:cs="Calibri" w:eastAsia="Calibri" w:hAnsi="Calibri"/>
          <w:b/>
          <w:bCs/>
          <w:color w:val="1C4B82"/>
          <w:sz w:val="48"/>
          <w:szCs w:val="48"/>
        </w:rPr>
        <w:t xml:space="preserve">Anomalias de Faturamento</w:t>
      </w:r>
    </w:p>
    <w:p>
      <w:pPr>
        <w:spacing w:after="400"/>
      </w:pPr>
      <w:r>
        <w:rPr>
          <w:rFonts w:ascii="Calibri" w:cs="Calibri" w:eastAsia="Calibri" w:hAnsi="Calibri"/>
          <w:color w:val="5A6270"/>
          <w:sz w:val="28"/>
          <w:szCs w:val="28"/>
        </w:rPr>
        <w:t xml:space="preserve">Análise da operação e recomendações à gestão</w:t>
      </w:r>
    </w:p>
    <w:p>
      <w:pPr>
        <w:spacing w:after="40"/>
      </w:pPr>
      <w:r>
        <w:rPr>
          <w:rFonts w:ascii="Calibri" w:cs="Calibri" w:eastAsia="Calibri" w:hAnsi="Calibri"/>
          <w:color w:val="1C1F24"/>
          <w:sz w:val="21"/>
          <w:szCs w:val="21"/>
        </w:rPr>
        <w:t xml:space="preserve">Período analisado: 06/01/2026 a 30/06/2026</w:t>
      </w:r>
    </w:p>
    <w:p>
      <w:pPr>
        <w:spacing w:after="40"/>
      </w:pPr>
      <w:r>
        <w:rPr>
          <w:rFonts w:ascii="Calibri" w:cs="Calibri" w:eastAsia="Calibri" w:hAnsi="Calibri"/>
          <w:color w:val="1C1F24"/>
          <w:sz w:val="21"/>
          <w:szCs w:val="21"/>
        </w:rPr>
        <w:t xml:space="preserve">Base: 163.811 registros de retenção de faturamento</w:t>
      </w:r>
    </w:p>
    <w:p>
      <w:pPr>
        <w:spacing w:after="600"/>
      </w:pPr>
      <w:r>
        <w:rPr>
          <w:rFonts w:ascii="Calibri" w:cs="Calibri" w:eastAsia="Calibri" w:hAnsi="Calibri"/>
          <w:color w:val="5A6270"/>
          <w:sz w:val="21"/>
          <w:szCs w:val="21"/>
        </w:rPr>
        <w:t xml:space="preserve">Documento de apoio ao dashboard gerencial</w:t>
      </w:r>
    </w:p>
    <w:p>
      <w:r>
        <w:br w:type="page"/>
      </w:r>
    </w:p>
    <w:p>
      <w:pPr>
        <w:pStyle w:val="Heading1"/>
        <w:pBdr>
          <w:bottom w:val="single" w:color="1C4B82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C4B82"/>
          <w:sz w:val="30"/>
          <w:szCs w:val="30"/>
        </w:rPr>
        <w:t xml:space="preserve">Sumário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1C1F24"/>
        </w:rPr>
        <w:t xml:space="preserve">1.   </w:t>
      </w:r>
      <w:r>
        <w:rPr>
          <w:rFonts w:ascii="Calibri" w:cs="Calibri" w:eastAsia="Calibri" w:hAnsi="Calibri"/>
          <w:b/>
          <w:bCs/>
          <w:color w:val="1C1F24"/>
        </w:rPr>
        <w:t xml:space="preserve">Resumo executivo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1C1F24"/>
        </w:rPr>
        <w:t xml:space="preserve">2.   </w:t>
      </w:r>
      <w:r>
        <w:rPr>
          <w:rFonts w:ascii="Calibri" w:cs="Calibri" w:eastAsia="Calibri" w:hAnsi="Calibri"/>
          <w:b/>
          <w:bCs/>
          <w:color w:val="1C1F24"/>
        </w:rPr>
        <w:t xml:space="preserve">O que analisamos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1C1F24"/>
        </w:rPr>
        <w:t xml:space="preserve">3.   </w:t>
      </w:r>
      <w:r>
        <w:rPr>
          <w:rFonts w:ascii="Calibri" w:cs="Calibri" w:eastAsia="Calibri" w:hAnsi="Calibri"/>
          <w:b/>
          <w:bCs/>
          <w:color w:val="1C1F24"/>
        </w:rPr>
        <w:t xml:space="preserve">Diagnóstico</w:t>
      </w:r>
    </w:p>
    <w:p>
      <w:pPr>
        <w:spacing w:after="60"/>
        <w:ind w:left="560"/>
      </w:pPr>
      <w:r>
        <w:rPr>
          <w:rFonts w:ascii="Calibri" w:cs="Calibri" w:eastAsia="Calibri" w:hAnsi="Calibri"/>
          <w:b w:val="false"/>
          <w:bCs w:val="false"/>
          <w:color w:val="5A6270"/>
        </w:rPr>
        <w:t xml:space="preserve">3.1   </w:t>
      </w:r>
      <w:r>
        <w:rPr>
          <w:rFonts w:ascii="Calibri" w:cs="Calibri" w:eastAsia="Calibri" w:hAnsi="Calibri"/>
          <w:b w:val="false"/>
          <w:bCs w:val="false"/>
          <w:color w:val="5A6270"/>
        </w:rPr>
        <w:t xml:space="preserve">O prazo é cumprido na maioria dos casos</w:t>
      </w:r>
    </w:p>
    <w:p>
      <w:pPr>
        <w:spacing w:after="60"/>
        <w:ind w:left="560"/>
      </w:pPr>
      <w:r>
        <w:rPr>
          <w:rFonts w:ascii="Calibri" w:cs="Calibri" w:eastAsia="Calibri" w:hAnsi="Calibri"/>
          <w:b w:val="false"/>
          <w:bCs w:val="false"/>
          <w:color w:val="5A6270"/>
        </w:rPr>
        <w:t xml:space="preserve">3.2   </w:t>
      </w:r>
      <w:r>
        <w:rPr>
          <w:rFonts w:ascii="Calibri" w:cs="Calibri" w:eastAsia="Calibri" w:hAnsi="Calibri"/>
          <w:b w:val="false"/>
          <w:bCs w:val="false"/>
          <w:color w:val="5A6270"/>
        </w:rPr>
        <w:t xml:space="preserve">Onde o prazo quebra</w:t>
      </w:r>
    </w:p>
    <w:p>
      <w:pPr>
        <w:spacing w:after="60"/>
        <w:ind w:left="560"/>
      </w:pPr>
      <w:r>
        <w:rPr>
          <w:rFonts w:ascii="Calibri" w:cs="Calibri" w:eastAsia="Calibri" w:hAnsi="Calibri"/>
          <w:b w:val="false"/>
          <w:bCs w:val="false"/>
          <w:color w:val="5A6270"/>
        </w:rPr>
        <w:t xml:space="preserve">3.3   </w:t>
      </w:r>
      <w:r>
        <w:rPr>
          <w:rFonts w:ascii="Calibri" w:cs="Calibri" w:eastAsia="Calibri" w:hAnsi="Calibri"/>
          <w:b w:val="false"/>
          <w:bCs w:val="false"/>
          <w:color w:val="5A6270"/>
        </w:rPr>
        <w:t xml:space="preserve">Manual e massivo: o volume não é o custo</w:t>
      </w:r>
    </w:p>
    <w:p>
      <w:pPr>
        <w:spacing w:after="60"/>
        <w:ind w:left="560"/>
      </w:pPr>
      <w:r>
        <w:rPr>
          <w:rFonts w:ascii="Calibri" w:cs="Calibri" w:eastAsia="Calibri" w:hAnsi="Calibri"/>
          <w:b w:val="false"/>
          <w:bCs w:val="false"/>
          <w:color w:val="5A6270"/>
        </w:rPr>
        <w:t xml:space="preserve">3.4   </w:t>
      </w:r>
      <w:r>
        <w:rPr>
          <w:rFonts w:ascii="Calibri" w:cs="Calibri" w:eastAsia="Calibri" w:hAnsi="Calibri"/>
          <w:b w:val="false"/>
          <w:bCs w:val="false"/>
          <w:color w:val="5A6270"/>
        </w:rPr>
        <w:t xml:space="preserve">Carga de trabalho e composição da carteira</w:t>
      </w:r>
    </w:p>
    <w:p>
      <w:pPr>
        <w:spacing w:after="60"/>
        <w:ind w:left="560"/>
      </w:pPr>
      <w:r>
        <w:rPr>
          <w:rFonts w:ascii="Calibri" w:cs="Calibri" w:eastAsia="Calibri" w:hAnsi="Calibri"/>
          <w:b w:val="false"/>
          <w:bCs w:val="false"/>
          <w:color w:val="5A6270"/>
        </w:rPr>
        <w:t xml:space="preserve">3.5   </w:t>
      </w:r>
      <w:r>
        <w:rPr>
          <w:rFonts w:ascii="Calibri" w:cs="Calibri" w:eastAsia="Calibri" w:hAnsi="Calibri"/>
          <w:b w:val="false"/>
          <w:bCs w:val="false"/>
          <w:color w:val="5A6270"/>
        </w:rPr>
        <w:t xml:space="preserve">As anomalias mais custosas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1C1F24"/>
        </w:rPr>
        <w:t xml:space="preserve">4.   </w:t>
      </w:r>
      <w:r>
        <w:rPr>
          <w:rFonts w:ascii="Calibri" w:cs="Calibri" w:eastAsia="Calibri" w:hAnsi="Calibri"/>
          <w:b/>
          <w:bCs/>
          <w:color w:val="1C1F24"/>
        </w:rPr>
        <w:t xml:space="preserve">O que encontramos nos dados</w:t>
      </w:r>
    </w:p>
    <w:p>
      <w:pPr>
        <w:spacing w:after="60"/>
        <w:ind w:left="560"/>
      </w:pPr>
      <w:r>
        <w:rPr>
          <w:rFonts w:ascii="Calibri" w:cs="Calibri" w:eastAsia="Calibri" w:hAnsi="Calibri"/>
          <w:b w:val="false"/>
          <w:bCs w:val="false"/>
          <w:color w:val="5A6270"/>
        </w:rPr>
        <w:t xml:space="preserve">4.1   </w:t>
      </w:r>
      <w:r>
        <w:rPr>
          <w:rFonts w:ascii="Calibri" w:cs="Calibri" w:eastAsia="Calibri" w:hAnsi="Calibri"/>
          <w:b w:val="false"/>
          <w:bCs w:val="false"/>
          <w:color w:val="5A6270"/>
        </w:rPr>
        <w:t xml:space="preserve">Registros com tratamento anterior à anomalia</w:t>
      </w:r>
    </w:p>
    <w:p>
      <w:pPr>
        <w:spacing w:after="60"/>
        <w:ind w:left="560"/>
      </w:pPr>
      <w:r>
        <w:rPr>
          <w:rFonts w:ascii="Calibri" w:cs="Calibri" w:eastAsia="Calibri" w:hAnsi="Calibri"/>
          <w:b w:val="false"/>
          <w:bCs w:val="false"/>
          <w:color w:val="5A6270"/>
        </w:rPr>
        <w:t xml:space="preserve">4.2   </w:t>
      </w:r>
      <w:r>
        <w:rPr>
          <w:rFonts w:ascii="Calibri" w:cs="Calibri" w:eastAsia="Calibri" w:hAnsi="Calibri"/>
          <w:b w:val="false"/>
          <w:bCs w:val="false"/>
          <w:color w:val="5A6270"/>
        </w:rPr>
        <w:t xml:space="preserve">Dias com carga acima do possível</w:t>
      </w:r>
    </w:p>
    <w:p>
      <w:pPr>
        <w:spacing w:after="60"/>
        <w:ind w:left="560"/>
      </w:pPr>
      <w:r>
        <w:rPr>
          <w:rFonts w:ascii="Calibri" w:cs="Calibri" w:eastAsia="Calibri" w:hAnsi="Calibri"/>
          <w:b w:val="false"/>
          <w:bCs w:val="false"/>
          <w:color w:val="5A6270"/>
        </w:rPr>
        <w:t xml:space="preserve">4.3   </w:t>
      </w:r>
      <w:r>
        <w:rPr>
          <w:rFonts w:ascii="Calibri" w:cs="Calibri" w:eastAsia="Calibri" w:hAnsi="Calibri"/>
          <w:b w:val="false"/>
          <w:bCs w:val="false"/>
          <w:color w:val="5A6270"/>
        </w:rPr>
        <w:t xml:space="preserve">O tempo médio cadastrado é, em boa parte, um valor padrão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1C1F24"/>
        </w:rPr>
        <w:t xml:space="preserve">5.   </w:t>
      </w:r>
      <w:r>
        <w:rPr>
          <w:rFonts w:ascii="Calibri" w:cs="Calibri" w:eastAsia="Calibri" w:hAnsi="Calibri"/>
          <w:b/>
          <w:bCs/>
          <w:color w:val="1C1F24"/>
        </w:rPr>
        <w:t xml:space="preserve">Recomendações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1C1F24"/>
        </w:rPr>
        <w:t xml:space="preserve">6.   </w:t>
      </w:r>
      <w:r>
        <w:rPr>
          <w:rFonts w:ascii="Calibri" w:cs="Calibri" w:eastAsia="Calibri" w:hAnsi="Calibri"/>
          <w:b/>
          <w:bCs/>
          <w:color w:val="1C1F24"/>
        </w:rPr>
        <w:t xml:space="preserve">Racional analítico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1C1F24"/>
        </w:rPr>
        <w:t xml:space="preserve">7.   </w:t>
      </w:r>
      <w:r>
        <w:rPr>
          <w:rFonts w:ascii="Calibri" w:cs="Calibri" w:eastAsia="Calibri" w:hAnsi="Calibri"/>
          <w:b/>
          <w:bCs/>
          <w:color w:val="1C1F24"/>
        </w:rPr>
        <w:t xml:space="preserve">O que acompanha este documento</w:t>
      </w:r>
    </w:p>
    <w:p>
      <w:r>
        <w:br w:type="page"/>
      </w:r>
    </w:p>
    <w:p>
      <w:pPr>
        <w:pStyle w:val="Heading1"/>
        <w:pBdr>
          <w:bottom w:val="single" w:color="1C4B82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C4B82"/>
          <w:sz w:val="30"/>
          <w:szCs w:val="30"/>
        </w:rPr>
        <w:t xml:space="preserve">1. Resumo executivo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operação tratou </w:t>
      </w:r>
      <w:r>
        <w:rPr>
          <w:rFonts w:ascii="Calibri" w:cs="Calibri" w:eastAsia="Calibri" w:hAnsi="Calibri"/>
          <w:b/>
          <w:bCs/>
        </w:rPr>
        <w:t xml:space="preserve">163.811 retenções de faturamento</w:t>
      </w:r>
      <w:r>
        <w:rPr>
          <w:rFonts w:ascii="Calibri" w:cs="Calibri" w:eastAsia="Calibri" w:hAnsi="Calibri"/>
        </w:rPr>
        <w:t xml:space="preserve"> entre 06/01/2026 e 30/06/2026. Desse total, </w:t>
      </w:r>
      <w:r>
        <w:rPr>
          <w:rFonts w:ascii="Calibri" w:cs="Calibri" w:eastAsia="Calibri" w:hAnsi="Calibri"/>
          <w:b/>
          <w:bCs/>
        </w:rPr>
        <w:t xml:space="preserve">6,23%</w:t>
      </w:r>
      <w:r>
        <w:rPr>
          <w:rFonts w:ascii="Calibri" w:cs="Calibri" w:eastAsia="Calibri" w:hAnsi="Calibri"/>
        </w:rPr>
        <w:t xml:space="preserve"> ficaram fora do prazo de dois dias. O número agregado é bom e esconde o que importa para a decisão: a falha não está distribuída pela operação. Uma única anomalia, a </w:t>
      </w:r>
      <w:r>
        <w:rPr>
          <w:rFonts w:ascii="Consolas" w:cs="Consolas" w:eastAsia="Consolas" w:hAnsi="Consolas"/>
          <w:sz w:val="19"/>
          <w:szCs w:val="19"/>
        </w:rPr>
        <w:t xml:space="preserve">MANUAL01</w:t>
      </w:r>
      <w:r>
        <w:rPr>
          <w:rFonts w:ascii="Calibri" w:cs="Calibri" w:eastAsia="Calibri" w:hAnsi="Calibri"/>
        </w:rPr>
        <w:t xml:space="preserve">, responde por </w:t>
      </w:r>
      <w:r>
        <w:rPr>
          <w:rFonts w:ascii="Calibri" w:cs="Calibri" w:eastAsia="Calibri" w:hAnsi="Calibri"/>
          <w:b/>
          <w:bCs/>
        </w:rPr>
        <w:t xml:space="preserve">53,4%</w:t>
      </w:r>
      <w:r>
        <w:rPr>
          <w:rFonts w:ascii="Calibri" w:cs="Calibri" w:eastAsia="Calibri" w:hAnsi="Calibri"/>
        </w:rPr>
        <w:t xml:space="preserve"> de todas as quebras de prazo do semestre, embora represente apenas 16,6% do volume.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O custo do trabalho não está onde está o volume. </w:t>
      </w:r>
      <w:r>
        <w:rPr>
          <w:rFonts w:ascii="Calibri" w:cs="Calibri" w:eastAsia="Calibri" w:hAnsi="Calibri"/>
        </w:rPr>
        <w:t xml:space="preserve">80,9% dos chamados são resolvidos em lote, e esse trabalho consome </w:t>
      </w:r>
      <w:r>
        <w:rPr>
          <w:rFonts w:ascii="Calibri" w:cs="Calibri" w:eastAsia="Calibri" w:hAnsi="Calibri"/>
          <w:b/>
          <w:bCs/>
        </w:rPr>
        <w:t xml:space="preserve">6,3%</w:t>
      </w:r>
      <w:r>
        <w:rPr>
          <w:rFonts w:ascii="Calibri" w:cs="Calibri" w:eastAsia="Calibri" w:hAnsi="Calibri"/>
        </w:rPr>
        <w:t xml:space="preserve"> das horas da equipe. Os </w:t>
      </w:r>
      <w:r>
        <w:rPr>
          <w:rFonts w:ascii="Calibri" w:cs="Calibri" w:eastAsia="Calibri" w:hAnsi="Calibri"/>
          <w:b/>
          <w:bCs/>
        </w:rPr>
        <w:t xml:space="preserve">19,1%</w:t>
      </w:r>
      <w:r>
        <w:rPr>
          <w:rFonts w:ascii="Calibri" w:cs="Calibri" w:eastAsia="Calibri" w:hAnsi="Calibri"/>
        </w:rPr>
        <w:t xml:space="preserve"> tratados um a um consomem os outros </w:t>
      </w:r>
      <w:r>
        <w:rPr>
          <w:rFonts w:ascii="Calibri" w:cs="Calibri" w:eastAsia="Calibri" w:hAnsi="Calibri"/>
          <w:b/>
          <w:bCs/>
        </w:rPr>
        <w:t xml:space="preserve">93,7%</w:t>
      </w:r>
      <w:r>
        <w:rPr>
          <w:rFonts w:ascii="Calibri" w:cs="Calibri" w:eastAsia="Calibri" w:hAnsi="Calibri"/>
        </w:rPr>
        <w:t xml:space="preserve">. Na média, um chamado manual custa 63 vezes o esforço de um chamado massivo (2,95 minutos contra 0,047). Reduzir o volume total da fila economiza pouco. O que economiza é mover trabalho do manual para o massivo, ou eliminar a causa que gera o manual.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Capacidade não é o problema. O esforço estimado do semestre foi de </w:t>
      </w:r>
      <w:r>
        <w:rPr>
          <w:rFonts w:ascii="Calibri" w:cs="Calibri" w:eastAsia="Calibri" w:hAnsi="Calibri"/>
          <w:b/>
          <w:bCs/>
        </w:rPr>
        <w:t xml:space="preserve">1.644 horas</w:t>
      </w:r>
      <w:r>
        <w:rPr>
          <w:rFonts w:ascii="Calibri" w:cs="Calibri" w:eastAsia="Calibri" w:hAnsi="Calibri"/>
        </w:rPr>
        <w:t xml:space="preserve">, o equivalente a 2,0 pessoas em tempo integral, e 4,7% dos dias trabalhados por pessoa passaram das 7 horas previstas. 81% dos chamados são resolvidos no mesmo dia em que a anomalia aparece.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Se a gestão puder tocar uma frente apenas, recomendamos a fila da </w:t>
      </w:r>
      <w:r>
        <w:rPr>
          <w:rFonts w:ascii="Consolas" w:cs="Consolas" w:eastAsia="Consolas" w:hAnsi="Consolas"/>
          <w:sz w:val="19"/>
          <w:szCs w:val="19"/>
        </w:rPr>
        <w:t xml:space="preserve">MANUAL01</w:t>
      </w:r>
      <w:r>
        <w:rPr>
          <w:rFonts w:ascii="Calibri" w:cs="Calibri" w:eastAsia="Calibri" w:hAnsi="Calibri"/>
        </w:rPr>
        <w:t xml:space="preserve">. Resolver a espera dessa anomalia levaria o indicador geral de </w:t>
      </w:r>
      <w:r>
        <w:rPr>
          <w:rFonts w:ascii="Calibri" w:cs="Calibri" w:eastAsia="Calibri" w:hAnsi="Calibri"/>
          <w:b/>
          <w:bCs/>
        </w:rPr>
        <w:t xml:space="preserve">6,23%</w:t>
      </w:r>
      <w:r>
        <w:rPr>
          <w:rFonts w:ascii="Calibri" w:cs="Calibri" w:eastAsia="Calibri" w:hAnsi="Calibri"/>
        </w:rPr>
        <w:t xml:space="preserve"> para </w:t>
      </w:r>
      <w:r>
        <w:rPr>
          <w:rFonts w:ascii="Calibri" w:cs="Calibri" w:eastAsia="Calibri" w:hAnsi="Calibri"/>
          <w:b/>
          <w:bCs/>
        </w:rPr>
        <w:t xml:space="preserve">2,90%</w:t>
      </w:r>
      <w:r>
        <w:rPr>
          <w:rFonts w:ascii="Calibri" w:cs="Calibri" w:eastAsia="Calibri" w:hAnsi="Calibri"/>
        </w:rPr>
        <w:t xml:space="preserve">, uma melhora de 3,32 pontos percentuais, sem alterar nada no resto da operação.</w:t>
      </w:r>
    </w:p>
    <w:p>
      <w:pPr>
        <w:pStyle w:val="Heading1"/>
        <w:pBdr>
          <w:bottom w:val="single" w:color="1C4B82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C4B82"/>
          <w:sz w:val="30"/>
          <w:szCs w:val="30"/>
        </w:rPr>
        <w:t xml:space="preserve">2. O que analisamos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fonte é a planilha </w:t>
      </w:r>
      <w:r>
        <w:rPr>
          <w:rFonts w:ascii="Consolas" w:cs="Consolas" w:eastAsia="Consolas" w:hAnsi="Consolas"/>
          <w:sz w:val="19"/>
          <w:szCs w:val="19"/>
        </w:rPr>
        <w:t xml:space="preserve">Case_Processo_Seletivo.xlsx</w:t>
      </w:r>
      <w:r>
        <w:rPr>
          <w:rFonts w:ascii="Calibri" w:cs="Calibri" w:eastAsia="Calibri" w:hAnsi="Calibri"/>
        </w:rPr>
        <w:t xml:space="preserve">, com três abas. A </w:t>
      </w:r>
      <w:r>
        <w:rPr>
          <w:rFonts w:ascii="Calibri" w:cs="Calibri" w:eastAsia="Calibri" w:hAnsi="Calibri"/>
          <w:b/>
          <w:bCs/>
        </w:rPr>
        <w:t xml:space="preserve">Base de Dados</w:t>
      </w:r>
      <w:r>
        <w:rPr>
          <w:rFonts w:ascii="Calibri" w:cs="Calibri" w:eastAsia="Calibri" w:hAnsi="Calibri"/>
        </w:rPr>
        <w:t xml:space="preserve"> traz o fato: </w:t>
      </w:r>
      <w:r>
        <w:rPr>
          <w:rFonts w:ascii="Calibri" w:cs="Calibri" w:eastAsia="Calibri" w:hAnsi="Calibri"/>
        </w:rPr>
        <w:t xml:space="preserve">163.811 linhas e oito colunas. A aba </w:t>
      </w:r>
      <w:r>
        <w:rPr>
          <w:rFonts w:ascii="Calibri" w:cs="Calibri" w:eastAsia="Calibri" w:hAnsi="Calibri"/>
          <w:b/>
          <w:bCs/>
        </w:rPr>
        <w:t xml:space="preserve">Premissas e Informações</w:t>
      </w:r>
      <w:r>
        <w:rPr>
          <w:rFonts w:ascii="Calibri" w:cs="Calibri" w:eastAsia="Calibri" w:hAnsi="Calibri"/>
        </w:rPr>
        <w:t xml:space="preserve"> fornece os parâmetros de cálculo, o prazo de 2 dias e a saturação de 7 horas por pessoa por dia, além do tempo médio de tratamento de cada tipo de anomalia. A aba </w:t>
      </w:r>
      <w:r>
        <w:rPr>
          <w:rFonts w:ascii="Calibri" w:cs="Calibri" w:eastAsia="Calibri" w:hAnsi="Calibri"/>
          <w:b/>
          <w:bCs/>
        </w:rPr>
        <w:t xml:space="preserve">Expectativa</w:t>
      </w:r>
      <w:r>
        <w:rPr>
          <w:rFonts w:ascii="Calibri" w:cs="Calibri" w:eastAsia="Calibri" w:hAnsi="Calibri"/>
        </w:rPr>
        <w:t xml:space="preserve"> contém o enunciado do desafio e nenhum dado.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O que representa uma linha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Cada linha é uma retenção aplicada a um documento de faturamento, junto com o seu tratamento. Não é um documento, e não é um dia de trabalho. A distinção muda a leitura de todos os totais: há </w:t>
      </w:r>
      <w:r>
        <w:rPr>
          <w:rFonts w:ascii="Calibri" w:cs="Calibri" w:eastAsia="Calibri" w:hAnsi="Calibri"/>
        </w:rPr>
        <w:t xml:space="preserve">112.282 documentos distintos para 163.811 linhas, o que dá 1,46 retenções por documento em média, chegando a 19 no caso extremo. Um mesmo documento pode ser barrado por várias regras diferentes, e cada barreira precisa ser tratada individualmente.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O processo por trás dos dados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O sistema de cobrança prepara um documento de faturamento e regras automáticas o inspecionam. Quando algo destoa do padrão, uma retenção é aplicada e o documento deixa de ser faturado. Um analista recebe a fila, investiga o caso e decide: corrige a inconsistência ou conclui que o documento está correto e apenas libera a retenção. Enquanto a retenção existe, a receita não é faturada, o que explica por que a área trabalha com prazo curto e explícito.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divisão entre corrigir e apenas liberar ficou em 0,0% contra 50,0% no semestre. Metade das retenções, portanto, não tinha erro nenhum a corrigir. Voltamos a esse ponto na seção de recomendações, porque ele tem consequência prática.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Números gerais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DDE1E7" w:sz="4"/>
          <w:insideV w:val="single" w:color="DDE1E7" w:sz="4"/>
        </w:tblBorders>
      </w:tblPr>
      <w:tblGrid>
        <w:gridCol w:w="3200"/>
        <w:gridCol w:w="2600"/>
        <w:gridCol w:w="3838"/>
      </w:tblGrid>
      <w:tr>
        <w:trPr>
          <w:tblHeader/>
        </w:trPr>
        <w:tc>
          <w:tcPr>
            <w:tcW w:type="dxa" w:w="32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6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838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Retenções analisadas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163.811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Uma por linha da base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Documentos distintos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112.282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1,46 retenções por documento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Tipos de anomalia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32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43 cadastrados nas premissas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Colaboradores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8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Carga desigual, ver seção 3.4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Anomalias geradas entre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06/01/2026 e 30/06/2026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Seis meses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Último tratamento registrado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05/08/2026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A cauda passa do fim do período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Prazo acordado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2 dias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Aba Premissas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Capacidade diária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7 horas por pessoa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Aba Premissas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i/>
          <w:iCs/>
          <w:color w:val="5A6270"/>
          <w:sz w:val="17"/>
          <w:szCs w:val="17"/>
        </w:rPr>
        <w:t xml:space="preserve">Fonte: Case_Processo_Seletivo.xlsx, abas Base de Dados e Premissas e Informações.</w:t>
      </w:r>
    </w:p>
    <w:p>
      <w:r>
        <w:br w:type="page"/>
      </w:r>
    </w:p>
    <w:p>
      <w:pPr>
        <w:pStyle w:val="Heading1"/>
        <w:pBdr>
          <w:bottom w:val="single" w:color="1C4B82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C4B82"/>
          <w:sz w:val="30"/>
          <w:szCs w:val="30"/>
        </w:rPr>
        <w:t xml:space="preserve">3. Diagnóstico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3.1 O prazo é cumprido na maioria dos casos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Dos 163.274 chamados avaliáveis, 153.108 foram tratados dentro dos 2 dias e 10.166 passaram do prazo, o que dá </w:t>
      </w:r>
      <w:r>
        <w:rPr>
          <w:rFonts w:ascii="Calibri" w:cs="Calibri" w:eastAsia="Calibri" w:hAnsi="Calibri"/>
          <w:b/>
          <w:bCs/>
        </w:rPr>
        <w:t xml:space="preserve">6,23%</w:t>
      </w:r>
      <w:r>
        <w:rPr>
          <w:rFonts w:ascii="Calibri" w:cs="Calibri" w:eastAsia="Calibri" w:hAnsi="Calibri"/>
        </w:rPr>
        <w:t xml:space="preserve"> fora do SLA.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distribuição do tempo de tratamento é bastante concentrada. 81,0% dos chamados são resolvidos no mesmo dia em que a anomalia aparece, e o percentil 90 fica exatamente em 2 dias, no limite do prazo. A média dos registros consistentes, 0,42 dia, descreve mal o comportamento real: o mesmo conjunto contém casos que levaram até 120 dias. A cauda é longa e fina, com poucos casos acumulando muito atraso.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Quando o atraso vem de sobrecarga, ele acompanha os picos de volume. Não é o que acontece aqui: comparando semana a semana, o percentual fora do prazo sobe e desce em momentos que não coincidem com as semanas de maior volume. A interpretação que fazemos é que o atraso vem de filas específicas que travam, e não da capacidade da equipe.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3.2 Onde o prazo quebra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As quebras de prazo estão concentradas em poucos códigos. A tabela abaixo mostra os cinco maiores contribuintes.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DDE1E7" w:sz="4"/>
          <w:insideV w:val="single" w:color="DDE1E7" w:sz="4"/>
        </w:tblBorders>
      </w:tblPr>
      <w:tblGrid>
        <w:gridCol w:w="1900"/>
        <w:gridCol w:w="1950"/>
        <w:gridCol w:w="1900"/>
        <w:gridCol w:w="2288"/>
        <w:gridCol w:w="1600"/>
      </w:tblGrid>
      <w:tr>
        <w:trPr>
          <w:tblHeader/>
        </w:trPr>
        <w:tc>
          <w:tcPr>
            <w:tcW w:type="dxa" w:w="19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Anomalia</w:t>
            </w:r>
          </w:p>
        </w:tc>
        <w:tc>
          <w:tcPr>
            <w:tcW w:type="dxa" w:w="195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Chamados fora do prazo</w:t>
            </w:r>
          </w:p>
        </w:tc>
        <w:tc>
          <w:tcPr>
            <w:tcW w:type="dxa" w:w="19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de todas as quebras</w:t>
            </w:r>
          </w:p>
        </w:tc>
        <w:tc>
          <w:tcPr>
            <w:tcW w:type="dxa" w:w="2288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das ocorrências dela que estouram</w:t>
            </w:r>
          </w:p>
        </w:tc>
        <w:tc>
          <w:tcPr>
            <w:tcW w:type="dxa" w:w="16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acumulado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MANUAL01</w:t>
            </w:r>
          </w:p>
        </w:tc>
        <w:tc>
          <w:tcPr>
            <w:tcW w:type="dxa" w:w="1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5.425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53,4%</w:t>
            </w:r>
          </w:p>
        </w:tc>
        <w:tc>
          <w:tcPr>
            <w:tcW w:type="dxa" w:w="22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19,9%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53,4%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ZCLTAPDEF</w:t>
            </w:r>
          </w:p>
        </w:tc>
        <w:tc>
          <w:tcPr>
            <w:tcW w:type="dxa" w:w="1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1.223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12,0%</w:t>
            </w:r>
          </w:p>
        </w:tc>
        <w:tc>
          <w:tcPr>
            <w:tcW w:type="dxa" w:w="22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5,2%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65,4%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ZC113DIFNG</w:t>
            </w:r>
          </w:p>
        </w:tc>
        <w:tc>
          <w:tcPr>
            <w:tcW w:type="dxa" w:w="1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1.211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11,9%</w:t>
            </w:r>
          </w:p>
        </w:tc>
        <w:tc>
          <w:tcPr>
            <w:tcW w:type="dxa" w:w="22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7,3%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77,3%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ZCDFNPARC</w:t>
            </w:r>
          </w:p>
        </w:tc>
        <w:tc>
          <w:tcPr>
            <w:tcW w:type="dxa" w:w="1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976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9,6%</w:t>
            </w:r>
          </w:p>
        </w:tc>
        <w:tc>
          <w:tcPr>
            <w:tcW w:type="dxa" w:w="22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2,2%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86,9%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MANUAL05</w:t>
            </w:r>
          </w:p>
        </w:tc>
        <w:tc>
          <w:tcPr>
            <w:tcW w:type="dxa" w:w="1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575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5,7%</w:t>
            </w:r>
          </w:p>
        </w:tc>
        <w:tc>
          <w:tcPr>
            <w:tcW w:type="dxa" w:w="22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14,7%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92,6%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i/>
          <w:iCs/>
          <w:color w:val="5A6270"/>
          <w:sz w:val="17"/>
          <w:szCs w:val="17"/>
        </w:rPr>
        <w:t xml:space="preserve">A quarta coluna separa a anomalia que aparece muito da que falha muito.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</w:t>
      </w:r>
      <w:r>
        <w:rPr>
          <w:rFonts w:ascii="Consolas" w:cs="Consolas" w:eastAsia="Consolas" w:hAnsi="Consolas"/>
          <w:sz w:val="19"/>
          <w:szCs w:val="19"/>
        </w:rPr>
        <w:t xml:space="preserve">MANUAL01</w:t>
      </w:r>
      <w:r>
        <w:rPr>
          <w:rFonts w:ascii="Calibri" w:cs="Calibri" w:eastAsia="Calibri" w:hAnsi="Calibri"/>
        </w:rPr>
        <w:t xml:space="preserve"> é 16,6% do volume e 53,4% das quebras. Ela estoura o prazo em </w:t>
      </w:r>
      <w:r>
        <w:rPr>
          <w:rFonts w:ascii="Calibri" w:cs="Calibri" w:eastAsia="Calibri" w:hAnsi="Calibri"/>
          <w:b/>
          <w:bCs/>
        </w:rPr>
        <w:t xml:space="preserve">19,9%</w:t>
      </w:r>
      <w:r>
        <w:rPr>
          <w:rFonts w:ascii="Calibri" w:cs="Calibri" w:eastAsia="Calibri" w:hAnsi="Calibri"/>
        </w:rPr>
        <w:t xml:space="preserve"> das próprias ocorrências, contra 2,2% da anomalia de maior volume da base. As duas primeiras linhas da tabela somam 65,4% de tudo o que atrasa no semestre.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O padrão de atraso dessa fila chama a atenção. Entre os chamados consistentes da </w:t>
      </w:r>
      <w:r>
        <w:rPr>
          <w:rFonts w:ascii="Consolas" w:cs="Consolas" w:eastAsia="Consolas" w:hAnsi="Consolas"/>
          <w:sz w:val="19"/>
          <w:szCs w:val="19"/>
        </w:rPr>
        <w:t xml:space="preserve">MANUAL01</w:t>
      </w:r>
      <w:r>
        <w:rPr>
          <w:rFonts w:ascii="Calibri" w:cs="Calibri" w:eastAsia="Calibri" w:hAnsi="Calibri"/>
        </w:rPr>
        <w:t xml:space="preserve">, 19.222 saem no mesmo dia e 2.430 no dia seguinte. No segundo dia caem para 136, e então voltam a subir: 3.241 no terceiro dia e 2.166 no quarto. Um vale seguido de um novo pico não é o desenho de trabalho que demora a ser feito, e sim de trabalho que espera por alguma coisa. Nossa hipótese é que existe um gatilho externo à fila, uma rotina em lote ou o retorno de outra área, mas a base não permite confirmar isso. É a primeira pergunta que faríamos ao dono do processo.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3.3 Manual e massivo: o volume não é o custo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Um tratamento massivo resolve um lote inteiro numa execução. O analista identifica que um conjunto de documentos foi retido pelo mesmo motivo e libera todos de uma vez. Um tratamento manual exige abrir o caso, investigar e decidir, um por um. A base registra </w:t>
      </w:r>
      <w:r>
        <w:rPr>
          <w:rFonts w:ascii="Calibri" w:cs="Calibri" w:eastAsia="Calibri" w:hAnsi="Calibri"/>
        </w:rPr>
        <w:t xml:space="preserve">2.277 lotes massivos no semestre, com mediana de 7 chamados por lote e um caso extremo de 10.600 documentos liberados numa única execução.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DDE1E7" w:sz="4"/>
          <w:insideV w:val="single" w:color="DDE1E7" w:sz="4"/>
        </w:tblBorders>
      </w:tblPr>
      <w:tblGrid>
        <w:gridCol w:w="2400"/>
        <w:gridCol w:w="1800"/>
        <w:gridCol w:w="1800"/>
        <w:gridCol w:w="1900"/>
        <w:gridCol w:w="1738"/>
      </w:tblGrid>
      <w:tr>
        <w:trPr>
          <w:tblHeader/>
        </w:trPr>
        <w:tc>
          <w:tcPr>
            <w:tcW w:type="dxa" w:w="24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liberação</w:t>
            </w:r>
          </w:p>
        </w:tc>
        <w:tc>
          <w:tcPr>
            <w:tcW w:type="dxa" w:w="18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Chamados</w:t>
            </w:r>
          </w:p>
        </w:tc>
        <w:tc>
          <w:tcPr>
            <w:tcW w:type="dxa" w:w="18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do volume</w:t>
            </w:r>
          </w:p>
        </w:tc>
        <w:tc>
          <w:tcPr>
            <w:tcW w:type="dxa" w:w="19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Horas estimadas</w:t>
            </w:r>
          </w:p>
        </w:tc>
        <w:tc>
          <w:tcPr>
            <w:tcW w:type="dxa" w:w="1738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do esforço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MASSIVO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132.492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80,88%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103,7</w:t>
            </w:r>
          </w:p>
        </w:tc>
        <w:tc>
          <w:tcPr>
            <w:tcW w:type="dxa" w:w="17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6,31%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MANUAL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31.319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19,12%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1.540,5</w:t>
            </w:r>
          </w:p>
        </w:tc>
        <w:tc>
          <w:tcPr>
            <w:tcW w:type="dxa" w:w="17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93,69%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i/>
          <w:iCs/>
          <w:color w:val="5A6270"/>
          <w:sz w:val="17"/>
          <w:szCs w:val="17"/>
        </w:rPr>
        <w:t xml:space="preserve">O tempo de um tratamento massivo é contado uma vez por lote, não por chamado. Ver seção 6.2.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As duas medidas são quase o inverso uma da outra. Quatro em cada cinco anomalias já são resolvidas a um custo próximo de zero, e quase todo o tempo da equipe está no quinto restante. Em números por chamado, o manual custa </w:t>
      </w:r>
      <w:r>
        <w:rPr>
          <w:rFonts w:ascii="Calibri" w:cs="Calibri" w:eastAsia="Calibri" w:hAnsi="Calibri"/>
          <w:b/>
          <w:bCs/>
        </w:rPr>
        <w:t xml:space="preserve">2,95 minutos</w:t>
      </w:r>
      <w:r>
        <w:rPr>
          <w:rFonts w:ascii="Calibri" w:cs="Calibri" w:eastAsia="Calibri" w:hAnsi="Calibri"/>
        </w:rPr>
        <w:t xml:space="preserve"> de esforço e o massivo custa </w:t>
      </w:r>
      <w:r>
        <w:rPr>
          <w:rFonts w:ascii="Calibri" w:cs="Calibri" w:eastAsia="Calibri" w:hAnsi="Calibri"/>
          <w:b/>
          <w:bCs/>
        </w:rPr>
        <w:t xml:space="preserve">0,047 minutos</w:t>
      </w:r>
      <w:r>
        <w:rPr>
          <w:rFonts w:ascii="Calibri" w:cs="Calibri" w:eastAsia="Calibri" w:hAnsi="Calibri"/>
        </w:rPr>
        <w:t xml:space="preserve">, uma razão de 63 para 1.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Isso muda a pergunta que a gestão precisa fazer. A pergunta natural diante de 163 mil retenções é como reduzir o volume. Pelos números, reduzir volume massivo quase não devolve capacidade. O ganho está em converter tratamento manual em massivo, ou em impedir que a retenção manual se forme.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3.4 Carga de trabalho e composição da carteira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distribuição de volume entre as 8 pessoas é bem desigual. A pessoa mais carregada trata 39% de todos os chamados, enquanto as três menores somam pouco mais de um décimo. A carga média por dia trabalhado, porém, fica abaixo das 7 horas para todos, e apenas 33 dos 697 pares de pessoa e dia (4,7%) ultrapassam o limite.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DDE1E7" w:sz="4"/>
          <w:insideV w:val="single" w:color="DDE1E7" w:sz="4"/>
        </w:tblBorders>
      </w:tblPr>
      <w:tblGrid>
        <w:gridCol w:w="1450"/>
        <w:gridCol w:w="1300"/>
        <w:gridCol w:w="1000"/>
        <w:gridCol w:w="1150"/>
        <w:gridCol w:w="1050"/>
        <w:gridCol w:w="1650"/>
        <w:gridCol w:w="2038"/>
      </w:tblGrid>
      <w:tr>
        <w:trPr>
          <w:tblHeader/>
        </w:trPr>
        <w:tc>
          <w:tcPr>
            <w:tcW w:type="dxa" w:w="145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Colaborador(a)</w:t>
            </w:r>
          </w:p>
        </w:tc>
        <w:tc>
          <w:tcPr>
            <w:tcW w:type="dxa" w:w="13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Chamados</w:t>
            </w:r>
          </w:p>
        </w:tc>
        <w:tc>
          <w:tcPr>
            <w:tcW w:type="dxa" w:w="10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Horas/dia</w:t>
            </w:r>
          </w:p>
        </w:tc>
        <w:tc>
          <w:tcPr>
            <w:tcW w:type="dxa" w:w="115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fora do prazo</w:t>
            </w:r>
          </w:p>
        </w:tc>
        <w:tc>
          <w:tcPr>
            <w:tcW w:type="dxa" w:w="105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manual</w:t>
            </w:r>
          </w:p>
        </w:tc>
        <w:tc>
          <w:tcPr>
            <w:tcW w:type="dxa" w:w="165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Origem principal</w:t>
            </w:r>
          </w:p>
        </w:tc>
        <w:tc>
          <w:tcPr>
            <w:tcW w:type="dxa" w:w="2038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Fila que mais quebra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ANA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63.278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5,75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2,00%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17,0%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0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ZC113DIFNG (50%)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ALFREDO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36.725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2,34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16,86%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9,3%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0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MANUAL01 (86%)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JOSE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25.436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2,11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3,43%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19,2%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Campo</w:t>
            </w:r>
          </w:p>
        </w:tc>
        <w:tc>
          <w:tcPr>
            <w:tcW w:type="dxa" w:w="20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MANUAL05 (66%)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NAYARA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7.313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1,59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6,17%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39,6%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0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ZC113DIFNG (28%)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CARLA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7.261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1,49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4,24%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36,5%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0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ZC113DIFNG (33%)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MARTA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11.799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2,17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5,38%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21,9%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0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ZCLTAPDEF (37%)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JESSICA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6.388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1,23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6,40%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32,3%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0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ZC113DIFNG (28%)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ANDREA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5.611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3,26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0,57%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36,1%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0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ZCAJALTO (34%)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i/>
          <w:iCs/>
          <w:color w:val="5A6270"/>
          <w:sz w:val="17"/>
          <w:szCs w:val="17"/>
        </w:rPr>
        <w:t xml:space="preserve">A última coluna indica de qual anomalia vem a maior parte das quebras de prazo de cada pessoa.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tabela precisa ser lida com cuidado, porque a diferença entre as pontas é grande. </w:t>
      </w:r>
      <w:r>
        <w:rPr>
          <w:rFonts w:ascii="Calibri" w:cs="Calibri" w:eastAsia="Calibri" w:hAnsi="Calibri"/>
          <w:b/>
          <w:bCs/>
        </w:rPr>
        <w:t xml:space="preserve">ALFREDO</w:t>
      </w:r>
      <w:r>
        <w:rPr>
          <w:rFonts w:ascii="Calibri" w:cs="Calibri" w:eastAsia="Calibri" w:hAnsi="Calibri"/>
        </w:rPr>
        <w:t xml:space="preserve"> aparece com 16,86% dos chamados fora do prazo, e </w:t>
      </w:r>
      <w:r>
        <w:rPr>
          <w:rFonts w:ascii="Calibri" w:cs="Calibri" w:eastAsia="Calibri" w:hAnsi="Calibri"/>
          <w:b/>
          <w:bCs/>
        </w:rPr>
        <w:t xml:space="preserve">ANDREA</w:t>
      </w:r>
      <w:r>
        <w:rPr>
          <w:rFonts w:ascii="Calibri" w:cs="Calibri" w:eastAsia="Calibri" w:hAnsi="Calibri"/>
        </w:rPr>
        <w:t xml:space="preserve"> com 0,57%. Olhando só essa coluna, a conclusão seria sobre desempenho individual, e ela estaria errada.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última coluna explica o que está acontecendo. </w:t>
      </w:r>
      <w:r>
        <w:rPr>
          <w:rFonts w:ascii="Calibri" w:cs="Calibri" w:eastAsia="Calibri" w:hAnsi="Calibri"/>
        </w:rPr>
        <w:t xml:space="preserve">86% das quebras de ALFREDO vêm da </w:t>
      </w:r>
      <w:r>
        <w:rPr>
          <w:rFonts w:ascii="Consolas" w:cs="Consolas" w:eastAsia="Consolas" w:hAnsi="Consolas"/>
          <w:sz w:val="19"/>
          <w:szCs w:val="19"/>
        </w:rPr>
        <w:t xml:space="preserve">MANUAL01</w:t>
      </w:r>
      <w:r>
        <w:rPr>
          <w:rFonts w:ascii="Calibri" w:cs="Calibri" w:eastAsia="Calibri" w:hAnsi="Calibri"/>
        </w:rPr>
        <w:t xml:space="preserve">, a mesma anomalia que lidera o ranking geral de atrasos, e ele concentra </w:t>
      </w:r>
      <w:r>
        <w:rPr>
          <w:rFonts w:ascii="Calibri" w:cs="Calibri" w:eastAsia="Calibri" w:hAnsi="Calibri"/>
        </w:rPr>
        <w:t xml:space="preserve">98,7% de todas as quebras dessa fila na operação inteira. Ele também é a única pessoa que trata a origem Clientes Telemedidos. O que a tabela mede é a carteira que cada pessoa recebe, não a velocidade com que trabalha. A ação que sai daí é redistribuir a fila, não cobrar a pessoa.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3.5 As anomalias mais custosas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expressão "anomalia mais ofensora" comporta leituras diferentes, e elas levam a decisões diferentes. Apresentamos as três, porque escolher uma e omitir as outras levaria a priorizar a coisa errada.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DDE1E7" w:sz="4"/>
          <w:insideV w:val="single" w:color="DDE1E7" w:sz="4"/>
        </w:tblBorders>
      </w:tblPr>
      <w:tblGrid>
        <w:gridCol w:w="2200"/>
        <w:gridCol w:w="2500"/>
        <w:gridCol w:w="2500"/>
        <w:gridCol w:w="2438"/>
      </w:tblGrid>
      <w:tr>
        <w:trPr>
          <w:tblHeader/>
        </w:trPr>
        <w:tc>
          <w:tcPr>
            <w:tcW w:type="dxa" w:w="22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  <w:tc>
          <w:tcPr>
            <w:tcW w:type="dxa" w:w="25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1º</w:t>
            </w:r>
          </w:p>
        </w:tc>
        <w:tc>
          <w:tcPr>
            <w:tcW w:type="dxa" w:w="25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2º</w:t>
            </w:r>
          </w:p>
        </w:tc>
        <w:tc>
          <w:tcPr>
            <w:tcW w:type="dxa" w:w="2438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3º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Maior volume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ZCDFNPARC (44.208)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ZCAJALTO (37.635)</w:t>
            </w:r>
          </w:p>
        </w:tc>
        <w:tc>
          <w:tcPr>
            <w:tcW w:type="dxa" w:w="24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MANUAL01 (27.214)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Maior tempo total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ZCLTAPDEF (542,6 h)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ZCAJALTO (287,6 h)</w:t>
            </w:r>
          </w:p>
        </w:tc>
        <w:tc>
          <w:tcPr>
            <w:tcW w:type="dxa" w:w="24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MANUAL03 (231,1 h)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Maior tempo unitário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ZFML_X_MF (6,17 min)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MANUAL02 (6,05 min)</w:t>
            </w:r>
          </w:p>
        </w:tc>
        <w:tc>
          <w:tcPr>
            <w:tcW w:type="dxa" w:w="24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ZCDEVEXC (6,02 min)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i/>
          <w:iCs/>
          <w:color w:val="5A6270"/>
          <w:sz w:val="17"/>
          <w:szCs w:val="17"/>
        </w:rPr>
        <w:t xml:space="preserve">Os três rankings quase não se sobrepõem.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</w:t>
      </w:r>
      <w:r>
        <w:rPr>
          <w:rFonts w:ascii="Consolas" w:cs="Consolas" w:eastAsia="Consolas" w:hAnsi="Consolas"/>
          <w:sz w:val="19"/>
          <w:szCs w:val="19"/>
        </w:rPr>
        <w:t xml:space="preserve">ZCLTAPDEF</w:t>
      </w:r>
      <w:r>
        <w:rPr>
          <w:rFonts w:ascii="Calibri" w:cs="Calibri" w:eastAsia="Calibri" w:hAnsi="Calibri"/>
        </w:rPr>
        <w:t xml:space="preserve"> é a maior consumidora de horas da operação, com 542,6 horas no semestre, ou 33,0% de todo o esforço, sendo apenas a 4ª em volume. Ela combina volume alto com tempo unitário de 4,23 minutos, e 30,9% dos seus chamados são tratados manualmente. Essa fatia manual responde por 510 das 542,6 horas.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O terceiro ranking mostra por que os três precisam aparecer juntos. A </w:t>
      </w:r>
      <w:r>
        <w:rPr>
          <w:rFonts w:ascii="Consolas" w:cs="Consolas" w:eastAsia="Consolas" w:hAnsi="Consolas"/>
          <w:sz w:val="19"/>
          <w:szCs w:val="19"/>
        </w:rPr>
        <w:t xml:space="preserve">ZFML_X_MF</w:t>
      </w:r>
      <w:r>
        <w:rPr>
          <w:rFonts w:ascii="Calibri" w:cs="Calibri" w:eastAsia="Calibri" w:hAnsi="Calibri"/>
        </w:rPr>
        <w:t xml:space="preserve"> é a mais cara por ocorrência, com 6,17 minutos, mas teve 58 chamados no semestre inteiro. Otimizá-la devolveria poucas horas. Quem priorizasse pelo custo unitário sozinho atacaria justamente o alvo de menor retorno.</w:t>
      </w:r>
    </w:p>
    <w:p>
      <w:r>
        <w:br w:type="page"/>
      </w:r>
    </w:p>
    <w:p>
      <w:pPr>
        <w:pStyle w:val="Heading1"/>
        <w:pBdr>
          <w:bottom w:val="single" w:color="1C4B82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C4B82"/>
          <w:sz w:val="30"/>
          <w:szCs w:val="30"/>
        </w:rPr>
        <w:t xml:space="preserve">4. O que encontramos nos dados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Três pontos apareceram durante a análise e afetam a leitura dos indicadores. Registramos cada um com o que observamos, o que suspeitamos e a pergunta que levaríamos à área responsável pelo dado.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4.1 Registros com tratamento anterior à anomalia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/>
          <w:bCs/>
        </w:rPr>
        <w:t xml:space="preserve">537 linhas</w:t>
      </w:r>
      <w:r>
        <w:rPr>
          <w:rFonts w:ascii="Calibri" w:cs="Calibri" w:eastAsia="Calibri" w:hAnsi="Calibri"/>
        </w:rPr>
        <w:t xml:space="preserve"> (0,33% da base) têm data de tratamento anterior à data da anomalia, o que é impossível no fluxo do processo. A distribuição não parece aleatória: 536 delas trazem o tratamento exatamente 2 dias antes da anomalia, e se espalham por várias anomalias, colaboradores e origens. Erro de digitação isolado não produz esse padrão.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Trabalhamos com três hipóteses, em ordem de plausibilidade. A primeira é falha de carga em um lote específico, com carimbo de data errado ou inversão de campos na extração. A segunda é reprocessamento retroativo, em que a anomalia foi reaplicada sobre um documento já tratado e o registro guardou a data da reincidência. A terceira, menos provável, é diferença de fuso ou de tipo de data entre os sistemas de origem.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Perguntaríamos à área se houve reprocessamento ou correção retroativa nessa data, se a data da anomalia se refere à primeira ocorrência ou à última reincidência, e se uma anomalia pode ser reaplicada a um documento já tratado.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Sinalizamos esses registros na base e os retiramos do denominador do prazo, mantendo a contagem visível. A decisão nos prejudica em vez de ajudar: mantê-los no cálculo faria com que contassem como atraso negativo, ou seja, dentro do prazo, e o indicador ficaria artificialmente melhor.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4.2 Dias com carga acima do possível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Mesmo depois de contar o tratamento massivo uma vez por lote, 12 pares de pessoa e dia ultrapassam 24 horas de trabalho. São 1,7% dos pares e 438 das 1.644 horas do semestre. O maior deles é </w:t>
      </w:r>
      <w:r>
        <w:rPr>
          <w:rFonts w:ascii="Calibri" w:cs="Calibri" w:eastAsia="Calibri" w:hAnsi="Calibri"/>
          <w:b/>
          <w:bCs/>
        </w:rPr>
        <w:t xml:space="preserve">ANA em 25/05/2026, com 91,0 horas</w:t>
      </w:r>
      <w:r>
        <w:rPr>
          <w:rFonts w:ascii="Calibri" w:cs="Calibri" w:eastAsia="Calibri" w:hAnsi="Calibri"/>
        </w:rPr>
        <w:t xml:space="preserve">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Nesse dia a pessoa aparece com 8.225 chamados, dos quais 2.047 estão marcados como tratamento manual. Só esses 2.047 respondem por 90,8 das 91,0 horas. O problema não está no volume, está na classificação: fazer 2.047 investigações individuais numa jornada de 7 horas daria 12 segundos por caso, sem pausa.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explicação mais provável é erro de preenchimento do tipo de liberação, com trabalho feito em lote registrado como manual. A segunda possibilidade é que o tempo médio cadastrado não valha para tratamento em série, já que resolver centenas de casos idênticos em sequência tem ganho de repetição que um modelo linear não captura. A terceira é que o campo de colaborador identifique o responsável pela fila, e não quem executou as horas.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Isso limita a precisão do total de horas, mas não muda a direção dos achados. Nas três hipóteses, o esforço fica ainda mais concentrado no lado manual, o que reforça em vez de contradizer a leitura da seção 3.3. O que se desloca é a magnitude absoluta, não o ranking nem a conclusão.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4.3 O tempo médio cadastrado é, em boa parte, um valor padrão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Na tabela de premissas, </w:t>
      </w:r>
      <w:r>
        <w:rPr>
          <w:rFonts w:ascii="Calibri" w:cs="Calibri" w:eastAsia="Calibri" w:hAnsi="Calibri"/>
          <w:b/>
          <w:bCs/>
        </w:rPr>
        <w:t xml:space="preserve">29 das 43 anomalias</w:t>
      </w:r>
      <w:r>
        <w:rPr>
          <w:rFonts w:ascii="Calibri" w:cs="Calibri" w:eastAsia="Calibri" w:hAnsi="Calibri"/>
        </w:rPr>
        <w:t xml:space="preserve"> têm exatamente o mesmo tempo médio, 115 segundos. Outros valores também se repetem em blocos, e no total existem apenas 11 valores distintos para 43 anomalias. A leitura direta é que a tabela não veio de cronoanálise por tipo de anomalia, e sim de uma estimativa com preenchimento padrão para o que não foi medido.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Isso precisa acompanhar qualquer número em horas deste documento. As anomalias de maior volume e maior esforço estão entre as que têm valor próprio, o que reduz o impacto, mas todo total de horas aqui é uma estimativa derivada de um parâmetro estimado.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As conclusões resistem porque dependem de proporção, e não do valor absoluto. Se todos os tempos estiverem errados na mesma direção, a maior consumidora de horas continua sendo a mesma e o esforço continua concentrado no manual. Perguntaríamos à área como o tempo médio foi levantado e se o valor de </w:t>
      </w:r>
      <w:r>
        <w:rPr>
          <w:rFonts w:ascii="Calibri" w:cs="Calibri" w:eastAsia="Calibri" w:hAnsi="Calibri"/>
        </w:rPr>
        <w:t xml:space="preserve">1,92 minutos é medido ou é o padrão usado para o que não foi cronometrado.</w:t>
      </w:r>
    </w:p>
    <w:p>
      <w:r>
        <w:br w:type="page"/>
      </w:r>
    </w:p>
    <w:p>
      <w:pPr>
        <w:pStyle w:val="Heading1"/>
        <w:pBdr>
          <w:bottom w:val="single" w:color="1C4B82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C4B82"/>
          <w:sz w:val="30"/>
          <w:szCs w:val="30"/>
        </w:rPr>
        <w:t xml:space="preserve">5. Recomendações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Quatro frentes, em ordem de retorno estimado. As duas primeiras têm impacto quantificado a partir da base; as outras duas dependem de informação que só a área tem.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5.1 Atacar a fila da MANUAL01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Esta é a recomendação de maior retorno por unidade de esforço. A anomalia é 16,6% do volume e 53,4% de todas as quebras de prazo, com taxa de falha interna de 19,9%. Se ela deixasse de estourar, o indicador geral cairia de 6,23% para 2,90%, evitando 5.425 quebras no semestre.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O trabalho começa antes de qualquer automação. O padrão de atraso descrito na seção 3.2 sugere espera por um gatilho externo, e mapear o fluxo de ponta a ponta dessa anomalia custa pouco: quem gera a retenção, o que dispara o tratamento e por que existe fila. É diagnóstico de processo, não de pessoa.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5.2 Automatizar o tratamento da ZCLTAPDEF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É o maior retorno em capacidade. A anomalia consome 542,6 horas no semestre, 33,0% de todo o esforço, e 30,9% dos seus chamados são manuais, respondendo por 510 dessas horas. O custo está concentrado justamente na parte automatizável.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Migrar essa fila para tratamento em lote liberaria a maior parte dessas horas, o equivalente a 0,6 pessoa em tempo integral no mesmo período. Para saber se é viável, é preciso entender por que esses casos não entram nas liberações massivas: faltam critérios objetivos de agrupamento ou existe exigência de conferência individual? Se for a segunda, vale medir quantos desses tratamentos terminam sem correção, porque uma conferência que quase nunca encontra erro é candidata a ser revista.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5.3 Revisar as regras que mais retêm documentos corretos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50,0% das retenções foram liberadas sem nenhuma correção. O documento estava certo e a regra o barrou. Cada retenção indevida eliminada é uma fila que não chega a se formar, economia maior do que tratar mais rápido, porque não consome análise nem prazo.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Recomendamos ranquear as regras pela taxa de liberação sem correção e revisar as piores junto com quem definiu o critério. A decisão exige cautela, porque uma regra de retenção existe para evitar faturamento errado, e afrouxá-la tem custo do outro lado. A escolha de tolerância cabe ao negócio. O que oferecemos aqui é o número que hoje não está na mesa quando essa escolha é feita.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Uma ressalva sobre esse indicador: parte dos casos classificados como liberação sem correção pode ter exigido análise humana genuína para concluir que estava tudo certo. O percentual é ponto de partida da conversa, não veredito sobre as regras.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5.4 Redistribuir a fila concentrada e corrigir o registro do tipo de liberação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fila da MANUAL01 está concentrada em uma pessoa, que responde por 98,7% das quebras dessa anomalia. Redistribuir reduz a dependência de uma pessoa só e corrige a distorção do indicador individual descrita na seção 3.4.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Em paralelo, a inconsistência de classificação da seção 4.2 precisa ser resolvida na origem. Enquanto trabalho em lote for registrado como manual, qualquer medição de capacidade da área fica errada, inclusive a que sustenta pedido de quadro. Nenhuma das duas ações exige projeto: são ajustes de processo e de cadastro.</w:t>
      </w:r>
    </w:p>
    <w:p>
      <w:r>
        <w:br w:type="page"/>
      </w:r>
    </w:p>
    <w:p>
      <w:pPr>
        <w:pStyle w:val="Heading1"/>
        <w:pBdr>
          <w:bottom w:val="single" w:color="1C4B82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C4B82"/>
          <w:sz w:val="30"/>
          <w:szCs w:val="30"/>
        </w:rPr>
        <w:t xml:space="preserve">6. Racional analítico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6.1 Por que estes indicadores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Escolhemos cinco indicadores para o topo do painel. O percentual fora do prazo é o único com meta explícita na planilha e mede diretamente receita retida além do combinado, mas sozinho esconde concentração, e por isso aparece sempre acompanhado da decomposição por anomalia.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O par manual e massivo é apresentado duas vezes, em volume e em esforço, porque nenhuma das duas medidas mostra o desequilíbrio isoladamente. É esse par que transforma "temos muito volume" em "o custo está em outro lugar". Ele depende do tempo médio cadastrado, com a limitação descrita na seção 4.3.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O esforço total em horas converte fila em capacidade e responde à pergunta de dimensionamento. O percentual de dias acima da saturação separa equipe sobrecarregada de volume concentrado, e aqui mostrou que não existe problema sistêmico de capacidade. O percentual resolvido no mesmo dia dirige a atenção para a cauda em vez do processo inteiro.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6.2 Decisões onde a planilha era ambígua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aba de premissas define prazo de dois dias e saturação de sete horas, sem qualificar como esses valores devem ser aplicados. Onde havia mais de uma leitura defensável, escolhemos uma, deixamos registrada e calculamos as alternativas.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Contagem em dias corridos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 planilha diz apenas "2 dias". A base registra 5.342 tratamentos aos sábados e 0 aos domingos, ou seja, a operação trabalha seis dias por semana e não segue o calendário útil de segunda a sexta. Adotar dias úteis padrão perdoaria automaticamente todo atraso que atravessa o fim de semana. Optamos por dias corridos, a leitura mais conservadora.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Prazo cumprido com atraso menor ou igual a dois dias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"Prazo esperado de dois dias" descreve um teto. Quem entrega em dois dias cumpriu o combinado. Ler como "menos de dois" transformaria o prazo em um dia e reprovaria quem fez o acordado. A escolha tem peso: o indicador passa de </w:t>
      </w:r>
      <w:r>
        <w:rPr>
          <w:rFonts w:ascii="Calibri" w:cs="Calibri" w:eastAsia="Calibri" w:hAnsi="Calibri"/>
          <w:b/>
          <w:bCs/>
        </w:rPr>
        <w:t xml:space="preserve">6,23%</w:t>
      </w:r>
      <w:r>
        <w:rPr>
          <w:rFonts w:ascii="Calibri" w:cs="Calibri" w:eastAsia="Calibri" w:hAnsi="Calibri"/>
        </w:rPr>
        <w:t xml:space="preserve"> para </w:t>
      </w:r>
      <w:r>
        <w:rPr>
          <w:rFonts w:ascii="Calibri" w:cs="Calibri" w:eastAsia="Calibri" w:hAnsi="Calibri"/>
          <w:b/>
          <w:bCs/>
        </w:rPr>
        <w:t xml:space="preserve">10,51%</w:t>
      </w:r>
      <w:r>
        <w:rPr>
          <w:rFonts w:ascii="Calibri" w:cs="Calibri" w:eastAsia="Calibri" w:hAnsi="Calibri"/>
        </w:rPr>
        <w:t xml:space="preserve"> na leitura mais rígida.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DDE1E7" w:sz="4"/>
          <w:insideV w:val="single" w:color="DDE1E7" w:sz="4"/>
        </w:tblBorders>
      </w:tblPr>
      <w:tblGrid>
        <w:gridCol w:w="4000"/>
        <w:gridCol w:w="2000"/>
        <w:gridCol w:w="3638"/>
      </w:tblGrid>
      <w:tr>
        <w:trPr>
          <w:tblHeader/>
        </w:trPr>
        <w:tc>
          <w:tcPr>
            <w:tcW w:type="dxa" w:w="40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Convenção de cálculo</w:t>
            </w:r>
          </w:p>
        </w:tc>
        <w:tc>
          <w:tcPr>
            <w:tcW w:type="dxa" w:w="20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fora do prazo</w:t>
            </w:r>
          </w:p>
        </w:tc>
        <w:tc>
          <w:tcPr>
            <w:tcW w:type="dxa" w:w="3638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Dias corridos, até 2 dias (adotada)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6,23%</w:t>
            </w:r>
          </w:p>
        </w:tc>
        <w:tc>
          <w:tcPr>
            <w:tcW w:type="dxa" w:w="3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Leitura literal da premissa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Dias corridos, menos de 2 dias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10,51%</w:t>
            </w:r>
          </w:p>
        </w:tc>
        <w:tc>
          <w:tcPr>
            <w:tcW w:type="dxa" w:w="3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4,29 pontos mais severa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Dias úteis de segunda a sábado, até 2 dias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3,12%</w:t>
            </w:r>
          </w:p>
        </w:tc>
        <w:tc>
          <w:tcPr>
            <w:tcW w:type="dxa" w:w="3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Quase metade do indicador adotado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Tempo do tratamento massivo contado uma vez por lote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Foi a decisão de maior consequência numérica. Um tratamento massivo resolve o lote numa execução, então atribuir o tempo médio cheio a cada chamado do lote multiplica o esforço. O maior lote da base tem </w:t>
      </w:r>
      <w:r>
        <w:rPr>
          <w:rFonts w:ascii="Calibri" w:cs="Calibri" w:eastAsia="Calibri" w:hAnsi="Calibri"/>
          <w:b/>
          <w:bCs/>
        </w:rPr>
        <w:t xml:space="preserve">10.600 documentos</w:t>
      </w:r>
      <w:r>
        <w:rPr>
          <w:rFonts w:ascii="Calibri" w:cs="Calibri" w:eastAsia="Calibri" w:hAnsi="Calibri"/>
        </w:rPr>
        <w:t xml:space="preserve">: cobrado por chamado, ele sozinho custaria centenas de horas em um único dia, para uma pessoa.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Adotamos a seguinte regra. Tratamento manual recebe o tempo médio cheio por chamado, porque cada caso foi tratado individualmente. Tratamento massivo tem o tempo contado uma vez por lote e rateado entre os chamados, de modo que o total do lote fica correto e cada linha continua auditável. Definimos lote como a combinação de mesma pessoa, mesmo dia, mesma anomalia e mesma forma de liberação.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O custo da alternativa é grande. Cobrando o tempo cheio de cada chamado massivo, o esforço do semestre passaria de </w:t>
      </w:r>
      <w:r>
        <w:rPr>
          <w:rFonts w:ascii="Calibri" w:cs="Calibri" w:eastAsia="Calibri" w:hAnsi="Calibri"/>
          <w:b/>
          <w:bCs/>
        </w:rPr>
        <w:t xml:space="preserve">1.644 para 7.348 horas</w:t>
      </w:r>
      <w:r>
        <w:rPr>
          <w:rFonts w:ascii="Calibri" w:cs="Calibri" w:eastAsia="Calibri" w:hAnsi="Calibri"/>
        </w:rPr>
        <w:t xml:space="preserve">, 4,5 vezes mais, e os dias acima da saturação subiriam de 4,7% para 22,5%. Os dois cenários ficam lado a lado na base exportada, para que a premissa possa ser contestada e recalculada.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Anomalias em aberto e registros inconsistentes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Um registro sem data de tratamento seria uma anomalia ainda aberta. Ele permaneceria na base e no denominador, envelhecido contra a data máxima observada e não contra a data de hoje, o que manteria o resultado reprodutível. Excluir o não tratado do cálculo é a forma mais comum de produzir um indicador de prazo melhor do que a realidade. Nesta base o total é 0, e o tratamento está no código de qualquer forma.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Os 537 registros com data invertida ficam na base com sinalização própria e saem do denominador do prazo, conforme descrito na seção 4.1.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6.3 Validações executadas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O ponto das checagens abaixo não é que passaram. É que o número aparece mesmo quando é zero. Se quatro mil linhas ficassem sem tempo médio depois da junção, elas apareceriam no relatório em vez de virar hora zero em algum somatório.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DDE1E7" w:sz="4"/>
          <w:insideV w:val="single" w:color="DDE1E7" w:sz="4"/>
        </w:tblBorders>
      </w:tblPr>
      <w:tblGrid>
        <w:gridCol w:w="3400"/>
        <w:gridCol w:w="3600"/>
        <w:gridCol w:w="2638"/>
      </w:tblGrid>
      <w:tr>
        <w:trPr>
          <w:tblHeader/>
        </w:trPr>
        <w:tc>
          <w:tcPr>
            <w:tcW w:type="dxa" w:w="34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foi validado</w:t>
            </w:r>
          </w:p>
        </w:tc>
        <w:tc>
          <w:tcPr>
            <w:tcW w:type="dxa" w:w="36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</w:t>
            </w:r>
          </w:p>
        </w:tc>
        <w:tc>
          <w:tcPr>
            <w:tcW w:type="dxa" w:w="2638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Colunas obrigatórias com o nome exato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Comparação contra lista fixa, com erro se faltar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8 de 8 encontradas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A junção não multiplicou linhas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Validação de cardinalidade e conferência de contagem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163.811 antes, 163.811 depois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Nenhuma anomalia sem tempo médio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Chaves normalizadas sem acento, espaço ou caixa antes da junção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0 linhas sem tempo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Tabela de tempos sem chave duplicada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Checagem antes da junção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0 duplicadas em 43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Datas convertidas sem perda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Contagem de nulos antes e depois da conversão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0 não convertidas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Cadastro mais amplo que o período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Diferença de conjuntos nos dois sentidos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11 anomalias cadastradas sem ocorrência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C1F24"/>
          <w:sz w:val="24"/>
          <w:szCs w:val="24"/>
        </w:rPr>
        <w:t xml:space="preserve">6.4 O que faríamos com mais tempo</w:t>
      </w:r>
    </w:p>
    <w:p>
      <w:pPr>
        <w:spacing w:after="160" w:line="288"/>
        <w:ind w:left="340" w:hanging="340"/>
        <w:jc w:val="both"/>
      </w:pPr>
      <w:r>
        <w:rPr>
          <w:rFonts w:ascii="Calibri" w:cs="Calibri" w:eastAsia="Calibri" w:hAnsi="Calibri"/>
          <w:b/>
          <w:bCs/>
        </w:rPr>
        <w:t xml:space="preserve">1.  </w:t>
      </w:r>
      <w:r>
        <w:rPr>
          <w:rFonts w:ascii="Calibri" w:cs="Calibri" w:eastAsia="Calibri" w:hAnsi="Calibri"/>
        </w:rPr>
        <w:t xml:space="preserve">Validar com a área as três perguntas da seção 4. Elas alteram a magnitude das horas, ainda que não a direção das conclusões.</w:t>
      </w:r>
    </w:p>
    <w:p>
      <w:pPr>
        <w:spacing w:after="160" w:line="288"/>
        <w:ind w:left="340" w:hanging="340"/>
        <w:jc w:val="both"/>
      </w:pPr>
      <w:r>
        <w:rPr>
          <w:rFonts w:ascii="Calibri" w:cs="Calibri" w:eastAsia="Calibri" w:hAnsi="Calibri"/>
          <w:b/>
          <w:bCs/>
        </w:rPr>
        <w:t xml:space="preserve">2.  </w:t>
      </w:r>
      <w:r>
        <w:rPr>
          <w:rFonts w:ascii="Calibri" w:cs="Calibri" w:eastAsia="Calibri" w:hAnsi="Calibri"/>
        </w:rPr>
        <w:t xml:space="preserve">Entender a variação do volume ao longo do semestre. O volume mensal oscila bastante e a base não explica a causa. Se for sazonalidade, o dimensionamento da equipe muda.</w:t>
      </w:r>
    </w:p>
    <w:p>
      <w:pPr>
        <w:spacing w:after="160" w:line="288"/>
        <w:ind w:left="340" w:hanging="340"/>
        <w:jc w:val="both"/>
      </w:pPr>
      <w:r>
        <w:rPr>
          <w:rFonts w:ascii="Calibri" w:cs="Calibri" w:eastAsia="Calibri" w:hAnsi="Calibri"/>
          <w:b/>
          <w:bCs/>
        </w:rPr>
        <w:t xml:space="preserve">3.  </w:t>
      </w:r>
      <w:r>
        <w:rPr>
          <w:rFonts w:ascii="Calibri" w:cs="Calibri" w:eastAsia="Calibri" w:hAnsi="Calibri"/>
        </w:rPr>
        <w:t xml:space="preserve">Ranquear as regras de retenção pela taxa de liberação sem correção e simular o efeito de calibrar as piores.</w:t>
      </w:r>
    </w:p>
    <w:p>
      <w:pPr>
        <w:spacing w:after="160" w:line="288"/>
        <w:ind w:left="340" w:hanging="340"/>
        <w:jc w:val="both"/>
      </w:pPr>
      <w:r>
        <w:rPr>
          <w:rFonts w:ascii="Calibri" w:cs="Calibri" w:eastAsia="Calibri" w:hAnsi="Calibri"/>
          <w:b/>
          <w:bCs/>
        </w:rPr>
        <w:t xml:space="preserve">4.  </w:t>
      </w:r>
      <w:r>
        <w:rPr>
          <w:rFonts w:ascii="Calibri" w:cs="Calibri" w:eastAsia="Calibri" w:hAnsi="Calibri"/>
        </w:rPr>
        <w:t xml:space="preserve">Montar uma simulação de capacidade: dado o volume projetado e a proporção entre manual e massivo, quantas pessoas a fila exige e quanto cada automação devolve.</w:t>
      </w:r>
    </w:p>
    <w:p>
      <w:r>
        <w:br w:type="page"/>
      </w:r>
    </w:p>
    <w:p>
      <w:pPr>
        <w:pStyle w:val="Heading1"/>
        <w:pBdr>
          <w:bottom w:val="single" w:color="1C4B82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C4B82"/>
          <w:sz w:val="30"/>
          <w:szCs w:val="30"/>
        </w:rPr>
        <w:t xml:space="preserve">7. O que acompanha este documento</w:t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Todos os números citados aqui são calculados a partir da planilha original pelo mesmo módulo que alimenta o painel e o relatório técnico. A regra de cálculo existe em um único lugar, o que impede que os três materiais divirjam entre si.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DDE1E7" w:sz="4"/>
          <w:insideV w:val="single" w:color="DDE1E7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638"/>
            <w:shd w:fill="1C4B8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app.py</w:t>
            </w:r>
          </w:p>
        </w:tc>
        <w:tc>
          <w:tcPr>
            <w:tcW w:type="dxa" w:w="6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Dashboard interativo em Streamlit, com os mesmos números e as leituras em texto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analise_core.py</w:t>
            </w:r>
          </w:p>
        </w:tc>
        <w:tc>
          <w:tcPr>
            <w:tcW w:type="dxa" w:w="6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Núcleo analítico: toda a regra de cálculo, sem impressão nem escrita em disco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analise_anomalias.py</w:t>
            </w:r>
          </w:p>
        </w:tc>
        <w:tc>
          <w:tcPr>
            <w:tcW w:type="dxa" w:w="6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Relatório de linha de comando e geração do Excel de resultados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resultado_analise.xlsx</w:t>
            </w:r>
          </w:p>
        </w:tc>
        <w:tc>
          <w:tcPr>
            <w:tcW w:type="dxa" w:w="6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Base enriquecida com 163.811 linhas e oito abas de resumo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saida_execucao.txt</w:t>
            </w:r>
          </w:p>
        </w:tc>
        <w:tc>
          <w:tcPr>
            <w:tcW w:type="dxa" w:w="6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Saída real da execução, incluindo o log das validações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MEMORIAL_DO_CASE.pdf</w:t>
            </w:r>
          </w:p>
        </w:tc>
        <w:tc>
          <w:tcPr>
            <w:tcW w:type="dxa" w:w="6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Documento de estudo: anatomia da base, método detalhado e perguntas prováveis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Case_Processo_Seletivo.xlsx</w:t>
            </w:r>
          </w:p>
        </w:tc>
        <w:tc>
          <w:tcPr>
            <w:tcW w:type="dxa" w:w="6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F24"/>
                <w:sz w:val="18"/>
                <w:szCs w:val="18"/>
              </w:rPr>
              <w:t xml:space="preserve">Planilha original, sem alteração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60" w:line="288"/>
        <w:jc w:val="both"/>
      </w:pPr>
      <w:r>
        <w:rPr>
          <w:rFonts w:ascii="Calibri" w:cs="Calibri" w:eastAsia="Calibri" w:hAnsi="Calibri"/>
        </w:rPr>
        <w:t xml:space="preserve">Para abrir o painel, basta instalar as dependências listadas em </w:t>
      </w:r>
      <w:r>
        <w:rPr>
          <w:rFonts w:ascii="Consolas" w:cs="Consolas" w:eastAsia="Consolas" w:hAnsi="Consolas"/>
          <w:sz w:val="19"/>
          <w:szCs w:val="19"/>
        </w:rPr>
        <w:t xml:space="preserve">requirements.txt</w:t>
      </w:r>
      <w:r>
        <w:rPr>
          <w:rFonts w:ascii="Calibri" w:cs="Calibri" w:eastAsia="Calibri" w:hAnsi="Calibri"/>
        </w:rPr>
        <w:t xml:space="preserve"> e executar </w:t>
      </w:r>
      <w:r>
        <w:rPr>
          <w:rFonts w:ascii="Consolas" w:cs="Consolas" w:eastAsia="Consolas" w:hAnsi="Consolas"/>
          <w:sz w:val="19"/>
          <w:szCs w:val="19"/>
        </w:rPr>
        <w:t xml:space="preserve">streamlit run app.py</w:t>
      </w:r>
      <w:r>
        <w:rPr>
          <w:rFonts w:ascii="Calibri" w:cs="Calibri" w:eastAsia="Calibri" w:hAnsi="Calibri"/>
        </w:rPr>
        <w:t xml:space="preserve"> na pasta do projeto.</w:t>
      </w:r>
    </w:p>
    <w:sectPr>
      <w:headerReference w:type="default" r:id="rId7"/>
      <w:footerReference w:type="default" r:id="rId8"/>
      <w:pgSz w:w="11905" w:h="16837" w:orient="portrait"/>
      <w:pgMar w:top="124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2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Calibri" w:cs="Calibri" w:eastAsia="Calibri" w:hAnsi="Calibri"/>
        <w:color w:val="5A6270"/>
        <w:sz w:val="16"/>
        <w:szCs w:val="16"/>
      </w:rPr>
      <w:t xml:space="preserve">Anomalias de Faturamento · Análise da operação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F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Anomalias de Faturamento — Análise da Operação</dc:title>
  <dc:creator>Análise de Anomalias de Faturamento</dc:creator>
  <dc:description>Documento de apoio ao dashboard gerencial</dc:description>
  <cp:lastModifiedBy>Un-named</cp:lastModifiedBy>
  <cp:revision>1</cp:revision>
  <dcterms:created xsi:type="dcterms:W3CDTF">2026-09-02T10:26:04.194Z</dcterms:created>
  <dcterms:modified xsi:type="dcterms:W3CDTF">2026-09-02T10:26:04.194Z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