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Proposta: regras de negócio e requisitos com identificadores</w:t>
      </w:r>
    </w:p>
    <w:p>
      <w:r>
        <w:rPr>
          <w:i/>
        </w:rPr>
        <w:t>Esta é uma proposta para a seção 2.4.3 e para os quadros da seção 2.7 do relatório DERS do Somnus, atendendo ao comentário do orientador: “Substituir as linhas simples por identificadores estruturados e sequenciais (ex: RN01, RN02, RN03)” e “Aqui ainda falta aquela referência às RN”. O arquivo original não foi alterado. Os textos podem ser copiados direto para o Word.</w:t>
      </w:r>
    </w:p>
    <w:p>
      <w:pPr>
        <w:pStyle w:val="Heading1"/>
      </w:pPr>
      <w:r>
        <w:t>1. O que mudou em relação à versão atual</w:t>
      </w:r>
    </w:p>
    <w:p>
      <w:pPr>
        <w:pStyle w:val="ListBullet"/>
      </w:pPr>
      <w:r>
        <w:t>Cada regra ganhou um identificador (RN01 a RN14), um nome curto, a descrição e a origem (quem ou o que impõe a regra).</w:t>
      </w:r>
    </w:p>
    <w:p>
      <w:pPr>
        <w:pStyle w:val="ListBullet"/>
      </w:pPr>
      <w:r>
        <w:t>Os itens que descreviam o processo manual de hoje (formulário em papel, “sem a intervenção do CESM”, documento “devolvido e tabulado”) saíram das regras. Eles já estão descritos em 2.6.1 (Situação atual) e contradiziam a coleta assistida do sistema.</w:t>
      </w:r>
    </w:p>
    <w:p>
      <w:pPr>
        <w:pStyle w:val="ListBullet"/>
      </w:pPr>
      <w:r>
        <w:t>A frase “as escalas PSQI, DASS, K10, SRQ e EMSSP … avaliam o consumo de álcool” foi removida (estava errada; quem avalia o álcool é o AUDIT-3).</w:t>
      </w:r>
    </w:p>
    <w:p>
      <w:pPr>
        <w:pStyle w:val="ListBullet"/>
      </w:pPr>
      <w:r>
        <w:t>A lista de instrumentos passou a incluir a ESE e o AUDIT-3, que faltavam na regra “Todo paciente deve responder…”.</w:t>
      </w:r>
    </w:p>
    <w:p>
      <w:pPr>
        <w:pStyle w:val="ListBullet"/>
      </w:pPr>
      <w:r>
        <w:t>Entraram regras que o sistema já aplica mas que não estavam escritas: versionamento do TCLE, perfis de acesso, pseudonimização/criptografia e desativação em vez de exclusão.</w:t>
      </w:r>
    </w:p>
    <w:p>
      <w:pPr>
        <w:pStyle w:val="ListBullet"/>
      </w:pPr>
      <w:r>
        <w:t>Cada RF passa a ter uma linha “Regras de negócio” no quadro, e uma matriz RF × RN mostra a rastreabilidade.</w:t>
      </w:r>
    </w:p>
    <w:p>
      <w:pPr>
        <w:pStyle w:val="Heading1"/>
      </w:pPr>
      <w:r>
        <w:t>2. Texto sugerido para a seção 2.4.3 Regras de negócio</w:t>
      </w:r>
    </w:p>
    <w:p>
      <w:r>
        <w:rPr>
          <w:i w:val="0"/>
        </w:rPr>
        <w:t>As regras de negócio a seguir definem as condições que o Somnus deve respeitar independentemente da tela ou da tecnologia utilizada. Cada regra recebe um identificador sequencial (RN), referenciado nos requisitos funcionais da seção 2.7 para garantir a rastreabilidade.</w:t>
      </w:r>
    </w:p>
    <w:p>
      <w:r>
        <w:rPr>
          <w:b/>
        </w:rPr>
        <w:t>Quadro X -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4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Regra</w:t>
            </w:r>
          </w:p>
        </w:tc>
        <w:tc>
          <w:tcPr>
            <w:tcW w:type="dxa" w:w="4762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1701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Origem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RN01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Público-alvo da coleta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Somente pacientes atendidos no Centro de Especialidades de Saúde Mental (CESM) de Rio Verde podem participar da coleta de dados.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 de pesquisa do CESM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RN02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Consentimento prévio obrigatório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Nenhuma resposta pode ser registrada sem que o paciente tenha aceitado o Termo de Consentimento Livre e Esclarecido (TCLE) vigente. O aceite é exigido a cada nova coleta, e não uma única vez por usuário do sistema.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Resolução CNS nº 466/2012; LGPD, art. 11, I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RN03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do aceite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Todo aceite do TCLE deve registrar data e hora, a versão do termo aceita, o usuário (Assistente ou Pesquisador) que conduziu a coleta e a resposta de questionário a que se refere. O participante deve poder receber uma via do termo aceito.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Resolução CNS nº 466/2012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RN04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Versionamento do TCLE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O conteúdo de um TCLE publicado não pode ser editado; alterações geram uma nova versão. Apenas a versão mais recente é apresentada em novas coletas, e os aceites anteriores permanecem vinculados à versão que foi aceita.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Solicitação da banca do TFC I / integridade ética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RN05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Revogação do consentimento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O paciente pode retirar seu consentimento em qualquer fase do estudo, sem penalização. Nesse caso, seus dados devem ser excluídos ou anonimizados de forma irreversível.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Resolução CNS nº 466/2012; LGPD, art. 8º, §5º e art. 18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RN06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Composição do protocolo de coleta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Cada coleta é composta por: (a) dados sociodemográficos: sexo, idade, estado civil, ocupação, escolaridade e renda; (b) dados comportamentais: consumo de álcool (AUDIT-3) e hábito tabágico (questionário elaborado pelo CESM); (c) doenças crônicas associadas e uso de medicamentos para depressão e/ou ansiedade; (d) saúde mental: DASS-21, K10 e SRQ-20; (e) suporte social: EMSSP; (f) sono: PSQI e ESE.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 de pesquisa do CESM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RN07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Ordem de aplicação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Os instrumentos são aplicados na ordem: dados sociodemográficos e comportamentais; escalas de saúde mental (DASS-21, K10, SRQ-20); suporte social (EMSSP); qualidade do sono (PSQI e ESE).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 de pesquisa do CESM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RN08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Neutralidade na coleta assistida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O Assistente de Pesquisa pode ler as perguntas e esclarecer dúvidas de preenchimento, mas não pode sugerir ou induzir respostas.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 de pesquisa do CESM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RN09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Conclusão da avaliação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Uma avaliação só é concluída e gravada quando todas as perguntas marcadas como obrigatórias estiverem respondidas. Avaliações interrompidas não geram registro.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Integridade da amostra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RN10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Cálculo dos escores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O escore de cada instrumento deve ser calculado conforme as regras da versão validada no Brasil (Quadro Y). O valor numérico de cada alternativa é o definido pelo Pesquisador no cadastro da alternativa.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Artigos de validação citados na Introdução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RN11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Natureza dos resultados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Os escores e classificações gerados são indicadores de rastreamento para fins de pesquisa e não constituem diagnóstico ou prognóstico clínico.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Orientação do orientador; evita enquadramento como SaMD (ANVISA, RDC nº 657/2022)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RN12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Perfis de acesso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Somente o Pesquisador pode gerenciar usuários, TCLE, questionários, perguntas, alternativas e escalas. O Assistente de Pesquisa realiza coletas e [definir: consulta ou não o dashboard e os relatórios].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Definição dos interessados (2.1)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RN13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Proteção dos dados do participante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O nome e os relatos textuais do participante devem ser armazenados criptografados. Telas de listagem, dashboard e arquivos exportados identificam o participante apenas pelo código pseudônimo.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LGPD, art. 11 e art. 13, §4º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RN14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Preservação do histórico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Usuários, questionários, escalas e versões do TCLE que já tenham respostas vinculadas não são excluídos, apenas desativados.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Integridade da amostra / rastreabilidade</w:t>
            </w:r>
          </w:p>
        </w:tc>
      </w:tr>
    </w:tbl>
    <w:p>
      <w:r>
        <w:rPr>
          <w:sz w:val="18"/>
        </w:rPr>
        <w:t>Fonte: elaborado pelo autor (2026).</w:t>
      </w:r>
    </w:p>
    <w:p>
      <w:r>
        <w:rPr>
          <w:i/>
        </w:rPr>
        <w:t>Observações: (1) em RN12, falta decidir se o Assistente acessa dashboard e relatórios, porque hoje o quadro do RF-012/RF-013 diz que não e a especificação diz que sim. (2) A RN05 não é atendida por nenhum RF atual (ver seção 4). (3) A RN07 repete a ordem descrita no texto atual; confirme com as coorientadoras se a ordem é obrigatória.</w:t>
      </w:r>
    </w:p>
    <w:p>
      <w:pPr>
        <w:pStyle w:val="Heading2"/>
      </w:pPr>
      <w:r>
        <w:t>Quadro Y - Regras de cálculo dos instrumentos (apoio à RN10)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Instrumento</w:t>
            </w:r>
          </w:p>
        </w:tc>
        <w:tc>
          <w:tcPr>
            <w:tcW w:type="dxa" w:w="1881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Itens</w:t>
            </w:r>
          </w:p>
        </w:tc>
        <w:tc>
          <w:tcPr>
            <w:tcW w:type="dxa" w:w="1881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Escala de resposta</w:t>
            </w:r>
          </w:p>
        </w:tc>
        <w:tc>
          <w:tcPr>
            <w:tcW w:type="dxa" w:w="1881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Escore</w:t>
            </w:r>
          </w:p>
        </w:tc>
        <w:tc>
          <w:tcPr>
            <w:tcW w:type="dxa" w:w="1881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AUDIT-3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 a 4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 a 12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Conferir em Gual et al. (2002) se esta é a forma chamada AUDIT-3.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DASS-21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21 (3 subescalas de 7)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 a 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 a 21 por subescala; 0 a 63 total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Conferir em Vignola e Tucci (2014) se as subescalas são multiplicadas por 2 para os pontos de corte.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K10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 a 5 (conferir)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10 a 50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O texto atual diz 0 a 5; confirmar em Peixoto, Zanini e Andrade (2021).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SRQ-20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Sim = 1, Não = 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 a 20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Gonçalves, Stein e Kapczinski (2008).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EMSSP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12 (família, amigos, outros)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 a 7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12 a 84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Gabardo-Martins, Ferreira e Valentini (2017).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PSQI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19 autoaplicáveis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7 componentes de 0 a 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 a 21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Bertolazi et al. (2011).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ESE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8 situações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 a 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0 a 24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Bertolazi et al. (2009).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Tabaco (CESM)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Categórica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Sem escore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Variável descritiva.</w:t>
            </w:r>
          </w:p>
        </w:tc>
      </w:tr>
    </w:tbl>
    <w:p>
      <w:r>
        <w:rPr>
          <w:sz w:val="18"/>
        </w:rPr>
        <w:t>Fonte: elaborado pelo autor (2026), com base nos artigos de validação citados.</w:t>
      </w:r>
    </w:p>
    <w:p>
      <w:pPr>
        <w:pStyle w:val="Heading1"/>
      </w:pPr>
      <w:r>
        <w:t>3. Como fica o quadro de cada requisito funcional</w:t>
      </w:r>
    </w:p>
    <w:p>
      <w:r>
        <w:rPr>
          <w:i w:val="0"/>
        </w:rPr>
        <w:t>Basta acrescentar uma linha “Regras de negócio” em cada quadro de RF. Exemplo com o RF-005, já com o texto corrigido sobre quem aceita o TCLE:</w:t>
      </w:r>
    </w:p>
    <w:p>
      <w:r>
        <w:rPr>
          <w:b/>
        </w:rPr>
        <w:t>Quadro 5 - RF-005 Aceitar Termo de Consentimento Livre e Esclarecido (TCLE)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6803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Conteúdo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RF-005 Aceitar Termo de Consentimento Livre e Esclarecido (TCLE)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de cada nova coleta, o sistema deve exibir a versão vigente do TCLE para que o Assistente de Pesquisa a apresente ao paciente. A coleta só é liberada após o registro do aceite do paciente.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Prioridade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Essencial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Dependência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RF-002, RF-004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Regras de negócio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RN02, RN03, RN04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Conflitos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Material de apoio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Diagrama de Casos de Uso</w:t>
            </w:r>
          </w:p>
        </w:tc>
      </w:tr>
    </w:tbl>
    <w:p>
      <w:r>
        <w:rPr>
          <w:sz w:val="18"/>
        </w:rPr>
        <w:t>Fonte: elaborado pelo autor (2026).</w:t>
      </w:r>
    </w:p>
    <w:p>
      <w:r>
        <w:rPr>
          <w:i w:val="0"/>
        </w:rPr>
        <w:t>Na especificação (2.7.4), as regras também podem ser citadas no ponto do fluxo em que se aplicam, por exemplo: “7. O sistema registra a data e hora do aceite, a versão do termo e o usuário responsável (RN03).”</w:t>
      </w:r>
    </w:p>
    <w:p>
      <w:pPr>
        <w:pStyle w:val="Heading1"/>
      </w:pPr>
      <w:r>
        <w:t>4. Matriz de rastreabilidade RF × RN</w:t>
      </w:r>
    </w:p>
    <w:p>
      <w:r>
        <w:rPr>
          <w:i w:val="0"/>
        </w:rPr>
        <w:t>Pode entrar logo após a lista de requisitos (2.7.2). Cada linha informa as regras que o requisito implementa.</w:t>
      </w:r>
    </w:p>
    <w:p>
      <w:r>
        <w:rPr>
          <w:b/>
        </w:rPr>
        <w:t>Quadro Z - Rastreabilidade entre requisitos funcionais e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Regras de negócio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RF-001 Manter Usuários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RN12, RN14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RF-002 Autenticar Usuários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RN12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RF-003 Recuperar Senha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RN12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RF-004 Manter TCLE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RN04, RN14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RF-005 Aceitar TCLE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RN02, RN03, RN04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RF-006 Manter Questionários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RN06, RN07, RN14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RF-007 Manter Perguntas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RN06, RN09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RF-008 Manter Alternativas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RN10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RF-009 Manter Escalas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RN10, RN11, RN14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RF-010 Preencher Questionários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RN01, RN02, RN08, RN09, RN13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RF-011 Calcular Escores das Escalas (nome sugerido)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RN10, RN11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RF-012 Dashboard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RN11, RN12, RN13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RF-013 Emitir Relatórios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RN12, RN13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RF-014 Revogar Consentimento (novo, sugerido)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RN05, RN13</w:t>
            </w:r>
          </w:p>
        </w:tc>
      </w:tr>
    </w:tbl>
    <w:p>
      <w:r>
        <w:rPr>
          <w:sz w:val="18"/>
        </w:rPr>
        <w:t>Fonte: elaborado pelo autor (2026).</w:t>
      </w:r>
    </w:p>
    <w:p>
      <w:r>
        <w:rPr>
          <w:i/>
        </w:rPr>
        <w:t>A matriz mostra uma lacuna: a RN05 (retirar o consentimento) não tinha nenhum requisito. As saídas são criar o RF-014, com o Pesquisador localizando a coleta pelo código do paciente e excluindo ou anonimizando os dados, ou tirar a RN05 e explicar que a revogação é tratada fora do sistema. A primeira opção é mais coerente com a LGPD e com o TCLE.</w:t>
      </w:r>
    </w:p>
    <w:p>
      <w:pPr>
        <w:pStyle w:val="Heading1"/>
      </w:pPr>
      <w:r>
        <w:t>5. Requisitos não funcionais com identificadores (opcional)</w:t>
      </w:r>
    </w:p>
    <w:p>
      <w:r>
        <w:rPr>
          <w:i w:val="0"/>
        </w:rPr>
        <w:t>O orientador também pediu RNFs mensuráveis. Seguindo o mesmo padrão, eles ficariam assim. Os números são sugestões: ajuste para o que você consegue medir ou demonstrar.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928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6236"/>
            <w:shd w:val="clear" w:fill="D9D9D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Critério de aceitação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RNF01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Responsividade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As telas de coleta funcionam sem rolagem horizontal a partir de 360 px de largura.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RNF02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Consistência visual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Todas as telas usam os mesmos componentes de botão, formulário e menu (Bootstrap 5).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RNF03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Feedback ao usuário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Toda ação de salvar, excluir ou enviar exibe mensagem de sucesso ou erro.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RNF04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Facilidade de uso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Um Assistente sem experiência prévia conclui uma coleta completa após no máximo 15 minutos de demonstração.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RNF05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Desempenho do cálculo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O cálculo de todas as escalas de uma submissão termina em menos de 2 segundos.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RNF06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Conectividade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O sistema requer conexão com a internet; não há modo offline.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RNF07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Controle de acesso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Cada funcionalidade só é acessível ao perfil autorizado na RN12; tentativas de acesso não autorizado retornam erro 403.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RNF08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Proteção de dados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Nome e relatos textuais do participante são gravados criptografados (Fernet: AES-128-CBC + HMAC-SHA256), conforme RN13.</w:t>
            </w:r>
          </w:p>
        </w:tc>
      </w:tr>
    </w:tbl>
    <w:p>
      <w:r>
        <w:rPr>
          <w:sz w:val="18"/>
        </w:rPr>
        <w:t>Fonte: elaborado pelo autor (2026).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