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scala-livre-grafo-barabásialbert"/>
    <w:p>
      <w:pPr>
        <w:pStyle w:val="Heading1"/>
      </w:pPr>
      <w:r>
        <w:t xml:space="preserve">Escala Livre (Grafo Barabási–Albert)</w:t>
      </w:r>
    </w:p>
    <w:p>
      <w:pPr>
        <w:pStyle w:val="FirstParagraph"/>
      </w:pPr>
      <w:r>
        <w:rPr>
          <w:bCs/>
          <w:b/>
        </w:rPr>
        <w:t xml:space="preserve">Parâmetros:</w:t>
      </w:r>
      <w:r>
        <w:t xml:space="preserve"> </w:t>
      </w:r>
      <w:r>
        <w:t xml:space="preserve">m = 3 · 2 instâncias por tamanho</w:t>
      </w:r>
    </w:p>
    <w:p>
      <w:r>
        <w:pict>
          <v:rect style="width:0;height:1.5pt" o:hralign="center" o:hrstd="t" o:hr="t"/>
        </w:pict>
      </w:r>
    </w:p>
    <w:bookmarkStart w:id="20" w:name="resultados"/>
    <w:p>
      <w:pPr>
        <w:pStyle w:val="Heading2"/>
      </w:pPr>
      <w:r>
        <w:t xml:space="preserve">Resultados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0"/>
        <w:gridCol w:w="1498"/>
        <w:gridCol w:w="1391"/>
        <w:gridCol w:w="1391"/>
        <w:gridCol w:w="1177"/>
        <w:gridCol w:w="13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Vértices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 1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 2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130,620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135,888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130,620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376,631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0.175577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675,865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712,350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0.310834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675,865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observação"/>
    <w:p>
      <w:pPr>
        <w:pStyle w:val="Heading2"/>
      </w:pPr>
      <w:r>
        <w:t xml:space="preserve">Observação</w:t>
      </w:r>
    </w:p>
    <w:p>
      <w:pPr>
        <w:pStyle w:val="FirstParagraph"/>
      </w:pPr>
      <w:r>
        <w:t xml:space="preserve">O algoritmo de Duan apresenta valores de custo ligeiramente superiores aos obtidos por Dijkstra e Bellman-Ford.</w:t>
      </w:r>
    </w:p>
    <w:p>
      <w:pPr>
        <w:pStyle w:val="BodyText"/>
      </w:pPr>
      <w:r>
        <w:t xml:space="preserve">Isso indica que o método realiza</w:t>
      </w:r>
      <w:r>
        <w:t xml:space="preserve"> </w:t>
      </w:r>
      <w:r>
        <w:rPr>
          <w:bCs/>
          <w:b/>
        </w:rPr>
        <w:t xml:space="preserve">aproximações nas distâncias durante a decomposição da fronteira</w:t>
      </w:r>
      <w:r>
        <w:t xml:space="preserve">, comportamento esperado devido à estratégia de pivôs e limitação local de relaxamento.</w:t>
      </w:r>
    </w:p>
    <w:bookmarkEnd w:id="21"/>
    <w:bookmarkEnd w:id="22"/>
    <w:bookmarkStart w:id="25" w:name="aleatório-uniforme-grafo-erdősrényi"/>
    <w:p>
      <w:pPr>
        <w:pStyle w:val="Heading1"/>
      </w:pPr>
      <w:r>
        <w:t xml:space="preserve">Aleatório Uniforme (Grafo Erdős–Rényi)</w:t>
      </w:r>
    </w:p>
    <w:p>
      <w:pPr>
        <w:pStyle w:val="FirstParagraph"/>
      </w:pPr>
      <w:r>
        <w:rPr>
          <w:bCs/>
          <w:b/>
        </w:rPr>
        <w:t xml:space="preserve">Parâmetros:</w:t>
      </w:r>
      <w:r>
        <w:t xml:space="preserve"> </w:t>
      </w:r>
      <w:r>
        <w:t xml:space="preserve">p = 0.01 · 2 instâncias por tamanho</w:t>
      </w:r>
    </w:p>
    <w:p>
      <w:r>
        <w:pict>
          <v:rect style="width:0;height:1.5pt" o:hralign="center" o:hrstd="t" o:hr="t"/>
        </w:pict>
      </w:r>
    </w:p>
    <w:bookmarkStart w:id="23" w:name="resultados-1"/>
    <w:p>
      <w:pPr>
        <w:pStyle w:val="Heading2"/>
      </w:pPr>
      <w:r>
        <w:t xml:space="preserve">Resultados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0"/>
        <w:gridCol w:w="1498"/>
        <w:gridCol w:w="1391"/>
        <w:gridCol w:w="1391"/>
        <w:gridCol w:w="1177"/>
        <w:gridCol w:w="13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Vértices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 1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 2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129,102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0.182302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135,902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0.407495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135,902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bservação-1"/>
    <w:p>
      <w:pPr>
        <w:pStyle w:val="Heading2"/>
      </w:pPr>
      <w:r>
        <w:t xml:space="preserve">Observação</w:t>
      </w:r>
    </w:p>
    <w:p>
      <w:pPr>
        <w:pStyle w:val="FirstParagraph"/>
      </w:pPr>
      <w:r>
        <w:t xml:space="preserve">No modelo Erdős–Rényi com p = 0.01, o grafo apresenta maior densidade e homogeneidade estrutural.</w:t>
      </w:r>
    </w:p>
    <w:p>
      <w:pPr>
        <w:pStyle w:val="BodyText"/>
      </w:pPr>
      <w:r>
        <w:t xml:space="preserve">O algoritmo de Duan perde vantagem em instâncias maiores, aproximando-se do desempenho do Dijkstra em 10.000 vértices.</w:t>
      </w:r>
    </w:p>
    <w:p>
      <w:pPr>
        <w:pStyle w:val="BodyText"/>
      </w:pPr>
      <w:r>
        <w:t xml:space="preserve">Esse comportamento é coerente com a alta conectividade do grafo, que reduz a eficácia da decomposição local baseada em pivôs.</w:t>
      </w:r>
    </w:p>
    <w:bookmarkEnd w:id="24"/>
    <w:bookmarkEnd w:id="25"/>
    <w:bookmarkStart w:id="28" w:name="pequeno-mundo-grafo-wattsstrogatz"/>
    <w:p>
      <w:pPr>
        <w:pStyle w:val="Heading1"/>
      </w:pPr>
      <w:r>
        <w:t xml:space="preserve">Pequeno Mundo (Grafo Watts–Strogatz)</w:t>
      </w:r>
    </w:p>
    <w:p>
      <w:pPr>
        <w:pStyle w:val="FirstParagraph"/>
      </w:pPr>
      <w:r>
        <w:rPr>
          <w:bCs/>
          <w:b/>
        </w:rPr>
        <w:t xml:space="preserve">Parâmetros:</w:t>
      </w:r>
      <w:r>
        <w:t xml:space="preserve"> </w:t>
      </w:r>
      <w:r>
        <w:t xml:space="preserve">k = 4, p = 0.2 · 2 instâncias por tamanho</w:t>
      </w:r>
    </w:p>
    <w:p>
      <w:r>
        <w:pict>
          <v:rect style="width:0;height:1.5pt" o:hralign="center" o:hrstd="t" o:hr="t"/>
        </w:pict>
      </w:r>
    </w:p>
    <w:bookmarkStart w:id="26" w:name="resultados-2"/>
    <w:p>
      <w:pPr>
        <w:pStyle w:val="Heading2"/>
      </w:pPr>
      <w:r>
        <w:t xml:space="preserve">Resultados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0"/>
        <w:gridCol w:w="1498"/>
        <w:gridCol w:w="1391"/>
        <w:gridCol w:w="1391"/>
        <w:gridCol w:w="1177"/>
        <w:gridCol w:w="13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Vértices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 1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 2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114,542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279,416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288,341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279,416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578,864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606,274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578,864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1,676,068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1,741,433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1,676,068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4,499,463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4,612,816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0.666537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4,499,463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observação-2"/>
    <w:p>
      <w:pPr>
        <w:pStyle w:val="Heading2"/>
      </w:pPr>
      <w:r>
        <w:t xml:space="preserve">Observação</w:t>
      </w:r>
    </w:p>
    <w:p>
      <w:pPr>
        <w:pStyle w:val="FirstParagraph"/>
      </w:pPr>
      <w:r>
        <w:t xml:space="preserve">No modelo Watts–Strogatz (small-world), o grafo é esparso e altamente estruturado, favorecendo algoritmos baseados em exploração local.</w:t>
      </w:r>
    </w:p>
    <w:p>
      <w:pPr>
        <w:pStyle w:val="BodyText"/>
      </w:pPr>
      <w:r>
        <w:t xml:space="preserve">O algoritmo de Duan apresenta melhor desempenho relativo, atingindo ganhos de até ~35–50% em relação ao Dijkstra nas maiores instâncias (10.000 vértices).</w:t>
      </w:r>
    </w:p>
    <w:p>
      <w:pPr>
        <w:pStyle w:val="BodyText"/>
      </w:pPr>
      <w:r>
        <w:t xml:space="preserve">Esse comportamento é coerente com a estrutura do grafo, que facilita a decomposição em regiões locais bem definidas, aumentando a eficiência da abordagem baseada em pivôs.</w:t>
      </w:r>
    </w:p>
    <w:bookmarkEnd w:id="27"/>
    <w:bookmarkEnd w:id="28"/>
    <w:bookmarkStart w:id="29" w:name="X8032cd4c23f4ba5a86f6b5891b2b9c809ceb8fc"/>
    <w:p>
      <w:pPr>
        <w:pStyle w:val="Heading1"/>
      </w:pPr>
      <w:r>
        <w:t xml:space="preserve">Speedup relativo ao Dijkstra (10.000 vértices)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1029"/>
        <w:gridCol w:w="792"/>
        <w:gridCol w:w="1663"/>
        <w:gridCol w:w="1425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 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Slowdown BF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Barabási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1.97× mais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1.70× mais lento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Erdős–Rényi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~0.93× (−7%)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2.17× mais lento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Watts–Strogatz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1.54× mais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4.58× mais lento</w:t>
            </w:r>
          </w:p>
        </w:tc>
      </w:tr>
    </w:tbl>
    <w:bookmarkEnd w:id="29"/>
    <w:bookmarkStart w:id="30" w:name="Xfba0eff9b195347c0179131d36fde14bc0a3987"/>
    <w:p>
      <w:pPr>
        <w:pStyle w:val="Heading1"/>
      </w:pPr>
      <w:r>
        <w:t xml:space="preserve">Confirmação empírica das complexidades teóricas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6"/>
        <w:gridCol w:w="3095"/>
        <w:gridCol w:w="2366"/>
        <w:gridCol w:w="10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Complexidade teórica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 empiricamente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O(V²) — quadrático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→ 10.000 (20× vértices): tempo cresce ~237× em Barabási. Crescimento supralinear, mas abaixo do V² puro, indicando influência de estruturas tipo heap e variação de densidade.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O(V·E) — cúbico em grafo denso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Watts (esparso), BF é 4.58× mais lento que Dijkstra em 10k. No Erdős (mais denso), 2.17×. Crescimento consistente com dependência direta de 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 log²⁄³ n) — sublinear em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grafos esparsos (Barabási, Watts), apresenta ganho consistente. Em Erdős 10k, perde eficiência devido ao aumento de densidade e pior particionamento. Confirma forte dependência de m e estrutura do grafo.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2026-05-18T01:56:11Z</dcterms:created>
  <dcterms:modified xsi:type="dcterms:W3CDTF">2026-05-18T01:56:11Z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