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vwp9ekf82rb" w:id="0"/>
      <w:bookmarkEnd w:id="0"/>
      <w:r w:rsidDel="00000000" w:rsidR="00000000" w:rsidRPr="00000000">
        <w:rPr>
          <w:rtl w:val="0"/>
        </w:rPr>
        <w:t xml:space="preserve">AUNEA — Tokens de marca verificados y skill de identidad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28/08/2026 · </w:t>
      </w:r>
      <w:r w:rsidDel="00000000" w:rsidR="00000000" w:rsidRPr="00000000">
        <w:rPr>
          <w:b w:val="1"/>
          <w:bCs w:val="1"/>
          <w:rtl w:val="0"/>
        </w:rPr>
        <w:t xml:space="preserve">Base:</w:t>
      </w:r>
      <w:r w:rsidDel="00000000" w:rsidR="00000000" w:rsidRPr="00000000">
        <w:rPr>
          <w:rtl w:val="0"/>
        </w:rPr>
        <w:t xml:space="preserve"> las 10 láminas del manual de marca (imágenes del proyecto) e instrucciones del proyecto. Los hex están leídos de las láminas y contrastados con el color realmente dibujado en ellas.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es la fuente única de la identidad para cualquier entregable. La skill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aunea-identidad</w:t>
      </w:r>
      <w:r w:rsidDel="00000000" w:rsidR="00000000" w:rsidRPr="00000000">
        <w:rPr>
          <w:rtl w:val="0"/>
        </w:rPr>
        <w:t xml:space="preserve"> (entregada como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.skill</w:t>
      </w:r>
      <w:r w:rsidDel="00000000" w:rsidR="00000000" w:rsidRPr="00000000">
        <w:rPr>
          <w:rtl w:val="0"/>
        </w:rPr>
        <w:t xml:space="preserve"> el 28/08/2026) empaqueta esto mismo para que se aplique automáticamente.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37vpnpep98xw" w:id="1"/>
      <w:bookmarkEnd w:id="1"/>
      <w:r w:rsidDel="00000000" w:rsidR="00000000" w:rsidRPr="00000000">
        <w:rPr>
          <w:rtl w:val="0"/>
        </w:rPr>
        <w:t xml:space="preserve">1. Tokens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1a5qly19n5eu" w:id="2"/>
      <w:bookmarkEnd w:id="2"/>
      <w:r w:rsidDel="00000000" w:rsidR="00000000" w:rsidRPr="00000000">
        <w:rPr>
          <w:rtl w:val="0"/>
        </w:rPr>
        <w:t xml:space="preserve">Comunes a las cinco líneas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Carbón profundo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#1E1E1E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Dorado AUNEA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#D4AF37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Blanco cálido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#FAFAF8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Gris perla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#E6E6E6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Beige suave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#F2EDE3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Tipografía: </w:t>
      </w:r>
      <w:r w:rsidDel="00000000" w:rsidR="00000000" w:rsidRPr="00000000">
        <w:rPr>
          <w:b w:val="1"/>
          <w:bCs w:val="1"/>
          <w:rtl w:val="0"/>
        </w:rPr>
        <w:t xml:space="preserve">Sora</w:t>
      </w:r>
      <w:r w:rsidDel="00000000" w:rsidR="00000000" w:rsidRPr="00000000">
        <w:rPr>
          <w:rtl w:val="0"/>
        </w:rPr>
        <w:t xml:space="preserve"> (Bold 700 / SemiBold 600) en titulares, </w:t>
      </w: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(Regular 400 / Medium 500) en cuerpo. Claim global: </w:t>
      </w:r>
      <w:r w:rsidDel="00000000" w:rsidR="00000000" w:rsidRPr="00000000">
        <w:rPr>
          <w:i w:val="1"/>
          <w:iCs w:val="1"/>
          <w:rtl w:val="0"/>
        </w:rPr>
        <w:t xml:space="preserve">«Soluciones que optimizan. Valor que trasciende.»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nfg04dcb3cjd" w:id="3"/>
      <w:bookmarkEnd w:id="3"/>
      <w:r w:rsidDel="00000000" w:rsidR="00000000" w:rsidRPr="00000000">
        <w:rPr>
          <w:rtl w:val="0"/>
        </w:rPr>
        <w:t xml:space="preserve">Por línea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 clara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 con texto blanco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#1E1E1E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#6B6B6B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#F2EDE3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#1E1E1E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#0F3B2E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#6FA885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#EAF2ED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#0F3B2E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#5B2DE6</w:t>
            </w:r>
            <w:r w:rsidDel="00000000" w:rsidR="00000000" w:rsidRPr="00000000">
              <w:rPr>
                <w:rtl w:val="0"/>
              </w:rPr>
              <w:t xml:space="preserve"> 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#A78BFA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#F1ECFE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#5B2DE6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#1D3B70</w:t>
            </w:r>
            <w:r w:rsidDel="00000000" w:rsidR="00000000" w:rsidRPr="00000000">
              <w:rPr>
                <w:rtl w:val="0"/>
              </w:rPr>
              <w:t xml:space="preserve"> 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#4C6FAF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#EAEEF6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#1D3B70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#B87333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#D18A5B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#F7EEE6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#8C5322</w:t>
            </w:r>
            <w:r w:rsidDel="00000000" w:rsidR="00000000" w:rsidRPr="00000000">
              <w:rPr>
                <w:rtl w:val="0"/>
              </w:rPr>
              <w:t xml:space="preserve"> (derivado)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w3w5g7c7eis9" w:id="4"/>
      <w:bookmarkEnd w:id="4"/>
      <w:r w:rsidDel="00000000" w:rsidR="00000000" w:rsidRPr="00000000">
        <w:rPr>
          <w:rtl w:val="0"/>
        </w:rPr>
        <w:t xml:space="preserve">2. Tres incidencias que requieren decisión de Pedro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1. Púrpura de Studio.</w:t>
      </w:r>
      <w:r w:rsidDel="00000000" w:rsidR="00000000" w:rsidRPr="00000000">
        <w:rPr>
          <w:rtl w:val="0"/>
        </w:rPr>
        <w:t xml:space="preserve"> La lámina 5 </w:t>
      </w:r>
      <w:r w:rsidDel="00000000" w:rsidR="00000000" w:rsidRPr="00000000">
        <w:rPr>
          <w:b w:val="1"/>
          <w:bCs w:val="1"/>
          <w:rtl w:val="0"/>
        </w:rPr>
        <w:t xml:space="preserve">rotula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#5B2DE6</w:t>
      </w:r>
      <w:r w:rsidDel="00000000" w:rsidR="00000000" w:rsidRPr="00000000">
        <w:rPr>
          <w:rtl w:val="0"/>
        </w:rPr>
        <w:t xml:space="preserve"> (violeta eléctrico), pero el púrpura </w:t>
      </w:r>
      <w:r w:rsidDel="00000000" w:rsidR="00000000" w:rsidRPr="00000000">
        <w:rPr>
          <w:b w:val="1"/>
          <w:bCs w:val="1"/>
          <w:rtl w:val="0"/>
        </w:rPr>
        <w:t xml:space="preserve">dibujado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esa misma lámina —logo, banner, bloques— mide 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#3D1D7B</w:t>
      </w:r>
      <w:r w:rsidDel="00000000" w:rsidR="00000000" w:rsidRPr="00000000">
        <w:rPr>
          <w:rtl w:val="0"/>
        </w:rPr>
        <w:t xml:space="preserve"> (violeta profundo). Son colores distintos, no una variación de impresión. Por defecto se usa el rotulado. </w:t>
      </w:r>
      <w:r w:rsidDel="00000000" w:rsidR="00000000" w:rsidRPr="00000000">
        <w:rPr>
          <w:i w:val="1"/>
          <w:iCs w:val="1"/>
          <w:rtl w:val="0"/>
        </w:rPr>
        <w:t xml:space="preserve">Decisión pendiente: cuál es el bueno.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2. Azul de Slides.</w:t>
      </w:r>
      <w:r w:rsidDel="00000000" w:rsidR="00000000" w:rsidRPr="00000000">
        <w:rPr>
          <w:rtl w:val="0"/>
        </w:rPr>
        <w:t xml:space="preserve"> Las instrucciones del proyecto citan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#1A3D7C</w:t>
      </w:r>
      <w:r w:rsidDel="00000000" w:rsidR="00000000" w:rsidRPr="00000000">
        <w:rPr>
          <w:rtl w:val="0"/>
        </w:rPr>
        <w:t xml:space="preserve">; la lámina 7 dice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#1D3B70</w:t>
      </w:r>
      <w:r w:rsidDel="00000000" w:rsidR="00000000" w:rsidRPr="00000000">
        <w:rPr>
          <w:rtl w:val="0"/>
        </w:rPr>
        <w:t xml:space="preserve"> y el color dibujado lo confirma. </w:t>
      </w:r>
      <w:r w:rsidDel="00000000" w:rsidR="00000000" w:rsidRPr="00000000">
        <w:rPr>
          <w:b w:val="1"/>
          <w:bCs w:val="1"/>
          <w:rtl w:val="0"/>
        </w:rPr>
        <w:t xml:space="preserve">Vale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#1D3B70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Conviene corregir el dato en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claude/00_INSTRUCCIONES_PROYECTO_AUNEA.md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3. Bronce de Advisory.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#B87333</w:t>
      </w:r>
      <w:r w:rsidDel="00000000" w:rsidR="00000000" w:rsidRPr="00000000">
        <w:rPr>
          <w:rtl w:val="0"/>
        </w:rPr>
        <w:t xml:space="preserve"> no alcanza contraste AA con </w:t>
      </w:r>
      <w:r w:rsidDel="00000000" w:rsidR="00000000" w:rsidRPr="00000000">
        <w:rPr>
          <w:b w:val="1"/>
          <w:bCs w:val="1"/>
          <w:rtl w:val="0"/>
        </w:rPr>
        <w:t xml:space="preserve">ningún</w:t>
      </w:r>
      <w:r w:rsidDel="00000000" w:rsidR="00000000" w:rsidRPr="00000000">
        <w:rPr>
          <w:rtl w:val="0"/>
        </w:rPr>
        <w:t xml:space="preserve"> color de texto (3,79:1 con blanco, 4,40:1 con carbón; el mínimo es 4,5:1). Se ha derivado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#8C5322</w:t>
      </w:r>
      <w:r w:rsidDel="00000000" w:rsidR="00000000" w:rsidRPr="00000000">
        <w:rPr>
          <w:rtl w:val="0"/>
        </w:rPr>
        <w:t xml:space="preserve"> (6,22:1 con blanco) para bandas y tarjetas con texto.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#B87333</w:t>
      </w:r>
      <w:r w:rsidDel="00000000" w:rsidR="00000000" w:rsidRPr="00000000">
        <w:rPr>
          <w:rtl w:val="0"/>
        </w:rPr>
        <w:t xml:space="preserve"> sigue siendo el color de identidad, pero no lleva párrafos encima.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#8C5322</w:t>
      </w:r>
      <w:r w:rsidDel="00000000" w:rsidR="00000000" w:rsidRPr="00000000">
        <w:rPr>
          <w:b w:val="1"/>
          <w:bCs w:val="1"/>
          <w:rtl w:val="0"/>
        </w:rPr>
        <w:t xml:space="preserve"> no está en el manual: es un añadido, no un dato de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5tuq057bpfr1" w:id="5"/>
      <w:bookmarkEnd w:id="5"/>
      <w:r w:rsidDel="00000000" w:rsidR="00000000" w:rsidRPr="00000000">
        <w:rPr>
          <w:rtl w:val="0"/>
        </w:rPr>
        <w:t xml:space="preserve">3. Contrastes calculados (WCAG, sobre los hex oficiales)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vs. blanco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vs. carbón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Texto admisible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Carbón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#1E1E1E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16,67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Verde System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#0F3B2E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12,46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Azul Slides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#1D3B70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10,98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Púrpura Studio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#5B2DE6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7,09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Bronce profundo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#8C5322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6,22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Bronce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#B87333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3,79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4,40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ninguno en cuerpo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Dorado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#D4AF37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7,93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carbón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#6FA885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6,05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carbón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#A78BFA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6,13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carbón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#D18A5B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5,95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carbón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Reglas que salen de ahí: </w:t>
      </w:r>
      <w:r w:rsidDel="00000000" w:rsidR="00000000" w:rsidRPr="00000000">
        <w:rPr>
          <w:b w:val="1"/>
          <w:bCs w:val="1"/>
          <w:rtl w:val="0"/>
        </w:rPr>
        <w:t xml:space="preserve">nunca texto blanco sobre dorado ni sobre bronce; nunca texto dorado sobre fondo claro</w:t>
      </w:r>
      <w:r w:rsidDel="00000000" w:rsidR="00000000" w:rsidRPr="00000000">
        <w:rPr>
          <w:rtl w:val="0"/>
        </w:rPr>
        <w:t xml:space="preserve"> (el dorado es filete, icono o cifra grande sobre oscuro, no texto de lectura).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pxwix0mbn6et" w:id="6"/>
      <w:bookmarkEnd w:id="6"/>
      <w:r w:rsidDel="00000000" w:rsidR="00000000" w:rsidRPr="00000000">
        <w:rPr>
          <w:rtl w:val="0"/>
        </w:rPr>
        <w:t xml:space="preserve">4. Alcance de la skill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Cubre las cinco líneas y cuatro familias de entregable (HTML/decks, Word/PDF, PowerPoint, Excel/dashboards), más la identidad verbal (claims oficiales, tono, léxico prohibido) y las reglas comerciales del catálogo P0-P6 (solo se promociona el P0, nadie compra P4 sin P0/P1, el retainer va dentro de la propuesta, nada de SLA ni procesos críticos, ni una mención a Accenture en material público).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Pendiente:</w:t>
      </w:r>
      <w:r w:rsidDel="00000000" w:rsidR="00000000" w:rsidRPr="00000000">
        <w:rPr>
          <w:rtl w:val="0"/>
        </w:rPr>
        <w:t xml:space="preserve"> los archivos vectoriales del logo. La skill lleva una reconstrucción provisional del isotipo; hay que sustituirla por los SVG originales.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Aviso coherente con el documento 06:</w:t>
      </w:r>
      <w:r w:rsidDel="00000000" w:rsidR="00000000" w:rsidRPr="00000000">
        <w:rPr>
          <w:rtl w:val="0"/>
        </w:rPr>
        <w:t xml:space="preserve"> esto es </w:t>
      </w:r>
      <w:r w:rsidDel="00000000" w:rsidR="00000000" w:rsidRPr="00000000">
        <w:rPr>
          <w:i w:val="1"/>
          <w:iCs w:val="1"/>
          <w:rtl w:val="0"/>
        </w:rPr>
        <w:t xml:space="preserve">aplicar</w:t>
      </w:r>
      <w:r w:rsidDel="00000000" w:rsidR="00000000" w:rsidRPr="00000000">
        <w:rPr>
          <w:rtl w:val="0"/>
        </w:rPr>
        <w:t xml:space="preserve"> la identidad ya existente a entregables de cliente, no ampliarla. La marca sigue congelada: ni láminas nuevas, ni rediseños, ni logo nuevo, ni web nueva hasta que haya clientes pagando.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