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28"/>
          <w:szCs w:val="28"/>
        </w:rPr>
        <w:t xml:space="preserve">Directional Classification of ESG Indicators</w:t>
      </w:r>
    </w:p>
    <w:p>
      <w:pPr>
        <w:spacing w:after="200"/>
      </w:pPr>
      <w:r>
        <w:rPr>
          <w:rFonts w:ascii="Arial" w:cs="Arial" w:eastAsia="Arial" w:hAnsi="Arial"/>
          <w:b/>
          <w:bCs/>
          <w:sz w:val="18"/>
          <w:szCs w:val="18"/>
        </w:rPr>
        <w:t xml:space="preserve">Legend: </w:t>
      </w:r>
      <w:r>
        <w:rPr>
          <w:rFonts w:ascii="Arial" w:cs="Arial" w:eastAsia="Arial" w:hAnsi="Arial"/>
          <w:sz w:val="18"/>
          <w:szCs w:val="18"/>
        </w:rPr>
        <w:t xml:space="preserve">Negative (red) — lower value is better   |   Positive (green) — higher value is better   |   Centered (blue) — value closest to reference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PM2.5 air pollution, mean annual exposure (µg/m³)</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exposure to fine particulate matter reflects worse air quality and greater public health risk.</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CO2 net fluxes from LULUCF (Mt CO2e)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Positive net CO2 fluxes from land use represent loss of natural capital; negative values (net sinks) are preferable.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 GHG emissions per capita excl. LULUCF (t CO2e/capita)</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per capita emission intensity indicates worse climate performance.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Electricity production from coal sources (% of total)</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coal dependency in electricity generation worsens GHG emissions and overall environmental impact.</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Energy imports, net (% of energy use)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dependence on energy imports reduces a country's energy security and sovereignty.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Energy intensity level of primary energy (MJ/$2021 PPP GDP)</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energy intensity per unit of GDP indicates lower economic energy efficiency.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Energy use (kg of oil equivalent per capita)</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 per capita energy consumption is associated with a larger environmental footprint in the absence of dominant renewable sources.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Fossil fuel energy consumption (% of total)</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share of fossil fuels in total consumption reflects worse progress in the energy transition.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Cooling Degree Days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number of cooling degree days signals greater exposure to extreme heat and increased pressure on energy consumption for air conditioning.</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Heating Degree Days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heating demand implies higher structural energy consumption and exposure to cold climates.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Level of water stress: freshwater withdrawal as proportion of available resources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water stress indicates unsustainable pressure on available freshwater resources.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Adjusted savings, natural resources depletion (% of GNI)</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natural capital depletion represents erosion of a country's environmental wealth.</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Adjusted savings, net forest depletion (% of GNI)</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Net forest depletion above natural growth signals the loss of carbon sinks and biodiversity.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Annual freshwater withdrawals, total (% of internal resources)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Excessive freshwater extraction relative to available resources undermines long-term water sustainability.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Tree Cover Loss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tree cover loss reflects ecosystem degradation, biodiversity reduction, and diminished carbon sequestration capacity.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Unemployment, total (% of total labour force)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unemployment reflects worse labour market conditions and greater economic exclusion.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Mortality rate, under-5 (per 1,000 live births)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child mortality indicates serious deficits in healthcare access and living conditions.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Prevalence of overweight (% of adults)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prevalence of overweight is associated with worse public health outcomes and greater pressure on healthcare systems.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Prevalence of undernourishment (% of population)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undernourishment prevalence reflects food insecurity and structural poverty.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Gini index</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income inequality indicates worse social cohesion and a less equitable distribution of wealth.</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Poverty headcount ratio at $3.00/day (2021 PPP) (%)</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share of the population in extreme poverty represents worse social performance.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Poverty headcount ratio at $8.30/day (2021 PPP) (%)</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share of the population below the moderate poverty threshold indicates insufficient basic economic well-being.</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Poverty headcount ratio at national poverty lines (%)</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relative poverty reflects failures in social protection and redistributive policy.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Share of youth NEET (% of youth population)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Negative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share of youth not in employment, education, or training signals social exclusion and human capital underutilisation.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Standardised Precipitation-Evapotranspiration Index (SPEI)</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Centered
(ref. = 0)</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The SPEI measures drought or excess moisture conditions; the ideal value is 0 (balance). Deviations in either direction — severe drought or excess precipitation — represent worse climate performance.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Fertility rate, total (births per woman)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Centered
(ref. = 2.1)</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The population replacement fertility rate is 2.1 births per woman. Values well below this threshold signal demographic decline, while values well above may pressure social services. The optimum lies close to the replacement level.</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Renewable electricity output (% of total electricity output)</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share of renewable electricity indicates better progress in decarbonising the energy sector.</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Renewable energy consumption (% of total final energy consumption)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greater share of renewables in final energy consumption reflects stronger advancement in the energy transition.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Forest area (% of land area)</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forest cover represents higher natural capital, biodiversity, and carbon sequestration capacity.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Terrestrial and marine protected areas (% of total territorial area)</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larger share of protected areas indicates an active commitment to biodiversity conservation.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Food production index (2014-2016 = 100)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food production index reflects greater agricultural capacity and food security.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Access to clean fuels and technologies for cooking (% of population)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access to clean cooking fuels reduces indoor pollution and improves public health outcomes.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People using safely managed drinking water services (% of population)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coverage of safe drinking water is a direct indicator of development and public health.</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People using safely managed sanitation services (% of population)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access to adequate sanitation reflects better social infrastructure and health conditions.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Life expectancy at birth, total (years)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life expectancy is an aggregate indicator of public health, quality of life, and social well-being.</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Government expenditure on education, total (% of government expenditure)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public investment in education reflects a prioritisation of human capital development.</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School enrollment, primary (% gross)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primary enrolment rates indicate better access to basic education and social inclusion.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Labour force participation rate, total (% of population ages 15-64)</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labour force participation reflects more inclusive labour markets and more productive economies.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Hospital beds (per 1,000 people)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hospital capacity indicates better healthcare infrastructure available to the population.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Individuals using the Internet (% of population)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Internet penetration reflects greater digital inclusion and access to information and services.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Proportion of seats held by women in national parliaments (%)</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female representation in parliament indicates better gender equity in political institutions.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Ratio of female to male labour force participation rate (%)</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gender parity in labour force participation reflects lower discrimination and greater economic inclusion of women.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Government Effectiveness: Estimate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government effectiveness indicates better quality of public services and policy implementation capacity.</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Economic and Social Rights Performance Score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score reflects greater fulfilment of economic and social human rights relative to the country's income level.</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Voice and Accountability: Estimate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score indicates greater freedom of expression, association, and civic participation.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Patent applications, residents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number of resident patent applications reflects greater innovation capacity and knowledge creation.</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Research and development expenditure (% of GDP)</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R&amp;D investment indicates a stronger commitment to innovation and knowledge-based growth.</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Net migration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positive net migration balance is interpreted as a proxy for institutional attractiveness and quality of life, consistent with the World Bank's analytical framework.</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Political Stability and Absence of Violence/Terrorism: Estimate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Greater political stability and lower violence indicate a better institutional environment and lower sovereign risk.</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Rule of Law: Estimate</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Higher adherence to the rule of law reflects better institutional quality, rights protection, and confidence in the judicial system.</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Agriculture, forestry, and fishing, value added (% of GDP)</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share of the primary sector in GDP serves as a proxy for food security and natural resource management in the European context.</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Wage and salaried workers, total (% of total employment)</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Positive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A higher proportion of formal wage employment indicates more structured labour markets with greater worker protection.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2026-06-24T00:45:16.339Z</dcterms:created>
  <dcterms:modified xsi:type="dcterms:W3CDTF">2026-06-24T00:45:16.339Z</dcterms:modified>
</cp:coreProperties>
</file>

<file path=docProps/custom.xml><?xml version="1.0" encoding="utf-8"?>
<Properties xmlns="http://schemas.openxmlformats.org/officeDocument/2006/custom-properties" xmlns:vt="http://schemas.openxmlformats.org/officeDocument/2006/docPropsVTypes"/>
</file>