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60A14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</w:t>
      </w:r>
      <w:proofErr w:type="spellStart"/>
      <w:r w:rsidRPr="00B01F67">
        <w:rPr>
          <w:rFonts w:ascii="Arial" w:hAnsi="Arial" w:cs="Arial"/>
          <w:sz w:val="20"/>
        </w:rPr>
        <w:t>Xiaomi</w:t>
      </w:r>
      <w:proofErr w:type="spellEnd"/>
      <w:r w:rsidRPr="00B01F67">
        <w:rPr>
          <w:rFonts w:ascii="Arial" w:hAnsi="Arial" w:cs="Arial"/>
          <w:sz w:val="20"/>
        </w:rPr>
        <w:t xml:space="preserve">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que um usuário pudesse utilizar este site de compra e vendas era pedido as seguintes informações sobre este, tais como o nif,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F0324E" w:rsidRDefault="00827ABB" w:rsidP="00F0324E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 xml:space="preserve">O primeiro passo na construção do modelo concetual foi definir as principais entidades, para isso foram analisados os requisitos do sistema e identificar todos os nomes. A seguir foram identificados as entidades e associados os diferentes atributos a cada entidade, e o seu tipo, por exemplo se eram identificadores da entidade, atributos </w:t>
      </w:r>
      <w:proofErr w:type="spellStart"/>
      <w:r w:rsidR="00F0324E">
        <w:rPr>
          <w:rFonts w:ascii="Arial" w:hAnsi="Arial" w:cs="Arial"/>
          <w:sz w:val="20"/>
        </w:rPr>
        <w:t>multivalorado</w:t>
      </w:r>
      <w:proofErr w:type="spellEnd"/>
      <w:r w:rsidR="00F0324E">
        <w:rPr>
          <w:rFonts w:ascii="Arial" w:hAnsi="Arial" w:cs="Arial"/>
          <w:sz w:val="20"/>
        </w:rPr>
        <w:t>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bookmarkEnd w:id="0"/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3.2 Identificação e caracterização das entidades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Produto (Venda Apenas)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 – 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3.4 Identificação e caracterização das Associação dos Atributos com as Entidades e Relacionamentos.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Utilizador: NIF, Data de Nascimento, Morada, Nome, Password, Telemóvel, Email e Saldo.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Pagamento: ID e Designação.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Produto: ID, Categoria, Preço, Quantidade, Nome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Compra: ID, Preço e Quantidade.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Carrinho: ID e Data.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A27F4A" w:rsidRDefault="00A27F4A" w:rsidP="000559BC">
      <w:pPr>
        <w:rPr>
          <w:rFonts w:ascii="Arial" w:hAnsi="Arial" w:cs="Arial"/>
          <w:color w:val="000000"/>
          <w:sz w:val="27"/>
          <w:szCs w:val="27"/>
        </w:rPr>
      </w:pPr>
    </w:p>
    <w:p w:rsidR="00A27F4A" w:rsidRDefault="00A27F4A" w:rsidP="000559BC">
      <w:pPr>
        <w:rPr>
          <w:rFonts w:ascii="Arial" w:hAnsi="Arial" w:cs="Arial"/>
          <w:color w:val="000000"/>
          <w:sz w:val="27"/>
          <w:szCs w:val="27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AC2B24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-1803</wp:posOffset>
            </wp:positionV>
            <wp:extent cx="5612130" cy="4752975"/>
            <wp:effectExtent l="0" t="0" r="762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A14" w:rsidRDefault="00560A14" w:rsidP="00C47A6F">
      <w:pPr>
        <w:spacing w:after="0" w:line="240" w:lineRule="auto"/>
      </w:pPr>
      <w:r>
        <w:separator/>
      </w:r>
    </w:p>
  </w:endnote>
  <w:endnote w:type="continuationSeparator" w:id="0">
    <w:p w:rsidR="00560A14" w:rsidRDefault="00560A14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24E">
          <w:rPr>
            <w:noProof/>
          </w:rPr>
          <w:t>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A14" w:rsidRDefault="00560A14" w:rsidP="00C47A6F">
      <w:pPr>
        <w:spacing w:after="0" w:line="240" w:lineRule="auto"/>
      </w:pPr>
      <w:r>
        <w:separator/>
      </w:r>
    </w:p>
  </w:footnote>
  <w:footnote w:type="continuationSeparator" w:id="0">
    <w:p w:rsidR="00560A14" w:rsidRDefault="00560A14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559BC"/>
    <w:rsid w:val="00070EBA"/>
    <w:rsid w:val="000B1785"/>
    <w:rsid w:val="000F5A0B"/>
    <w:rsid w:val="001004FA"/>
    <w:rsid w:val="00151416"/>
    <w:rsid w:val="00153FE4"/>
    <w:rsid w:val="001B71DD"/>
    <w:rsid w:val="001C2E17"/>
    <w:rsid w:val="001C74C9"/>
    <w:rsid w:val="00212D1F"/>
    <w:rsid w:val="0021519A"/>
    <w:rsid w:val="002238ED"/>
    <w:rsid w:val="002625D5"/>
    <w:rsid w:val="002D6244"/>
    <w:rsid w:val="003051BD"/>
    <w:rsid w:val="00307299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5E9A"/>
    <w:rsid w:val="0048553E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A693B"/>
    <w:rsid w:val="00611264"/>
    <w:rsid w:val="006B2009"/>
    <w:rsid w:val="006B2E96"/>
    <w:rsid w:val="00701593"/>
    <w:rsid w:val="00752846"/>
    <w:rsid w:val="00785233"/>
    <w:rsid w:val="007B138E"/>
    <w:rsid w:val="007E20F1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27F4A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F715B"/>
    <w:rsid w:val="00C1310C"/>
    <w:rsid w:val="00C17DBD"/>
    <w:rsid w:val="00C360CE"/>
    <w:rsid w:val="00C47A6F"/>
    <w:rsid w:val="00C713C7"/>
    <w:rsid w:val="00C94B7F"/>
    <w:rsid w:val="00CA2B96"/>
    <w:rsid w:val="00CB0138"/>
    <w:rsid w:val="00CD0E94"/>
    <w:rsid w:val="00CD10C1"/>
    <w:rsid w:val="00CE54F5"/>
    <w:rsid w:val="00D27890"/>
    <w:rsid w:val="00D77543"/>
    <w:rsid w:val="00D82BA5"/>
    <w:rsid w:val="00DA10B9"/>
    <w:rsid w:val="00DB7510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24E"/>
    <w:rsid w:val="00F036AA"/>
    <w:rsid w:val="00F312DD"/>
    <w:rsid w:val="00F353A0"/>
    <w:rsid w:val="00F63956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2410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filipe capa</cp:lastModifiedBy>
  <cp:revision>59</cp:revision>
  <dcterms:created xsi:type="dcterms:W3CDTF">2018-11-19T18:22:00Z</dcterms:created>
  <dcterms:modified xsi:type="dcterms:W3CDTF">2018-11-21T19:18:00Z</dcterms:modified>
</cp:coreProperties>
</file>