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30" w:rsidRDefault="001514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6230620</wp:posOffset>
                </wp:positionV>
                <wp:extent cx="4257675" cy="1085215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Capa, Moisés Antunes, Pedro Capa, 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90pt;margin-top:490.6pt;width:335.25pt;height: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SE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Capa, Moisés Antunes, Pedro Capa, 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5201920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409.6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1372235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0pt;margin-top:108.05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639445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3F404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C47A6F" w:rsidRDefault="00C47A6F" w:rsidP="00C47A6F">
      <w:pPr>
        <w:tabs>
          <w:tab w:val="left" w:pos="3705"/>
        </w:tabs>
      </w:pPr>
      <w:r>
        <w:tab/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C47A6F" w:rsidRDefault="00C47A6F" w:rsidP="00C47A6F"/>
    <w:p w:rsidR="00C47A6F" w:rsidRDefault="00C47A6F" w:rsidP="00C47A6F"/>
    <w:p w:rsidR="00C47A6F" w:rsidRDefault="00151416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10160</wp:posOffset>
                </wp:positionV>
                <wp:extent cx="2743200" cy="120015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Default="00C47A6F" w:rsidP="00C47A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210.75pt;margin-top:.8pt;width:3in;height: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o1ugIAAME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" filled="f" stroked="f">
                <v:textbox>
                  <w:txbxContent>
                    <w:p w:rsidR="00C47A6F" w:rsidRDefault="00C47A6F" w:rsidP="00C47A6F"/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>Data de Recepção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  <w:r>
        <w:tab/>
      </w:r>
    </w:p>
    <w:p w:rsidR="00C47A6F" w:rsidRDefault="00151416" w:rsidP="00C47A6F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57150</wp:posOffset>
                </wp:positionV>
                <wp:extent cx="5467350" cy="34290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Mercado de compra e vendas </w:t>
                            </w: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</w:rPr>
                              <w:t>online</w:t>
                            </w: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2pt;margin-top:4.5pt;width:430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zKuQIAAMA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" filled="f" stroked="f">
                <v:textbox>
                  <w:txbxContent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</w:rPr>
                      </w:pPr>
                      <w:r w:rsidRPr="00B01F6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Mercado de compra e vendas </w:t>
                      </w:r>
                      <w:r w:rsidRPr="00B01F67">
                        <w:rPr>
                          <w:rFonts w:ascii="Arial" w:hAnsi="Arial" w:cs="Arial"/>
                          <w:b/>
                          <w:bCs/>
                          <w:i/>
                          <w:sz w:val="40"/>
                          <w:szCs w:val="40"/>
                        </w:rPr>
                        <w:t>online</w:t>
                      </w:r>
                      <w:r w:rsidRPr="00B01F67">
                        <w:rPr>
                          <w:rFonts w:ascii="Arial" w:hAnsi="Arial" w:cs="Arial"/>
                          <w:b/>
                          <w:bCs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151416" w:rsidP="00C47A6F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228600</wp:posOffset>
                </wp:positionV>
                <wp:extent cx="4472940" cy="106489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Luís Capa, Moisés Antunes, Pedro Capa, Tiago Pinheiro </w:t>
                            </w:r>
                          </w:p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sz w:val="24"/>
                              </w:rPr>
                              <w:t>novembro, 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2pt;margin-top:18pt;width:352.2pt;height:8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MmuQ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" filled="f" stroked="f">
                <v:textbox>
                  <w:txbxContent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01F67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Luís Capa, Moisés Antunes, Pedro Capa, Tiago Pinheiro </w:t>
                      </w:r>
                    </w:p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</w:p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01F67">
                        <w:rPr>
                          <w:rFonts w:ascii="Arial" w:hAnsi="Arial" w:cs="Arial"/>
                          <w:sz w:val="24"/>
                        </w:rPr>
                        <w:t>novembro, 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arquitectura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A65DDF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47A6F" w:rsidRPr="00B01F67" w:rsidRDefault="00C47A6F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&lt;&lt;Nesta secção deverá ser apresentado o contexto no qual se desenvolve o caso de estudo selecionado.&gt;&gt;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>&lt;&lt;Esta secção acolherá uma descrição concisa do caso de estudo selecionado.&gt;&gt;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Redmi 5 Plus,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0559BC" w:rsidRPr="00B01F67" w:rsidRDefault="000559BC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>&lt;&lt;Esta secção acolherá os diversos motivos, acompanhados por uma breve descrição, que conduziram à proposta e ao desenvolvimento do trabalho, assim como a apresentação detalhada dos diversos objetivos a alcançar com a sua realização.&gt;&gt;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0559BC" w:rsidRDefault="000559BC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lastRenderedPageBreak/>
        <w:t>&lt;&lt;Após a leitura da introdução de um relatório é "simpático" apresentar uma breve descrição daquilo que se vai encontrar nos demais capítulos do relatório.&gt;&gt;</w:t>
      </w:r>
    </w:p>
    <w:p w:rsidR="00402855" w:rsidRPr="00B01F67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</w:t>
      </w:r>
      <w:r>
        <w:rPr>
          <w:rFonts w:ascii="Arial" w:hAnsi="Arial" w:cs="Arial"/>
          <w:sz w:val="20"/>
        </w:rPr>
        <w:t>m potenciais clientes do site</w:t>
      </w:r>
      <w:bookmarkStart w:id="0" w:name="_GoBack"/>
      <w:bookmarkEnd w:id="0"/>
      <w:r>
        <w:rPr>
          <w:rFonts w:ascii="Arial" w:hAnsi="Arial" w:cs="Arial"/>
          <w:sz w:val="20"/>
        </w:rPr>
        <w:t>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que um usuário pudesse utilizar este site de compra e vendas era pedido as seguintes informações sobre este, tais como o nif,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Pr="00B01F67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Criar uma conta na aplicação, colocando algumas</w:t>
      </w:r>
      <w:r>
        <w:rPr>
          <w:rFonts w:ascii="Arial" w:hAnsi="Arial" w:cs="Arial"/>
          <w:sz w:val="20"/>
        </w:rPr>
        <w:t xml:space="preserve"> dados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3.2 Identificação e caracterização das entidades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 xml:space="preserve">  3.3 Identificação e caracterização dos relacionamentos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 xml:space="preserve">  3.4 Identificação e caracterização das Associação dos Atributos com as Entidades e Relacionamentos.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3.7 Validação do modelo de dados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4.3 Validação do modelo através da normalização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5.2 Tradução do esquema lógico para o sistema de gestão de bases de dados escolhido em SQL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5.3 Tradução das interrogações do utilizador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DDF" w:rsidRDefault="00A65DDF" w:rsidP="00C47A6F">
      <w:pPr>
        <w:spacing w:after="0" w:line="240" w:lineRule="auto"/>
      </w:pPr>
      <w:r>
        <w:separator/>
      </w:r>
    </w:p>
  </w:endnote>
  <w:endnote w:type="continuationSeparator" w:id="0">
    <w:p w:rsidR="00A65DDF" w:rsidRDefault="00A65DDF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DDF" w:rsidRDefault="00A65DDF" w:rsidP="00C47A6F">
      <w:pPr>
        <w:spacing w:after="0" w:line="240" w:lineRule="auto"/>
      </w:pPr>
      <w:r>
        <w:separator/>
      </w:r>
    </w:p>
  </w:footnote>
  <w:footnote w:type="continuationSeparator" w:id="0">
    <w:p w:rsidR="00A65DDF" w:rsidRDefault="00A65DDF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31F447F"/>
    <w:multiLevelType w:val="hybridMultilevel"/>
    <w:tmpl w:val="01E6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6F"/>
    <w:rsid w:val="000559BC"/>
    <w:rsid w:val="00070EBA"/>
    <w:rsid w:val="00151416"/>
    <w:rsid w:val="00212D1F"/>
    <w:rsid w:val="003051BD"/>
    <w:rsid w:val="00307299"/>
    <w:rsid w:val="003A5E3F"/>
    <w:rsid w:val="003B2730"/>
    <w:rsid w:val="003F1251"/>
    <w:rsid w:val="003F4F63"/>
    <w:rsid w:val="00402855"/>
    <w:rsid w:val="0042226C"/>
    <w:rsid w:val="00446CE7"/>
    <w:rsid w:val="00490CBB"/>
    <w:rsid w:val="004D52C4"/>
    <w:rsid w:val="004E7111"/>
    <w:rsid w:val="0054615F"/>
    <w:rsid w:val="005526FC"/>
    <w:rsid w:val="005A693B"/>
    <w:rsid w:val="006B2009"/>
    <w:rsid w:val="00752846"/>
    <w:rsid w:val="007B138E"/>
    <w:rsid w:val="007E20F1"/>
    <w:rsid w:val="0085090F"/>
    <w:rsid w:val="00892CF0"/>
    <w:rsid w:val="008C408C"/>
    <w:rsid w:val="00932E85"/>
    <w:rsid w:val="009A72E2"/>
    <w:rsid w:val="009B3BA9"/>
    <w:rsid w:val="00A13486"/>
    <w:rsid w:val="00A142B1"/>
    <w:rsid w:val="00A22D8B"/>
    <w:rsid w:val="00A65DDF"/>
    <w:rsid w:val="00AB0FF5"/>
    <w:rsid w:val="00AD7141"/>
    <w:rsid w:val="00AF2BAD"/>
    <w:rsid w:val="00B01F67"/>
    <w:rsid w:val="00B6554B"/>
    <w:rsid w:val="00B668CE"/>
    <w:rsid w:val="00BB0394"/>
    <w:rsid w:val="00BD70AC"/>
    <w:rsid w:val="00C1310C"/>
    <w:rsid w:val="00C17DBD"/>
    <w:rsid w:val="00C47A6F"/>
    <w:rsid w:val="00CA2B96"/>
    <w:rsid w:val="00CB0138"/>
    <w:rsid w:val="00CD10C1"/>
    <w:rsid w:val="00CE54F5"/>
    <w:rsid w:val="00D77543"/>
    <w:rsid w:val="00D82BA5"/>
    <w:rsid w:val="00DB7510"/>
    <w:rsid w:val="00E539B9"/>
    <w:rsid w:val="00EA3BA9"/>
    <w:rsid w:val="00F63956"/>
    <w:rsid w:val="00F96AD2"/>
    <w:rsid w:val="00FA398F"/>
    <w:rsid w:val="00FC1FA6"/>
    <w:rsid w:val="00F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1602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filipe capa</cp:lastModifiedBy>
  <cp:revision>6</cp:revision>
  <dcterms:created xsi:type="dcterms:W3CDTF">2018-11-19T18:22:00Z</dcterms:created>
  <dcterms:modified xsi:type="dcterms:W3CDTF">2018-11-21T14:22:00Z</dcterms:modified>
</cp:coreProperties>
</file>