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30" w:rsidRDefault="00151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6230620</wp:posOffset>
                </wp:positionV>
                <wp:extent cx="4257675" cy="1085215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Capa, Moisés Antunes, Pedro Capa, 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3" o:spid="_x0000_s1027" type="#_x0000_t202" style="position:absolute;margin-left:90pt;margin-top:490.6pt;width:335.2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SE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Capa, Moisés Antunes, Pedro Capa, 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5201920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4" o:spid="_x0000_s1028" type="#_x0000_t202" style="position:absolute;margin-left:90pt;margin-top:409.6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" filled="f" stroked="f">
                <v:textbox>
                  <w:txbxContent>
                    <w:p w:rsidR="00C47A6F" w:rsidRPr="00C1310C" w:rsidRDefault="00C47A6F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1372235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C47A6F" w:rsidRPr="00212D1F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C47A6F" w:rsidRPr="00C1310C" w:rsidRDefault="00C47A6F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5" o:spid="_x0000_s1029" type="#_x0000_t202" style="position:absolute;margin-left:90pt;margin-top:108.05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YduQIAAME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" filled="f" stroked="f">
                <v:textbox>
                  <w:txbxContent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C47A6F" w:rsidRPr="00212D1F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C47A6F" w:rsidRPr="00C1310C" w:rsidRDefault="00C47A6F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639445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A03F404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>
      <w:pPr>
        <w:tabs>
          <w:tab w:val="left" w:pos="3705"/>
        </w:tabs>
      </w:pPr>
      <w:r>
        <w:tab/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C47A6F" w:rsidRDefault="00C47A6F" w:rsidP="00C47A6F"/>
    <w:p w:rsidR="00C47A6F" w:rsidRDefault="00C47A6F" w:rsidP="00C47A6F"/>
    <w:p w:rsidR="00C47A6F" w:rsidRDefault="00151416" w:rsidP="00C47A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10160</wp:posOffset>
                </wp:positionV>
                <wp:extent cx="2743200" cy="120015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Default="00C47A6F" w:rsidP="00C47A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8" o:spid="_x0000_s1030" type="#_x0000_t202" style="position:absolute;margin-left:210.75pt;margin-top:.8pt;width:3in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o1ugIAAME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" filled="f" stroked="f">
                <v:textbox>
                  <w:txbxContent>
                    <w:p w:rsidR="00C47A6F" w:rsidRDefault="00C47A6F" w:rsidP="00C47A6F"/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  <w:r>
        <w:tab/>
      </w: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57150</wp:posOffset>
                </wp:positionV>
                <wp:extent cx="5467350" cy="3429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Mercado de compra e vendas 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  <w:t>online</w:t>
                            </w: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9" o:spid="_x0000_s1031" type="#_x0000_t202" style="position:absolute;margin-left:12pt;margin-top:4.5pt;width:430.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zKuQIAAMA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KzM/Q6BaWHHtTMCM9QZRep7u9l+U0jIVcNFVt2q5QcGkYr8C60P/2LrxOO&#10;tiCb4aOswAzdGemAxlp1NnWQDAToUKWnU2WsKyU8xmQ2v45BVILsmkRJ4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Mercado de compra e vendas 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i/>
                          <w:sz w:val="40"/>
                          <w:szCs w:val="40"/>
                        </w:rPr>
                        <w:t>online</w:t>
                      </w:r>
                      <w:r w:rsidRPr="00B01F67">
                        <w:rPr>
                          <w:rFonts w:ascii="Arial" w:hAnsi="Arial" w:cs="Arial"/>
                          <w:b/>
                          <w:bCs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151416" w:rsidP="00C47A6F">
      <w:pPr>
        <w:tabs>
          <w:tab w:val="left" w:pos="2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228600</wp:posOffset>
                </wp:positionV>
                <wp:extent cx="4472940" cy="106489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Luís Capa, Moisés Antunes, Pedro Capa, Tiago Pinheiro </w:t>
                            </w: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Pr="00B01F67" w:rsidRDefault="00C47A6F" w:rsidP="00C47A6F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01F67">
                              <w:rPr>
                                <w:rFonts w:ascii="Arial" w:hAnsi="Arial" w:cs="Arial"/>
                                <w:sz w:val="24"/>
                              </w:rPr>
                              <w:t>novembro, 2018</w:t>
                            </w: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C47A6F" w:rsidRDefault="00C47A6F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 Box 10" o:spid="_x0000_s1032" type="#_x0000_t202" style="position:absolute;margin-left:12pt;margin-top:18pt;width:352.2pt;height:8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Mm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" filled="f" stroked="f">
                <v:textbox>
                  <w:txbxContent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Luís Capa, Moisés Antunes, Pedro Capa, Tiago Pinheiro </w:t>
                      </w: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:rsidR="00C47A6F" w:rsidRPr="00B01F67" w:rsidRDefault="00C47A6F" w:rsidP="00C47A6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01F67">
                        <w:rPr>
                          <w:rFonts w:ascii="Arial" w:hAnsi="Arial" w:cs="Arial"/>
                          <w:sz w:val="24"/>
                        </w:rPr>
                        <w:t>novembro, 2018</w:t>
                      </w: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  <w:p w:rsidR="00C47A6F" w:rsidRDefault="00C47A6F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F86008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sistema, com potenciais clientes do site;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 xml:space="preserve">: Agrupar os vários requisitos dos diferentes utilizadores em uma única lista de requisitos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 xml:space="preserve">: Estudo dos requisitos levantados de forma a garantir que não haja inconsistências, ou conflitos, entre diferentes requisitos; 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que um usuário pudesse utilizar este site de compra e vendas era pedido as seguintes informações sobre este, tais como o nif, que era o seu identificador, a password, estas duas eram necessárias se o utilizador quisesse autenticar, a morada, visto que as compras eram entregues ao domicílio, a sua data de nascimento,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Pr="00B01F67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 2.2.2 Requisitos de exploração</w:t>
      </w: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utilizador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Criar uma conta na aplicação, colocando </w:t>
      </w:r>
      <w:r w:rsidR="005510AB" w:rsidRPr="00B6554B">
        <w:rPr>
          <w:rFonts w:ascii="Arial" w:hAnsi="Arial" w:cs="Arial"/>
          <w:sz w:val="20"/>
        </w:rPr>
        <w:t>alguns dados</w:t>
      </w:r>
      <w:r>
        <w:rPr>
          <w:rFonts w:ascii="Arial" w:hAnsi="Arial" w:cs="Arial"/>
          <w:sz w:val="20"/>
        </w:rPr>
        <w:t xml:space="preserve"> </w:t>
      </w:r>
      <w:r w:rsidRPr="00B6554B">
        <w:rPr>
          <w:rFonts w:ascii="Arial" w:hAnsi="Arial" w:cs="Arial"/>
          <w:sz w:val="20"/>
        </w:rPr>
        <w:t xml:space="preserve">para se registar; 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Ver/Comprar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ver/comprar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Colocar à venda um artigo;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Adicionar/Alter</w:t>
      </w:r>
      <w:r>
        <w:rPr>
          <w:rFonts w:ascii="Arial" w:hAnsi="Arial" w:cs="Arial"/>
          <w:sz w:val="20"/>
        </w:rPr>
        <w:t>ar/Aceder informações pessoais;</w:t>
      </w:r>
    </w:p>
    <w:p w:rsidR="006B2009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Carregar/Levantar</w:t>
      </w:r>
      <w:r>
        <w:t xml:space="preserve"> dinheiro para/da conta;</w:t>
      </w:r>
      <w:r>
        <w:rPr>
          <w:rFonts w:ascii="Arial" w:hAnsi="Arial" w:cs="Arial"/>
          <w:sz w:val="20"/>
        </w:rPr>
        <w:t xml:space="preserve"> </w:t>
      </w:r>
    </w:p>
    <w:p w:rsidR="006B2009" w:rsidRPr="00B6554B" w:rsidRDefault="006B2009" w:rsidP="006B2009">
      <w:pPr>
        <w:rPr>
          <w:rFonts w:ascii="Arial" w:hAnsi="Arial" w:cs="Arial"/>
        </w:rPr>
      </w:pPr>
    </w:p>
    <w:p w:rsidR="006B2009" w:rsidRPr="00B6554B" w:rsidRDefault="006B2009" w:rsidP="006B2009">
      <w:p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2.3 Análise geral dos requisitos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 xml:space="preserve"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bookmarkEnd w:id="0"/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08" w:rsidRDefault="00F86008" w:rsidP="00C47A6F">
      <w:pPr>
        <w:spacing w:after="0" w:line="240" w:lineRule="auto"/>
      </w:pPr>
      <w:r>
        <w:separator/>
      </w:r>
    </w:p>
  </w:endnote>
  <w:endnote w:type="continuationSeparator" w:id="0">
    <w:p w:rsidR="00F86008" w:rsidRDefault="00F86008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5770252"/>
      <w:docPartObj>
        <w:docPartGallery w:val="Page Numbers (Bottom of Page)"/>
        <w:docPartUnique/>
      </w:docPartObj>
    </w:sdtPr>
    <w:sdtEndPr/>
    <w:sdtContent>
      <w:p w:rsidR="00F9313D" w:rsidRDefault="00F931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ABB">
          <w:rPr>
            <w:noProof/>
          </w:rPr>
          <w:t>8</w:t>
        </w:r>
        <w:r>
          <w:fldChar w:fldCharType="end"/>
        </w:r>
      </w:p>
    </w:sdtContent>
  </w:sdt>
  <w:p w:rsidR="00F9313D" w:rsidRDefault="00F93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08" w:rsidRDefault="00F86008" w:rsidP="00C47A6F">
      <w:pPr>
        <w:spacing w:after="0" w:line="240" w:lineRule="auto"/>
      </w:pPr>
      <w:r>
        <w:separator/>
      </w:r>
    </w:p>
  </w:footnote>
  <w:footnote w:type="continuationSeparator" w:id="0">
    <w:p w:rsidR="00F86008" w:rsidRDefault="00F86008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0B1785"/>
    <w:rsid w:val="001004FA"/>
    <w:rsid w:val="00151416"/>
    <w:rsid w:val="00153FE4"/>
    <w:rsid w:val="001B71DD"/>
    <w:rsid w:val="001C2E17"/>
    <w:rsid w:val="001C74C9"/>
    <w:rsid w:val="00212D1F"/>
    <w:rsid w:val="002238ED"/>
    <w:rsid w:val="002625D5"/>
    <w:rsid w:val="002D6244"/>
    <w:rsid w:val="003051BD"/>
    <w:rsid w:val="00307299"/>
    <w:rsid w:val="00352795"/>
    <w:rsid w:val="00385BAF"/>
    <w:rsid w:val="003A5E3F"/>
    <w:rsid w:val="003B2730"/>
    <w:rsid w:val="003F1251"/>
    <w:rsid w:val="003F4F63"/>
    <w:rsid w:val="003F5244"/>
    <w:rsid w:val="00402855"/>
    <w:rsid w:val="0042226C"/>
    <w:rsid w:val="00446CE7"/>
    <w:rsid w:val="00462E62"/>
    <w:rsid w:val="00466810"/>
    <w:rsid w:val="00475E9A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A693B"/>
    <w:rsid w:val="00611264"/>
    <w:rsid w:val="006B2009"/>
    <w:rsid w:val="00752846"/>
    <w:rsid w:val="00785233"/>
    <w:rsid w:val="007B138E"/>
    <w:rsid w:val="007E20F1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22D8B"/>
    <w:rsid w:val="00A65DDF"/>
    <w:rsid w:val="00A808D2"/>
    <w:rsid w:val="00AB0FF5"/>
    <w:rsid w:val="00AB1251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F715B"/>
    <w:rsid w:val="00C1310C"/>
    <w:rsid w:val="00C17DBD"/>
    <w:rsid w:val="00C360CE"/>
    <w:rsid w:val="00C47A6F"/>
    <w:rsid w:val="00C713C7"/>
    <w:rsid w:val="00C94B7F"/>
    <w:rsid w:val="00CA2B96"/>
    <w:rsid w:val="00CB0138"/>
    <w:rsid w:val="00CD0E94"/>
    <w:rsid w:val="00CD10C1"/>
    <w:rsid w:val="00CE54F5"/>
    <w:rsid w:val="00D27890"/>
    <w:rsid w:val="00D77543"/>
    <w:rsid w:val="00D82BA5"/>
    <w:rsid w:val="00DA10B9"/>
    <w:rsid w:val="00DB7510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6AA"/>
    <w:rsid w:val="00F312DD"/>
    <w:rsid w:val="00F353A0"/>
    <w:rsid w:val="00F63956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2312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Moises Antunes</cp:lastModifiedBy>
  <cp:revision>50</cp:revision>
  <dcterms:created xsi:type="dcterms:W3CDTF">2018-11-19T18:22:00Z</dcterms:created>
  <dcterms:modified xsi:type="dcterms:W3CDTF">2018-11-21T18:41:00Z</dcterms:modified>
</cp:coreProperties>
</file>