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basicsName"/>
      </w:pPr>
      <w:r>
        <w:t xml:space="preserve">PEDRO J. CARDONA-ACEVEDO</w:t>
      </w:r>
    </w:p>
    <w:p>
      <w:pPr>
        <w:pStyle w:val="basicsLabel"/>
      </w:pPr>
      <w:r>
        <w:t xml:space="preserve">Enterprise Technology Integration · Penn State Class of 2027</w:t>
      </w:r>
    </w:p>
    <w:p>
      <w:pPr>
        <w:pStyle w:val="basicsContact"/>
      </w:pPr>
      <w:hyperlink w:history="1" r:id="rIdbjhre4c0jv90qgk5ebith">
        <w:r>
          <w:t xml:space="preserve">pedrojuancardona@gmail.com</w:t>
        </w:r>
      </w:hyperlink>
    </w:p>
    <w:p>
      <w:pPr>
        <w:pStyle w:val="basicsContact"/>
      </w:pPr>
      <w:r>
        <w:t xml:space="preserve">(787) 692-5225</w:t>
      </w:r>
    </w:p>
    <w:p>
      <w:pPr>
        <w:pStyle w:val="basicsContact"/>
      </w:pPr>
      <w:r>
        <w:t xml:space="preserve">Moca, PR</w:t>
      </w:r>
    </w:p>
    <w:p>
      <w:pPr>
        <w:pStyle w:val="basicsContact"/>
      </w:pPr>
      <w:hyperlink w:history="1" r:id="rIdfjhoakhli6yflgzf5byhk">
        <w:r>
          <w:t xml:space="preserve">Portfolio</w:t>
        </w:r>
      </w:hyperlink>
    </w:p>
    <w:p>
      <w:pPr>
        <w:pStyle w:val="basicsContact"/>
      </w:pPr>
      <w:hyperlink w:history="1" r:id="rIdoadewgmd04keht6ngzogp">
        <w:r>
          <w:t xml:space="preserve">LinkedIn</w:t>
        </w:r>
      </w:hyperlink>
    </w:p>
    <w:p>
      <w:pPr>
        <w:pStyle w:val="basicsContact"/>
      </w:pPr>
      <w:hyperlink w:history="1" r:id="rIdsh4pbhlzmzvxo_g0igez1">
        <w:r>
          <w:t xml:space="preserve">GitHub</w:t>
        </w:r>
      </w:hyperlink>
    </w:p>
    <w:p>
      <w:pPr>
        <w:sectPr>
          <w:type w:val="continuous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>
</w:t>
      </w:r>
    </w:p>
    <w:p>
      <w:pPr>
        <w:pStyle w:val="Heading2"/>
      </w:pPr>
      <w:r>
        <w:t xml:space="preserve">SUMMARY</w:t>
      </w:r>
    </w:p>
    <w:p>
      <w:pPr>
        <w:spacing w:after="120"/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Business analyst on a government enterprise resource planning modernization, most useful where the data does not agree with itself yet. Reconciled $3.9B in purchase order activity to the cent across eight production finance systems, surfaced internal-control gaps the official reporting had missed, and delivered dashboards used by a Sub-Secretary of the Government of Puerto Rico. Also the team's backup cloud and AI engineer, building internal automations with AI coding agents. Earlier, cut production report runtimes ~40% at e-STEPS and moved 50+ field crews off paper timesheets at HOD Investment. Penn State Enterprise Technology Integration, class of 2027; bilingual English/Spanish.</w:t>
      </w:r>
    </w:p>
    <w:p>
      <w:pPr>
        <w:sectPr>
          <w:type w:val="continuous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>
</w:t>
      </w:r>
    </w:p>
    <w:p>
      <w:pPr>
        <w:pStyle w:val="Heading2"/>
      </w:pPr>
      <w:r>
        <w:t xml:space="preserve">EXPERIENCE</w:t>
      </w:r>
    </w:p>
    <w:p>
      <w:r>
        <w:t xml:space="preserve">
</w:t>
      </w:r>
    </w:p>
    <w:p>
      <w:pPr>
        <w:tabs>
          <w:tab w:val="right" w:pos="9026"/>
        </w:tabs>
      </w:pPr>
      <w:r>
        <w:rPr>
          <w:b/>
          <w:bCs/>
        </w:rPr>
        <w:t xml:space="preserve">Business &amp; BI Analyst / Incident Coordinator</w:t>
      </w:r>
      <w:r>
        <w:ptab w:alignment="right" w:relativeTo="margin" w:leader="none"/>
      </w:r>
      <w:r>
        <w:t xml:space="preserve">Jul 2026 - Present</w:t>
      </w:r>
    </w:p>
    <w:p>
      <w:r>
        <w:rPr>
          <w:i/>
          <w:iCs/>
        </w:rPr>
        <w:t xml:space="preserve">Alpha Omega Media, LLC | Puerto Rico · Hybrid</w:t>
      </w:r>
    </w:p>
    <w:p>
      <w:pPr>
        <w:spacing w:after="120"/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Puerto Rico-based technology consulting firm specializing in digital transformation, advanced analytics, and cloud architecture for highly regulated public- and private-sector organizations; technical leadership includes a former Chief Information Officer of the Government of Puerto Rico. Engaged on the firm's flagship program: the Government of Puerto Rico's enterprise resource planning modernization, a migration from PeopleSoft to Oracle Fusion Cloud covering Finance, Supply Chain, and Procurement across dozens of agencies.</w:t>
      </w:r>
    </w:p>
    <w:p>
      <w:r>
        <w:t xml:space="preserve">
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Served as the program team's backup cloud and AI engineer alongside the analyst role, and built an internal automation with AI coding agents that pulls time-tracking data from the Clockify API and generates the team's standardized weekly status reports as Word documents, removing a manual weekly reporting step; deliberately scoped it separate from billing and invoicing.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Consolidated 8 production data extracts (</w:t>
      </w:r>
      <w:r>
        <w:rPr>
          <w:color w:val="000000"/>
          <w:sz w:val="22"/>
          <w:szCs w:val="22"/>
          <w:rFonts w:ascii="Calibri" w:cs="Calibri" w:eastAsia="Calibri" w:hAnsi="Calibri"/>
        </w:rPr>
        <w:t xml:space="preserve">~240,000 rows across 40 spreadsheet tabs) from multiple government finance systems into the Puerto Rico government's first unified procure-to-pay analytics view, covering </w:t>
      </w:r>
      <w:r>
        <w:rPr>
          <w:color w:val="000000"/>
          <w:sz w:val="22"/>
          <w:szCs w:val="22"/>
          <w:rFonts w:ascii="Calibri" w:cs="Calibri" w:eastAsia="Calibri" w:hAnsi="Calibri"/>
        </w:rPr>
        <w:t xml:space="preserve">~8,800 suppliers across 60 agencies from requisition through invoice three-way match in a single 10-view application.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Verified $3.9B in purchase order value to the cent against source systems, alongside $1.89B in pending obligations, $1.2B paid to suppliers, $396.7M held in invoice holds, and $3.04B in authorized purchasing-agreement limits across 113,000+ historical contracts.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Assisted on the delivery engineering that made the platform run fully offline for a client with no guaranteed internet access, compressing a 24.5MB dataset to a 5.46MB self-contained file via dictionary encoding and gzip/base64 with in-browser decompression and zero external dependencies; helped diagnose a production hang traced to a hidden CDN dependency, and re-verified the fix on a fully disconnected machine against an automated functional test suite.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Surfaced internal-control gaps the government's own reporting had missed, quantifying a near-total break in requisition-to-purchase-order traceability (under 0.2% of </w:t>
      </w:r>
      <w:r>
        <w:rPr>
          <w:color w:val="000000"/>
          <w:sz w:val="22"/>
          <w:szCs w:val="22"/>
          <w:rFonts w:ascii="Calibri" w:cs="Calibri" w:eastAsia="Calibri" w:hAnsi="Calibri"/>
        </w:rPr>
        <w:t xml:space="preserve">~52,800 orders traced back to a requisition), an invoice-holds report whose supplier IDs matched zero of 3,337 records in any other financial report, and </w:t>
      </w:r>
      <w:r>
        <w:rPr>
          <w:color w:val="000000"/>
          <w:sz w:val="22"/>
          <w:szCs w:val="22"/>
          <w:rFonts w:ascii="Calibri" w:cs="Calibri" w:eastAsia="Calibri" w:hAnsi="Calibri"/>
        </w:rPr>
        <w:t xml:space="preserve">~3,000 duplicate supplier IDs in a 376,000-row master file, all documented as defects for remediation rather than forced into a false reconciliation.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Isolated $3,485,675.41 in open financial obligations across 184 line items by independently parsing a legacy purchase-order extract and tracing the fund's owning agency back to the fiscal circular that established it, resolving an ambiguity that had blocked analysis; separately quantified that two agencies accounted for 57% of all pending government payment obligations, a concentration finding used to prioritize cash-flow risk.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Audited a $5.3M public broadband contract line by line across a 27-site, 9-municipality public WiFi rollout, verifying vendor-reported equipment substitutions against manufacturer datasheets instead of the vendor's self-report; concluded only 1 of roughly 12 substitutions was a genuine contractual downgrade, isolating the real compliance issue without flagging legitimate engineering upgrades, and delivered bilingual audit reports with risk ratings to program leadership.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Contributed requirements for the Treasury and Budget Office's cloud financial reporting platform, a data warehouse and dashboard stack fed by ETL from the Oracle Fusion Cloud enterprise resource planning system, specifying priority accounts-payable aging, budget-vs-actual, and federal-fund tracking reports, and authoring the bilingual user guide that let non-technical finance staff self-serve.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Served as client-facing point of contact to the Director of Public Finance, delivering dashboards used directly by a Sub-Secretary of the Government of Puerto Rico; secured access to four Oracle Fusion Cloud modules (Payables, Procurement, Budgetary Control, General Ledger) by specifying the business question each request would answer, and sustained delivery through an extended cross-team access blocker by sourcing and reconciling equivalent production extracts.</w:t>
      </w:r>
    </w:p>
    <w:p>
      <w:r>
        <w:t xml:space="preserve">
</w:t>
      </w:r>
    </w:p>
    <w:p>
      <w:pPr>
        <w:tabs>
          <w:tab w:val="right" w:pos="9026"/>
        </w:tabs>
      </w:pPr>
      <w:r>
        <w:rPr>
          <w:b/>
          <w:bCs/>
        </w:rPr>
        <w:t xml:space="preserve">Software Development Intern</w:t>
      </w:r>
      <w:r>
        <w:ptab w:alignment="right" w:relativeTo="margin" w:leader="none"/>
      </w:r>
      <w:r>
        <w:t xml:space="preserve">Feb 2025 - Aug 2025</w:t>
      </w:r>
    </w:p>
    <w:p>
      <w:r>
        <w:rPr>
          <w:i/>
          <w:iCs/>
        </w:rPr>
        <w:t xml:space="preserve">e-STEPS LLC | Guaynabo, PR</w:t>
      </w:r>
    </w:p>
    <w:p>
      <w:r>
        <w:t xml:space="preserve">
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~40% faster production reporting by refactoring SQL with indexing strategies, optimized join paths, and date-scoped filtering across the internal database powering both internal operations and client-facing reports.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Shipped a real-time analytics dashboard now used by leadership for company performance reviews, employee performance tracking, revenue analysis, and lead pipeline visibility, replacing week-old static reports with a live single source of truth, owning the full stack from query layer through frontend visualization.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Eliminated malformed data at point of entry by engineering dynamic JavaScript validation for dependent input fields and conditional dropdowns, cutting downstream database errors and manual cleanup.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Owned the end-to-end pipeline from frontend capture through SQL execution to dashboard rendering, integrating REST endpoints with backend query layers.</w:t>
      </w:r>
    </w:p>
    <w:p>
      <w:r>
        <w:t xml:space="preserve">
</w:t>
      </w:r>
    </w:p>
    <w:p>
      <w:pPr>
        <w:tabs>
          <w:tab w:val="right" w:pos="9026"/>
        </w:tabs>
      </w:pPr>
      <w:r>
        <w:rPr>
          <w:b/>
          <w:bCs/>
        </w:rPr>
        <w:t xml:space="preserve">Operations Technology Developer</w:t>
      </w:r>
      <w:r>
        <w:ptab w:alignment="right" w:relativeTo="margin" w:leader="none"/>
      </w:r>
      <w:r>
        <w:t xml:space="preserve">Jun 2025 - Aug 2025</w:t>
      </w:r>
    </w:p>
    <w:p>
      <w:r>
        <w:rPr>
          <w:i/>
          <w:iCs/>
        </w:rPr>
        <w:t xml:space="preserve">HOD Investment LLC | Moca, PR</w:t>
      </w:r>
    </w:p>
    <w:p>
      <w:r>
        <w:t xml:space="preserve">
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50+ field employees across active construction sites now clock in and out through a Microsoft Power Apps tool I co-developed, replacing paper timesheets company wide, with same-week adoption across multiple job sites driven by hands-on training and change management.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Payroll processing cut from 2+ days to instant by routing field-collected timestamps directly into Power BI dashboards and downstream payroll workflows.</w:t>
      </w:r>
    </w:p>
    <w:p>
      <w:pPr>
        <w:sectPr>
          <w:type w:val="continuous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>
</w:t>
      </w:r>
    </w:p>
    <w:p>
      <w:pPr>
        <w:pStyle w:val="Heading2"/>
      </w:pPr>
      <w:r>
        <w:t xml:space="preserve">EDUCATION</w:t>
      </w:r>
    </w:p>
    <w:p>
      <w:r>
        <w:t xml:space="preserve">
</w:t>
      </w:r>
    </w:p>
    <w:p>
      <w:pPr>
        <w:tabs>
          <w:tab w:val="right" w:pos="9026"/>
        </w:tabs>
      </w:pPr>
      <w:r>
        <w:rPr>
          <w:b/>
          <w:bCs/>
        </w:rPr>
        <w:t xml:space="preserve">The Pennsylvania State University</w:t>
      </w:r>
      <w:r>
        <w:ptab w:alignment="right" w:relativeTo="margin" w:leader="none"/>
      </w:r>
      <w:r>
        <w:t xml:space="preserve">Aug 2023 - May 2027</w:t>
      </w:r>
    </w:p>
    <w:p>
      <w:r>
        <w:rPr>
          <w:b/>
          <w:bCs/>
        </w:rPr>
        <w:t xml:space="preserve">Bachelor of Science</w:t>
      </w:r>
      <w:r>
        <w:t xml:space="preserve"> </w:t>
      </w:r>
      <w:r>
        <w:t xml:space="preserve">Enterprise Technology Integration</w:t>
      </w:r>
      <w:r>
        <w:t xml:space="preserve">  ·  </w:t>
      </w:r>
      <w:r>
        <w:rPr>
          <w:b/>
          <w:bCs/>
        </w:rPr>
        <w:t xml:space="preserve">GPA: 3.21/4.00</w:t>
      </w:r>
    </w:p>
    <w:p>
      <w:r>
        <w:t xml:space="preserve">Relevant coursework: Advanced Enterprise Integration: Technologies and Applications, Enterprise Information Management and Storage Architecture, Organization of Data, Development and Documentation of Enterprise Web, IT Project Management</w:t>
      </w:r>
    </w:p>
    <w:p>
      <w:pPr>
        <w:spacing w:after="120"/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Business Fundamentals Certificate (in progress)</w:t>
      </w:r>
    </w:p>
    <w:p>
      <w:r>
        <w:t xml:space="preserve">
</w:t>
      </w:r>
    </w:p>
    <w:p>
      <w:pPr>
        <w:pStyle w:val="ListParagraph"/>
        <w:numPr>
          <w:ilvl w:val="0"/>
          <w:numId w:val="1"/>
        </w:numPr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Dean’s List (multiple semesters)</w:t>
      </w:r>
    </w:p>
    <w:p>
      <w:pPr>
        <w:sectPr>
          <w:type w:val="continuous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>
</w:t>
      </w:r>
    </w:p>
    <w:p>
      <w:pPr>
        <w:pStyle w:val="Heading2"/>
      </w:pPr>
      <w:r>
        <w:t xml:space="preserve">SKILLS</w:t>
      </w:r>
    </w:p>
    <w:p>
      <w:r>
        <w:t xml:space="preserve">
</w:t>
      </w:r>
    </w:p>
    <w:p>
      <w:r>
        <w:rPr>
          <w:b/>
          <w:bCs/>
        </w:rPr>
        <w:t xml:space="preserve">Backend &amp; Data</w:t>
      </w:r>
    </w:p>
    <w:p>
      <w:r>
        <w:t xml:space="preserve">SQL (query optimization, indexing, joins), JavaScript, Java, REST APIs, Firebase, Power BI, Excel, dashboard development, ETL workflows, large-scale data reconciliation</w:t>
      </w:r>
    </w:p>
    <w:p>
      <w:r>
        <w:t xml:space="preserve">
</w:t>
      </w:r>
    </w:p>
    <w:p>
      <w:r>
        <w:rPr>
          <w:b/>
          <w:bCs/>
        </w:rPr>
        <w:t xml:space="preserve">Frontend</w:t>
      </w:r>
    </w:p>
    <w:p>
      <w:r>
        <w:t xml:space="preserve">React, Vite, Node.js, HTML, CSS, responsive UI, bilingual interfaces (en/es-PR)</w:t>
      </w:r>
    </w:p>
    <w:p>
      <w:r>
        <w:t xml:space="preserve">
</w:t>
      </w:r>
    </w:p>
    <w:p>
      <w:r>
        <w:rPr>
          <w:b/>
          <w:bCs/>
        </w:rPr>
        <w:t xml:space="preserve">Cloud &amp; Platforms</w:t>
      </w:r>
    </w:p>
    <w:p>
      <w:r>
        <w:t xml:space="preserve">Oracle Fusion Cloud ERP (Payables, Procurement, Budgetary Control, General Ledger), Microsoft Azure (Power Platform), AWS, Google Cloud (Firebase), Microsoft Power Apps, Vercel</w:t>
      </w:r>
    </w:p>
    <w:p>
      <w:r>
        <w:t xml:space="preserve">
</w:t>
      </w:r>
    </w:p>
    <w:p>
      <w:r>
        <w:rPr>
          <w:b/>
          <w:bCs/>
        </w:rPr>
        <w:t xml:space="preserve">Workflow &amp; Collaboration</w:t>
      </w:r>
    </w:p>
    <w:p>
      <w:r>
        <w:t xml:space="preserve">Git, GitHub, Agile, business process analysis (procure-to-pay), requirements gathering, vendor &amp; contract compliance review, executive stakeholder communication, bilingual technical documentation, cross-functional delivery, change management, user training</w:t>
      </w:r>
    </w:p>
    <w:p>
      <w:r>
        <w:t xml:space="preserve">
</w:t>
      </w:r>
    </w:p>
    <w:p>
      <w:r>
        <w:rPr>
          <w:b/>
          <w:bCs/>
        </w:rPr>
        <w:t xml:space="preserve">AI &amp; Automation</w:t>
      </w:r>
    </w:p>
    <w:p>
      <w:r>
        <w:t xml:space="preserve">Building and testing production tools with AI coding agents (Claude Code, Claude API) in Python and HTML/JavaScript; prompt design, AI workflow automation, API integrations, requirement definition, output verification, and functional testing of AI-generated code</w:t>
      </w:r>
    </w:p>
    <w:p>
      <w:r>
        <w:t xml:space="preserve">
</w:t>
      </w:r>
    </w:p>
    <w:p>
      <w:r>
        <w:t xml:space="preserve">English, Spanish (native bilingual)</w:t>
      </w:r>
    </w:p>
    <w:p>
      <w:pPr>
        <w:sectPr>
          <w:type w:val="continuous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>
</w:t>
      </w:r>
    </w:p>
    <w:p>
      <w:pPr>
        <w:pStyle w:val="Heading2"/>
      </w:pPr>
      <w:r>
        <w:t xml:space="preserve">FEATURED PROJECTS</w:t>
      </w:r>
    </w:p>
    <w:p>
      <w:r>
        <w:t xml:space="preserve">
</w:t>
      </w:r>
    </w:p>
    <w:p>
      <w:pPr>
        <w:tabs>
          <w:tab w:val="right" w:pos="9026"/>
        </w:tabs>
      </w:pPr>
      <w:r>
        <w:rPr>
          <w:b/>
          <w:bCs/>
        </w:rPr>
      </w:r>
      <w:r>
        <w:ptab w:alignment="right" w:relativeTo="margin" w:leader="none"/>
      </w:r>
      <w:r>
        <w:t xml:space="preserve">Ongoing</w:t>
      </w:r>
    </w:p>
    <w:p>
      <w:r>
        <w:rPr>
          <w:i/>
          <w:iCs/>
        </w:rPr>
        <w:t xml:space="preserve">AI-Built Automation Tools</w:t>
      </w:r>
    </w:p>
    <w:p>
      <w:pPr>
        <w:spacing w:after="120"/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Designed, directed, and tested working tools built with AI coding agents for real users: a contract-generation automation for a billboard permitting and project-development practice that replaced one-by-one manual drafting that had been delaying review, and a Quizlet-style study application with added features used by medical students for exam prep.</w:t>
      </w:r>
    </w:p>
    <w:p>
      <w:r>
        <w:t xml:space="preserve">
</w:t>
      </w:r>
    </w:p>
    <w:p>
      <w:pPr>
        <w:tabs>
          <w:tab w:val="right" w:pos="9026"/>
        </w:tabs>
      </w:pPr>
      <w:r>
        <w:rPr>
          <w:b/>
          <w:bCs/>
        </w:rPr>
      </w:r>
      <w:r>
        <w:ptab w:alignment="right" w:relativeTo="margin" w:leader="none"/>
      </w:r>
      <w:r>
        <w:t xml:space="preserve">Feb 2026 - Apr 2026</w:t>
      </w:r>
    </w:p>
    <w:p>
      <w:r>
        <w:rPr>
          <w:i/>
          <w:iCs/>
        </w:rPr>
        <w:t xml:space="preserve">Crowd Meter</w:t>
      </w:r>
    </w:p>
    <w:p>
      <w:pPr>
        <w:spacing w:after="120"/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Campus occupancy monitoring application; led design of a multi-layer class architecture spanning facility types, sensor inputs, user roles, prediction models, and a dashboard UI layer for real-time crowd visibility.</w:t>
      </w:r>
    </w:p>
    <w:p>
      <w:r>
        <w:t xml:space="preserve">
</w:t>
      </w:r>
    </w:p>
    <w:p>
      <w:pPr>
        <w:tabs>
          <w:tab w:val="right" w:pos="9026"/>
        </w:tabs>
      </w:pPr>
      <w:r>
        <w:rPr>
          <w:b/>
          <w:bCs/>
        </w:rPr>
      </w:r>
      <w:r>
        <w:ptab w:alignment="right" w:relativeTo="margin" w:leader="none"/>
      </w:r>
      <w:r>
        <w:t xml:space="preserve">Nov 2025 - Dec 2025</w:t>
      </w:r>
    </w:p>
    <w:p>
      <w:r>
        <w:rPr>
          <w:i/>
          <w:iCs/>
        </w:rPr>
        <w:t xml:space="preserve">Dwello</w:t>
      </w:r>
    </w:p>
    <w:p>
      <w:pPr>
        <w:spacing w:after="120"/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Solo-built property management platform automating rent tracking, expense management, cash-flow and ROI calculations, with AI assistants for portfolio analysis and optimization recommendations across property and portfolio views.</w:t>
      </w:r>
    </w:p>
    <w:p>
      <w:r>
        <w:t xml:space="preserve">
</w:t>
      </w:r>
    </w:p>
    <w:p>
      <w:pPr>
        <w:tabs>
          <w:tab w:val="right" w:pos="9026"/>
        </w:tabs>
      </w:pPr>
      <w:r>
        <w:rPr>
          <w:b/>
          <w:bCs/>
        </w:rPr>
      </w:r>
      <w:r>
        <w:ptab w:alignment="right" w:relativeTo="margin" w:leader="none"/>
      </w:r>
      <w:r>
        <w:t xml:space="preserve">Oct 2025 - Jan 2026</w:t>
      </w:r>
    </w:p>
    <w:p>
      <w:r>
        <w:rPr>
          <w:i/>
          <w:iCs/>
        </w:rPr>
        <w:t xml:space="preserve">Tradeucate</w:t>
      </w:r>
    </w:p>
    <w:p>
      <w:pPr>
        <w:spacing w:after="120"/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Solo-built educational platform bridging theory and practice across day trading, finance, and real estate; integrates real-time market data via external APIs, AI-powered strategy bots that analyze user decision patterns, and portfolio optimization tooling with risk-management guidance.</w:t>
      </w:r>
    </w:p>
    <w:p>
      <w:pPr>
        <w:sectPr>
          <w:type w:val="continuous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>
</w:t>
      </w:r>
    </w:p>
    <w:p>
      <w:pPr>
        <w:pStyle w:val="Heading2"/>
      </w:pPr>
      <w:r>
        <w:t xml:space="preserve">Certifications in Progress</w:t>
      </w:r>
    </w:p>
    <w:p>
      <w:r>
        <w:t xml:space="preserve">
</w:t>
      </w:r>
    </w:p>
    <w:p>
      <w:pPr>
        <w:tabs>
          <w:tab w:val="right" w:pos="9026"/>
        </w:tabs>
      </w:pPr>
      <w:r>
        <w:rPr>
          <w:b/>
          <w:bCs/>
        </w:rPr>
        <w:t xml:space="preserve">CompTIA Security+ (SY0-701)</w:t>
      </w:r>
      <w:r>
        <w:tab/>
      </w:r>
      <w:r/>
    </w:p>
    <w:p>
      <w:r>
        <w:t xml:space="preserve">
</w:t>
      </w:r>
    </w:p>
    <w:p>
      <w:pPr>
        <w:tabs>
          <w:tab w:val="right" w:pos="9026"/>
        </w:tabs>
      </w:pPr>
      <w:r>
        <w:rPr>
          <w:b/>
          <w:bCs/>
        </w:rPr>
        <w:t xml:space="preserve">ITIL Foundation</w:t>
      </w:r>
      <w:r>
        <w:tab/>
      </w:r>
      <w:r/>
    </w:p>
    <w:p>
      <w:pPr>
        <w:sectPr>
          <w:type w:val="continuous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>
</w:t>
      </w:r>
    </w:p>
    <w:p>
      <w:pPr>
        <w:pStyle w:val="Heading2"/>
      </w:pPr>
      <w:r>
        <w:t xml:space="preserve">LEADERSHIP &amp; SERVICE</w:t>
      </w:r>
    </w:p>
    <w:p>
      <w:pPr>
        <w:spacing w:after="60"/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• </w:t>
      </w:r>
      <w:r>
        <w:rPr>
          <w:color w:val="000000"/>
          <w:sz w:val="22"/>
          <w:szCs w:val="22"/>
          <w:rFonts w:ascii="Calibri" w:cs="Calibri" w:eastAsia="Calibri" w:hAnsi="Calibri"/>
        </w:rPr>
        <w:t xml:space="preserve">Phi Eta Mu Fraternity, Beta Chapter, active member of a century-old leadership development organization in Puerto Rico.</w:t>
      </w:r>
    </w:p>
    <w:p>
      <w:pPr>
        <w:spacing w:after="60"/>
      </w:pPr>
      <w:r>
        <w:rPr>
          <w:color w:val="000000"/>
          <w:sz w:val="22"/>
          <w:szCs w:val="22"/>
          <w:rFonts w:ascii="Calibri" w:cs="Calibri" w:eastAsia="Calibri" w:hAnsi="Calibri"/>
        </w:rPr>
        <w:t xml:space="preserve">• </w:t>
      </w:r>
      <w:r>
        <w:rPr>
          <w:color w:val="000000"/>
          <w:sz w:val="22"/>
          <w:szCs w:val="22"/>
          <w:rFonts w:ascii="Calibri" w:cs="Calibri" w:eastAsia="Calibri" w:hAnsi="Calibri"/>
        </w:rPr>
        <w:t xml:space="preserve">Disaster Relief Volunteer, Puerto Rico, contributed materials and food for hurricane and earthquake recovery efforts.</w:t>
      </w:r>
    </w:p>
    <w:sectPr>
      <w:type w:val="continuous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, sans-serif" w:cs="Open Sans, sans-serif" w:eastAsia="Open Sans, sans-serif" w:hAnsi="Open Sans, sans-serif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sz w:val="40"/>
      <w:szCs w:val="40"/>
      <w:rFonts w:ascii="Open Sans, sans-serif" w:cs="Open Sans, sans-serif" w:eastAsia="Open Sans, sans-serif" w:hAnsi="Open Sans, sans-serif"/>
    </w:rPr>
  </w:style>
  <w:style w:type="paragraph" w:styleId="Heading2">
    <w:name w:val="Heading 2"/>
    <w:basedOn w:val="Normal"/>
    <w:next w:val="Normal"/>
    <w:qFormat/>
    <w:pPr>
      <w:keepNext/>
      <w:keepLines/>
    </w:pPr>
    <w:rPr>
      <w:b/>
      <w:bCs/>
      <w:sz w:val="24"/>
      <w:szCs w:val="24"/>
      <w:rFonts w:ascii="Open Sans, sans-serif" w:cs="Open Sans, sans-serif" w:eastAsia="Open Sans, sans-serif" w:hAnsi="Open Sans, sans-serif"/>
    </w:rPr>
  </w:style>
  <w:style w:type="paragraph" w:styleId="Heading3">
    <w:name w:val="Heading 3"/>
    <w:basedOn w:val="Normal"/>
    <w:next w:val="Normal"/>
    <w:qFormat/>
    <w:rPr>
      <w:sz w:val="24"/>
      <w:szCs w:val="24"/>
      <w:rFonts w:ascii="Open Sans, sans-serif" w:cs="Open Sans, sans-serif" w:eastAsia="Open Sans, sans-serif" w:hAnsi="Open Sans, sans-serif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basicsContact">
    <w:name w:val="Contact"/>
    <w:basedOn w:val="Normal"/>
    <w:pPr>
      <w:jc w:val="center"/>
    </w:pPr>
    <w:rPr>
      <w:i/>
      <w:iCs/>
    </w:rPr>
  </w:style>
  <w:style w:type="paragraph" w:styleId="basicsName">
    <w:name w:val="Name"/>
    <w:basedOn w:val="Heading1"/>
    <w:pPr>
      <w:jc w:val="center"/>
    </w:pPr>
  </w:style>
  <w:style w:type="paragraph" w:styleId="basicsLabel">
    <w:name w:val="Label"/>
    <w:basedOn w:val="Heading3"/>
    <w:pPr>
      <w:jc w:val="center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bjhre4c0jv90qgk5ebith" Type="http://schemas.openxmlformats.org/officeDocument/2006/relationships/hyperlink" Target="mailto:pedrojuancardona@gmail.com" TargetMode="External"/><Relationship Id="rIdfjhoakhli6yflgzf5byhk" Type="http://schemas.openxmlformats.org/officeDocument/2006/relationships/hyperlink" Target="https://portfolio-two-omega-r47hns15gv.vercel.app/" TargetMode="External"/><Relationship Id="rIdoadewgmd04keht6ngzogp" Type="http://schemas.openxmlformats.org/officeDocument/2006/relationships/hyperlink" Target="https://linkedin.com/in/pedro-cardona-973149291" TargetMode="External"/><Relationship Id="rIdsh4pbhlzmzvxo_g0igez1" Type="http://schemas.openxmlformats.org/officeDocument/2006/relationships/hyperlink" Target="https://github.com/PedroCardonaa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Jobscan</dc:creator>
  <cp:lastModifiedBy>Un-named</cp:lastModifiedBy>
  <cp:revision>1</cp:revision>
  <dcterms:created xsi:type="dcterms:W3CDTF">2026-09-17T19:58:48.463Z</dcterms:created>
  <dcterms:modified xsi:type="dcterms:W3CDTF">2026-09-17T19:58:48.463Z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sumeInJson">
    <vt:lpwstr>{"id":28754404,"data":{"schemaVersion":"v2.0.0","meta":{"lastModified":"2026-09-17T19:58:34.582Z","style":{"font":null,"style":"modern","theme":null,"margins":null,"fontSize":null,"template":"professional","dateFormat":null,"lineHeight":null}},"basics":{"label":"Basics","model":"basics","meta":{"optionalProperties":{"url":true}},"data":{"name":"PEDRO J. CARDONA-ACEVEDO","label":"Enterprise Technology Integration · Penn State Class of 2027","email":"pedrojuancardona@gmail.com","phone":"(787) 692-5225","url":"Portfolio","location":"Moca, PR","profiles":[{"label":"LinkedIn","url":"LinkedIn"},{"label":"GitHub","url":"GitHub"}]}},"sections":[{"uuid":"bfcfe26b-a905-41e6-b1bc-1aa6b81818de","label":"SUMMARY","model":"summary","meta":{"optionalProperties":{}},"data":[{"uuid":"9ba49d38-f5dd-4b08-9414-cd5690ae8314","meta":{"optionalProperties":[]},"text":"Business analyst on a government enterprise resource planning modernization, most useful where the data does not agree with itself yet. Reconciled $3.9B in purchase order activity to the cent across eight production finance systems, surfaced internal-control gaps the official reporting had missed, and delivered dashboards used by a Sub-Secretary of the Government of Puerto Rico. Earlier, cut production report runtimes ~40% at e-STEPS and moved 50+ field crews off paper timesheets at HOD Investment. Penn State Enterprise Technology Integration, class of 2027; bilingual English/Spanish."}]},{"uuid":"b100c072-7b90-4e62-8d20-cf3d54382ef9","label":"EXPERIENCE","model":"work","meta":{"optionalProperties":[]},"data":[{"uuid":"956eb490-23a6-4e85-877c-7e11c929b1b8","name":"Alpha Omega Media, LLC","position":"Business &amp; BI Analyst / Incident Coordinator","location":"Puerto Rico · Hybrid","url":"","startDate":"2026-07-01","endDate":null,"meta":{"optionalProperties":{}},"description":"Puerto Rico-based technology consulting firm specializing in digital transformation, advanced analytics, and cloud architecture for highly regulated public- and private-sector organizations; technical leadership includes a former Chief Information Officer of the Government of Puerto Rico. Engaged on the firm's flagship program: the Government of Puerto Rico's enterprise resource planning modernization, a migration from PeopleSoft to Oracle Fusion Cloud covering Finance, Supply Chain, and Procurement across dozens of agencies.","highlights":[{"uuid":"b87b34c1-e509-4984-bc1c-bd5ca46ccd21","text":"Consolidated 8 production data extracts (~240,000 rows across 40 spreadsheet tabs) from multiple government finance systems into the Puerto Rico government's first unified procure-to-pay analytics view, covering ~8,800 suppliers across 60 agencies from requisition through invoice three-way match in a single 10-view application."},{"uuid":"97d8cb65-bc9f-4471-aaa8-d78bd79f565a","text":"Verified $3.9B in purchase order value to the cent against source systems, alongside $1.89B in pending obligations, $1.2B paid to suppliers, $396.7M held in invoice holds, and $3.04B in authorized purchasing-agreement limits across 113,000+ historical contracts."},{"uuid":"df96411a-f824-43d6-8148-dad0601fa862","text":"Assisted on the delivery engineering that made the platform run fully offline for a client with no guaranteed internet access, compressing a 24.5MB dataset to a 5.46MB self-contained file via dictionary encoding and gzip/base64 with in-browser decompression and zero external dependencies; helped diagnose a production hang traced to a hidden CDN dependency, and re-verified the fix on a fully disconnected machine against an automated functional test suite."},{"uuid":"3725feeb-ead8-4ea7-b104-3868593050cd","text":"Surfaced internal-control gaps the government's own reporting had missed, quantifying a near-total break in requisition-to-purchase-order traceability (under 0.2% of ~52,800 orders traced back to a requisition), an invoice-holds report whose supplier IDs matched zero of 3,337 records in any other financial report, and ~3,000 duplicate supplier IDs in a 376,000-row master file, all documented as defects for remediation rather than forced into a false reconciliation."},{"uuid":"3ce7f524-52e6-46c6-8b93-79add163df34","text":"Isolated $3,485,675.41 in open financial obligations across 184 line items by independently parsing a legacy purchase-order extract and tracing the fund's owning agency back to the fiscal circular that established it, resolving an ambiguity that had blocked analysis; separately quantified that two agencies accounted for 57% of all pending government payment obligations, a concentration finding used to prioritize cash-flow risk."},{"uuid":"5b7add9f-1259-469e-bade-65c608956bd6","text":"Audited a $5.3M public broadband contract line by line across a 27-site, 9-municipality public WiFi rollout, verifying vendor-reported equipment substitutions against manufacturer datasheets instead of the vendor's self-report; concluded only 1 of roughly 12 substitutions was a genuine contractual downgrade, isolating the real compliance issue without flagging legitimate engineering upgrades, and delivered bilingual audit reports with risk ratings to program leadership."},{"uuid":"b09d6360-f105-4f04-bbc7-e694a7d070d5","text":"Contributed requirements for the Treasury and Budget Office's cloud financial reporting platform, a data warehouse and dashboard stack fed by ETL from the Oracle Fusion Cloud enterprise resource planning system, specifying priority accounts-payable aging, budget-vs-actual, and federal-fund tracking reports, and authoring the bilingual user guide that let non-technical finance staff self-serve."},{"uuid":"831f5d4e-cce1-480f-82d6-9d841af67a0c","text":"Served as client-facing point of contact to the Director of Public Finance, delivering dashboards used directly by a Sub-Secretary of the Government of Puerto Rico; secured access to four Oracle Fusion Cloud modules (Payables, Procurement, Budgetary Control, General Ledger) by specifying the business question each request would answer, and sustained delivery through an extended cross-team access blocker by sourcing and reconciling equivalent production extracts."}]},{"uuid":"d21f4bbc-6ae5-429d-9cf2-58ffd93b3d0e","name":"e-STEPS LLC","position":"Software Development Intern","location":"Guaynabo, PR","url":"","startDate":"2025-02-01","endDate":"2025-08-01","meta":{"optionalProperties":{"description":false}},"description":"","highlights":[{"uuid":"98b1c821-fbb8-4d57-87a0-c9c8f978a3fa","text":"~40% faster production reporting by refactoring SQL with indexing strategies, optimized join paths, and date-scoped filtering across the internal database powering both internal operations and client-facing reports."},{"uuid":"e1e36a87-2ac2-44a2-969b-c0df96f00d60","text":"Shipped a real-time analytics dashboard now used by leadership for company performance reviews, employee performance tracking, revenue analysis, and lead pipeline visibility, replacing week-old static reports with a live single source of truth, owning the full stack from query layer through frontend visualization."},{"uuid":"7bee2b06-353b-43b1-b2a8-085a96367d16","text":"Eliminated malformed data at point of entry by engineering dynamic JavaScript validation for dependent input fields and conditional dropdowns, cutting downstream database errors and manual cleanup."},{"uuid":"162eb2c8-0ba7-4168-a5cb-b9d538f18d92","text":"Owned the end-to-end pipeline from frontend capture through SQL execution to dashboard rendering, integrating REST endpoints with backend query layers."}]},{"uuid":"f742617b-00f2-48f7-9840-1c9a1db8e379","name":"HOD Investment LLC","position":"Operations Technology Developer","location":"Moca, PR","url":"","startDate":"2025-06-01","endDate":"2025-08-01","meta":{"optionalProperties":{"description":false}},"description":"","highlights":[{"uuid":"5af93838-5b54-4a58-8f41-06a8de8e9ec1","text":"50+ field employees across active construction sites now clock in and out through a Microsoft Power Apps tool I co-developed, replacing paper timesheets company wide, with same-week adoption across multiple job sites driven by hands-on training and change management."},{"uuid":"80eca685-eab4-4a5f-be7e-d206b0f4ae86","text":"Payroll processing cut from 2+ days to instant by routing field-collected timestamps directly into Power BI dashboards and downstream payroll workflows."}]}]},{"uuid":"c34e8b53-d24e-49c8-92f4-15b610491dfb","label":"EDUCATION","model":"education","meta":{"optionalProperties":[]},"data":[{"uuid":"13e71b95-8469-4c63-8f1c-bec81f32424d","institution":"The Pennsylvania State University","area":"Enterprise Technology Integration","url":"","studyType":"Bachelor of Science","startDate":"2023-08-01","endDate":"2027-05-01","score":"","courses":["Advanced Enterprise Integration: Technologies and Applications","Enterprise Information Management and Storage Architecture","Organization of Data","Development and Documentation of Enterprise Web","IT Project Management"],"minors":[],"meta":{"optionalProperties":{"minors":false}},"description":"Business Fundamentals Certificate (in progress)","highlights":[{"uuid":"bc65247d-0cf3-4ea0-9185-8dedb7d9e28e","text":"Dean’s List Multiple semesters"}]}]},{"uuid":"7cb9bf4c-a393-4a36-95ee-4a382fd3a410","label":"SKILLS","model":"skills","meta":{"optionalProperties":[]},"data":[{"uuid":"cb4561e9-1d70-47c0-949c-dd03a75e410c","label":"Backend &amp; Data","skills":[{"uuid":"0450924a-baed-424d-bcac-85a66ef16300","name":"SQL (query optimization, indexing, joins)"},{"uuid":"2cca52b3-0b75-40e1-9e29-8491fdcf8282","name":"JavaScript"},{"uuid":"4bd7c2eb-f586-4bd4-ada8-c7569ca7d9ef","name":"Java"},{"uuid":"916c3ca7-0004-45a6-b12b-d36166fa69fc","name":"REST APIs"},{"uuid":"124a5d5b-9152-4579-813b-ae815842c5bc","name":"Firebase"},{"uuid":"57cfe296-d39d-418f-b578-e146e78b0437","name":"Power BI"},{"uuid":"8ab2ed25-f629-490f-a6b9-390e4d511430","name":"Excel"},{"uuid":"e73efd0c-75ba-448c-847d-94bfd73d66f8","name":"dashboard development"},{"uuid":"107d1f68-f930-4c05-a397-071e345259ea","name":"ETL workflows"},{"uuid":"f6d40654-424c-4be3-9d86-1bce003c6c96","name":"large-scale data reconciliation"}],"meta":{"optionalProperties":[]}},{"uuid":"30a2ba6c-0e3e-4f77-bcca-9225f36757ec","label":"Frontend","skills":[{"uuid":"c2d946b8-9f8c-44d1-8e97-0b478b5daff4","name":"React"},{"uuid":"4c5c1662-e42a-414d-ae34-ce28a49c6220","name":"Vite"},{"uuid":"e85637d4-2f2f-403c-92af-91567fc171e7","name":"Node.js"},{"uuid":"bdff3851-68e5-4523-8c8d-4db99ca8aefe","name":"HTML"},{"uuid":"c2112c3c-a38a-4b0b-8844-b418fa92bb95","name":"CSS"},{"uuid":"d745bc3f-a9d1-42bf-a905-9cd9aef6fa2b","name":"responsive UI"},{"uuid":"ea5649ab-855d-466c-92cf-bfaadd8965ff","name":"bilingual interfaces (en/es-PR)"}],"meta":{"optionalProperties":[]}},{"uuid":"82a3ef89-5aba-4f6e-ab4f-b00dc78de721","label":"Cloud &amp; Platforms","skills":[{"uuid":"08176de2-9d81-4f6d-a7f0-0ba01a9706d2","name":"Oracle Fusion Cloud ERP (Payables, Procurement, Budgetary Control, General Ledger)"},{"uuid":"12757721-be3a-444d-bc1d-fe5aa4deb247","name":"Microsoft Azure (Power Platform)"},{"uuid":"bb437354-6aa4-47fb-b52c-57341a4f82a4","name":"AWS"},{"uuid":"dc2251b1-ca0d-49fa-8112-af2920aca3db","name":"Google Cloud (Firebase)"},{"uuid":"e5154d3f-f506-47c0-ad0b-f6eddf298bad","name":"Microsoft Power Apps"},{"uuid":"15524958-7e9c-486f-b34c-ec2926b292e1","name":"Vercel"}],"meta":{"optionalProperties":[]}},{"uuid":"e7b78bd2-8c35-4b10-8bfd-1bcb51dc6e3c","label":"Workflow &amp; Collaboration","skills":[{"uuid":"7e2b0c4d-05d9-4b7a-883d-08b5e1b65678","name":"Git"},{"uuid":"a1e5c259-7a95-4832-8937-872e9fd3992d","name":"GitHub"},{"uuid":"9ba607b8-f99e-466d-9ab2-90c21b486b6f","name":"Agile"},{"uuid":"9e8a7731-243b-4ad5-83c9-e86155a95c53","name":"business process analysis (procure-to-pay)"},{"uuid":"aa0d610d-19ac-4a12-b978-855aca1cfed2","name":"requirements gathering"},{"uuid":"fb428b55-4f3c-4cf0-80e7-3426e409f2d2","name":"vendor &amp; contract compliance review"},{"uuid":"730196b2-af6c-4f32-8c29-8a27acad5641","name":"executive stakeholder communication"},{"uuid":"466a5bea-3d70-43b9-9390-bcfb878a206d","name":"bilingual technical documentation"},{"uuid":"58d8e43d-9dad-445f-b2f0-361e0cbfe0d9","name":"cross-functional delivery"},{"uuid":"c5d1d56f-f71c-4c0d-ad33-bde0427375b6","name":"change management"},{"uuid":"9ac1ebdc-6888-42c3-978b-c2b2bdb1b4bc","name":"user training"}],"meta":{"optionalProperties":[]}},{"uuid":"d1a687ef-a22d-475d-8894-57f5dfb034d6","label":"AI-Assisted Development","skills":[{"uuid":"160914a0-5d1d-452b-9b07-d13c9f38911a","name":"Specifying, directing, and testing production tools built with AI coding assistants (Python, HTML/JavaScript)"},{"uuid":"7e1038ed-ecc9-4e52-a23e-1829b2157a35","name":"requirement definition, output verification, and functional testing of AI-generated code"}],"meta":{"optionalProperties":[]}},{"uuid":"bd61476d-1bec-49b2-bd03-e57209ae43c8","label":"","skills":[{"uuid":"114d9fc5-a9a9-4425-a766-e473740aca3f","name":"English"},{"uuid":"082c1aff-904c-44e1-a64d-9b176822d65a","name":"Spanish (native bilingual)"}],"meta":{"optionalProperties":[]}}]},{"uuid":"3fd3d292-a1fa-4150-b6c2-6116854b3fa3","label":"FEATURED PROJECTS","model":"projects","meta":{"optionalProperties":[]},"data":[{"uuid":"fd5d7d8e-b694-4312-98e5-3673687657d8","name":"Crowd Meter","position":"","location":"","url":"","startDate":"2026-02-01","endDate":"2026-04-01","meta":{"optionalProperties":{}},"description":"Campus occupancy monitoring application; led design of a multi-layer class architecture spanning facility types, sensor inputs, user roles, prediction models, and a dashboard UI layer for real-time crowd visibility.","highlights":[]},{"uuid":"a157457b-537a-4405-a248-370a2928b7c2","name":"Dwello","position":"","location":"","url":"","startDate":"2025-11-01","endDate":"2025-12-01","meta":{"optionalProperties":{}},"description":"Solo-built property management platform automating rent tracking, expense management, cash-flow and ROI calculations, with AI assistants for portfolio analysis and optimization recommendations across property and portfolio views.","highlights":[]},{"uuid":"df0189d0-2160-47a4-afc6-98913e328249","name":"Tradeucate","position":"","location":"","url":"","startDate":"2025-10-01","endDate":"2026-01-01","meta":{"optionalProperties":{}},"description":"Solo-built educational platform bridging theory and practice across day trading, finance, and real estate; integrates real-time market data via external APIs, AI-powered strategy bots that analyze user decision patterns, and portfolio optimization tooling with risk-management guidance.","highlights":[]}]},{"uuid":"5e5e432f-84da-467a-94ad-35b188f7cf32","label":"Certifications in Progress","model":"certificates","meta":{"optionalProperties":[]},"data":[{"uuid":"65df74eb-b001-478c-9962-01fa51c67a84","name":"CompTIA Security+ (SY0-701)","issuer":"","date":null,"startDate":null,"url":"","meta":{"optionalProperties":{"date":false,"startDate":false,"description":false}},"description":""},{"uuid":"c5c37553-64d2-4a18-9d7e-8ed04e050bfb","name":"ITIL Foundation","issuer":"","date":null,"startDate":null,"url":"","meta":{"optionalProperties":{"date":false,"startDate":false,"description":false}},"description":""}]},{"uuid":"66992b35-9eec-468b-a804-948f8f96e499","label":"LEADERSHIP &amp; SERVICE","model":"custom","meta":{"optionalProperties":[]},"data":[{"uuid":"a45c8ec8-bc8e-4a11-b876-50efc23f3d9c","content":"- Phi Eta Mu Fraternity, Beta Chapter, active member of a century-old leadership development organization in Puerto Rico.\n- Disaster Relief Volunteer, Puerto Rico, contributed materials and food for hurricane and earthquake recovery efforts."}]}],"skills":[]}}</vt:lpwstr>
  </property>
</Properties>
</file>