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71717"/>
          <w:sz w:val="84"/>
        </w:rPr>
        <w:t>COLE</w:t>
      </w:r>
      <w:r>
        <w:rPr>
          <w:b/>
          <w:color w:val="635BFF"/>
          <w:sz w:val="84"/>
        </w:rPr>
        <w:t>X</w:t>
      </w:r>
      <w:r>
        <w:rPr>
          <w:b/>
          <w:color w:val="171717"/>
          <w:sz w:val="84"/>
        </w:rPr>
        <w:t>A</w:t>
      </w:r>
    </w:p>
    <w:p>
      <w:pPr>
        <w:jc w:val="center"/>
      </w:pPr>
      <w:r>
        <w:rPr>
          <w:b/>
          <w:sz w:val="44"/>
        </w:rPr>
        <w:t>ESPECIFICAÇÃO OFICIAL</w:t>
      </w:r>
    </w:p>
    <w:p>
      <w:pPr>
        <w:jc w:val="center"/>
      </w:pPr>
      <w:r>
        <w:rPr>
          <w:b/>
          <w:color w:val="635BFF"/>
          <w:sz w:val="22"/>
        </w:rPr>
        <w:t>UI • UX • DESIGN SYSTEM • TELAS • MARCA</w:t>
      </w:r>
    </w:p>
    <w:p>
      <w:pPr>
        <w:jc w:val="center"/>
      </w:pPr>
      <w:r>
        <w:rPr>
          <w:i/>
          <w:color w:val="696969"/>
          <w:sz w:val="32"/>
        </w:rPr>
        <w:t>Sua coleção. Do seu jeito.</w:t>
      </w:r>
    </w:p>
    <w:p>
      <w:pPr>
        <w:jc w:val="center"/>
      </w:pPr>
      <w:r>
        <w:rPr>
          <w:sz w:val="18"/>
        </w:rPr>
        <w:t>Versão 1.2 • Setembro de 2026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635BFF"/>
        </w:rPr>
        <w:t>1. 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Especificação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Produto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COLEXA — plataforma de organização e gestão de coleções TCG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Escopo inicial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One Piece Card Game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Abordagem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Mobile-first, responsiva para tablet e desktop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Versão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1.0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Status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Documento oficial de referência para design e implementação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Posicionamento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Premium, minimalista, visual e tecnológico; não gamer, cassino ou loja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635BFF"/>
        </w:rPr>
        <w:t>2. Marca COLEXA</w:t>
      </w:r>
    </w:p>
    <w:p>
      <w:pPr>
        <w:pStyle w:val="Heading2"/>
      </w:pPr>
      <w:r>
        <w:rPr>
          <w:rFonts w:ascii="Aptos Display" w:hAnsi="Aptos Display"/>
          <w:color w:val="171717"/>
        </w:rPr>
        <w:t>2.1 Posicionamento</w:t>
      </w:r>
    </w:p>
    <w:p>
      <w:pPr>
        <w:spacing w:after="100"/>
      </w:pPr>
      <w:r>
        <w:rPr>
          <w:sz w:val="20"/>
        </w:rPr>
        <w:t>COLEXA organiza, acompanha, localiza, valoriza e conecta colecionadores de TCG. A marca deve transmitir controle, descoberta, organização e evolução.</w:t>
      </w:r>
    </w:p>
    <w:p>
      <w:pPr>
        <w:pStyle w:val="Heading2"/>
      </w:pPr>
      <w:r>
        <w:rPr>
          <w:rFonts w:ascii="Aptos Display" w:hAnsi="Aptos Display"/>
          <w:color w:val="171717"/>
        </w:rPr>
        <w:t>2.2 Logo</w:t>
      </w:r>
    </w:p>
    <w:p>
      <w:pPr>
        <w:pStyle w:val="ListBullet"/>
        <w:spacing w:after="40"/>
      </w:pPr>
      <w:r>
        <w:rPr>
          <w:sz w:val="20"/>
        </w:rPr>
        <w:t>Wordmark: COLEXA, com o X como principal elemento proprietário.</w:t>
      </w:r>
    </w:p>
    <w:p>
      <w:pPr>
        <w:pStyle w:val="ListBullet"/>
        <w:spacing w:after="40"/>
      </w:pPr>
      <w:r>
        <w:rPr>
          <w:sz w:val="20"/>
        </w:rPr>
        <w:t>O X representa duas cartas se cruzando/conectando.</w:t>
      </w:r>
    </w:p>
    <w:p>
      <w:pPr>
        <w:pStyle w:val="ListBullet"/>
        <w:spacing w:after="40"/>
      </w:pPr>
      <w:r>
        <w:rPr>
          <w:sz w:val="20"/>
        </w:rPr>
        <w:t>O X pode funcionar sozinho como ícone, favicon e símbolo.</w:t>
      </w:r>
    </w:p>
    <w:p>
      <w:pPr>
        <w:pStyle w:val="ListBullet"/>
        <w:spacing w:after="40"/>
      </w:pPr>
      <w:r>
        <w:rPr>
          <w:sz w:val="20"/>
        </w:rPr>
        <w:t>Versões previstas: fundo claro, fundo escuro e monocromáticas.</w:t>
      </w:r>
    </w:p>
    <w:p>
      <w:pPr>
        <w:pStyle w:val="ListBullet"/>
        <w:spacing w:after="40"/>
      </w:pPr>
      <w:r>
        <w:rPr>
          <w:sz w:val="20"/>
        </w:rPr>
        <w:t>Não alterar proporções ou construção do X sem revisão da identidade.</w:t>
      </w:r>
    </w:p>
    <w:p>
      <w:pPr>
        <w:pStyle w:val="Heading2"/>
      </w:pPr>
      <w:r>
        <w:rPr>
          <w:rFonts w:ascii="Aptos Display" w:hAnsi="Aptos Display"/>
          <w:color w:val="171717"/>
        </w:rPr>
        <w:t>2.3 Tom de voz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Preferir</w:t>
            </w:r>
          </w:p>
        </w:tc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Evitar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Clareza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“Adicione à coleção”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Texto rebuscado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Objetividade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“12 cartas disponíveis”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Frases longas em ações simples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Premium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Limpo, seguro, discreto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Neon, excesso de efeitos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Proximidade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“Sua coleção”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Tom excessivamente corporativo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Neutralidade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“Carta”, “variante”, “TCG”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Sugestão de vínculo oficial com franquia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635BFF"/>
        </w:rPr>
        <w:t>3. Design System</w:t>
      </w:r>
    </w:p>
    <w:p>
      <w:pPr>
        <w:pStyle w:val="Heading2"/>
      </w:pPr>
      <w:r>
        <w:rPr>
          <w:rFonts w:ascii="Aptos Display" w:hAnsi="Aptos Display"/>
          <w:color w:val="171717"/>
        </w:rPr>
        <w:t>3.1 Princípios</w:t>
      </w:r>
    </w:p>
    <w:p>
      <w:pPr>
        <w:pStyle w:val="ListBullet"/>
        <w:spacing w:after="40"/>
      </w:pPr>
      <w:r>
        <w:rPr>
          <w:sz w:val="20"/>
        </w:rPr>
        <w:t>A carta é protagonista em catálogo/coleção.</w:t>
      </w:r>
    </w:p>
    <w:p>
      <w:pPr>
        <w:pStyle w:val="ListBullet"/>
        <w:spacing w:after="40"/>
      </w:pPr>
      <w:r>
        <w:rPr>
          <w:sz w:val="20"/>
        </w:rPr>
        <w:t>A interface é neutra para acomodar diferentes artes.</w:t>
      </w:r>
    </w:p>
    <w:p>
      <w:pPr>
        <w:pStyle w:val="ListBullet"/>
        <w:spacing w:after="40"/>
      </w:pPr>
      <w:r>
        <w:rPr>
          <w:sz w:val="20"/>
        </w:rPr>
        <w:t>Hierarquia, espaço e legibilidade vêm antes de ornamentação.</w:t>
      </w:r>
    </w:p>
    <w:p>
      <w:pPr>
        <w:pStyle w:val="ListBullet"/>
        <w:spacing w:after="40"/>
      </w:pPr>
      <w:r>
        <w:rPr>
          <w:sz w:val="20"/>
        </w:rPr>
        <w:t>Índigo/roxo é usado como identidade e ação, não como preenchimento indiscriminado.</w:t>
      </w:r>
    </w:p>
    <w:p>
      <w:pPr>
        <w:pStyle w:val="ListBullet"/>
        <w:spacing w:after="40"/>
      </w:pPr>
      <w:r>
        <w:rPr>
          <w:sz w:val="20"/>
        </w:rPr>
        <w:t>Todos os módulos compartilham componentes e padrões.</w:t>
      </w:r>
    </w:p>
    <w:p>
      <w:pPr>
        <w:pStyle w:val="Heading2"/>
      </w:pPr>
      <w:r>
        <w:rPr>
          <w:rFonts w:ascii="Aptos Display" w:hAnsi="Aptos Display"/>
          <w:color w:val="171717"/>
        </w:rPr>
        <w:t>3.2 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</w:tcPr>
          <w:p>
            <w:r>
              <w:t>Fundo</w:t>
            </w:r>
          </w:p>
        </w:tc>
        <w:tc>
          <w:tcPr>
            <w:tcW w:type="dxa" w:w="3408"/>
          </w:tcPr>
          <w:p>
            <w:r>
              <w:t>#F2F2F3</w:t>
            </w:r>
          </w:p>
        </w:tc>
        <w:tc>
          <w:tcPr>
            <w:tcW w:type="dxa" w:w="3408"/>
          </w:tcPr>
          <w:p>
            <w:r>
              <w:t>Fundo principal</w:t>
            </w:r>
          </w:p>
        </w:tc>
      </w:tr>
      <w:tr>
        <w:tc>
          <w:tcPr>
            <w:tcW w:type="dxa" w:w="3408"/>
          </w:tcPr>
          <w:p>
            <w:r>
              <w:t>Roxo (ênfase)</w:t>
            </w:r>
          </w:p>
        </w:tc>
        <w:tc>
          <w:tcPr>
            <w:tcW w:type="dxa" w:w="3408"/>
          </w:tcPr>
          <w:p>
            <w:r>
              <w:t>#38287B</w:t>
            </w:r>
          </w:p>
        </w:tc>
        <w:tc>
          <w:tcPr>
            <w:tcW w:type="dxa" w:w="3408"/>
          </w:tcPr>
          <w:p>
            <w:r>
              <w:t>Ênfase, ações e identidade</w:t>
            </w:r>
          </w:p>
        </w:tc>
      </w:tr>
      <w:tr>
        <w:tc>
          <w:tcPr>
            <w:tcW w:type="dxa" w:w="3408"/>
          </w:tcPr>
          <w:p>
            <w:r>
              <w:t>Texto</w:t>
            </w:r>
          </w:p>
        </w:tc>
        <w:tc>
          <w:tcPr>
            <w:tcW w:type="dxa" w:w="3408"/>
          </w:tcPr>
          <w:p>
            <w:r>
              <w:t>#000000</w:t>
            </w:r>
          </w:p>
        </w:tc>
        <w:tc>
          <w:tcPr>
            <w:tcW w:type="dxa" w:w="3408"/>
          </w:tcPr>
          <w:p>
            <w:r>
              <w:t>Texto principal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71717"/>
        </w:rPr>
        <w:t>3.3 Tipografia</w:t>
      </w:r>
    </w:p>
    <w:p>
      <w:pPr>
        <w:spacing w:after="100"/>
      </w:pPr>
      <w:r>
        <w:rPr>
          <w:sz w:val="20"/>
        </w:rPr>
        <w:t>Usar sans-serif moderna, geométrica/neo-grotesca, com fallback seguro. Títulos fortes; corpo confortável; labels curtas e acionáveis.</w:t>
      </w:r>
    </w:p>
    <w:p>
      <w:pPr>
        <w:pStyle w:val="Heading2"/>
      </w:pPr>
      <w:r>
        <w:rPr>
          <w:rFonts w:ascii="Aptos Display" w:hAnsi="Aptos Display"/>
          <w:color w:val="171717"/>
        </w:rPr>
        <w:t>3.4 Espaçamento e 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Diretriz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Grid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Múltiplos de 4 px; escala preferencial 4/8/12/16/24/32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Controles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Raio 8–12 px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Cards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Raio 12–16 px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Sheets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Raio 16–24 px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Touch target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mínimo recomendado 44×44 px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Sombra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Sutil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Borda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1 px, discreta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635BFF"/>
        </w:rPr>
        <w:t>4. Navegação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Início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Dashboard e progresso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Coleção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Coleção, filtros, playsets e edição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Catálogo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Sets, cartas, variantes e filtros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Trocas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Wants, Trade Binder, Matches e negociações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Mais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Storage, perfil, Premium e configurações</w:t>
            </w:r>
          </w:p>
        </w:tc>
      </w:tr>
    </w:tbl>
    <w:p/>
    <w:p>
      <w:pPr>
        <w:spacing w:after="100"/>
      </w:pPr>
      <w:r>
        <w:rPr>
          <w:sz w:val="20"/>
        </w:rPr>
        <w:t>No desktop, a navegação pode migrar para sidebar. O conteúdo deve ganhar espaço sem mudar a lógica da experiência.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635BFF"/>
              </w:rPr>
              <w:t>Regra de arquitetura</w:t>
              <w:br/>
            </w:r>
            <w:r>
              <w:rPr>
                <w:sz w:val="19"/>
              </w:rPr>
              <w:t>A barra inferior é persistente nas áreas principais do mobile e identifica claramente a seção ativa.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635BFF"/>
        </w:rPr>
        <w:t>5. Inventário das 36 telas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Tela</w:t>
            </w:r>
          </w:p>
        </w:tc>
        <w:tc>
          <w:tcPr>
            <w:tcW w:type="dxa" w:w="3408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01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Splash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Entrada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02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Landing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Entrada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03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Criar conta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Entrada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04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Entrar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Entrada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05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Home / Dashboard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Início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06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Busca global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Início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07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Resultados da busca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Início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08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Seleção de TCG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Início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09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Catálogo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Catálogo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10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Lista de Sets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Catálogo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11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Detalhe do Set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Catálogo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12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Filtros do catálogo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Catálogo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13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Detalhe da carta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Carta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14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Variantes da carta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Carta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15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Adicionar à coleção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Carta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16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Variante completa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Carta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17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Minha Coleção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Coleção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18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Filtros da coleção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Coleção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19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Playsets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Coleção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20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Edição de quantidade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Coleção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21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Armazenamento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Storage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22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Detalhe do Storage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Storage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23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Cartas no Storage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Storage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24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Criar/editar Storage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Storage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25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Seleção para edição em massa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Bulk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26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Filtros da edição em massa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Bulk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27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Edição das quantidades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Bulk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28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Resumo/confirmação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Bulk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29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Minha Want List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Trade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30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Detalhe da Want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Trade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31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Trade Binder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Trade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32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Matches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Trade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33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Nova troca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Trade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34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Resumo da troca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Trade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35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Histórico de trocas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Trade</w:t>
            </w:r>
          </w:p>
        </w:tc>
      </w:tr>
      <w:tr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36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Perfil/Configurações</w:t>
            </w:r>
          </w:p>
        </w:tc>
        <w:tc>
          <w:tcPr>
            <w:tcW w:type="dxa" w:w="3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Conta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635BFF"/>
        </w:rPr>
        <w:t>6. Grupo 1 — Entrada e autenticação</w:t>
      </w:r>
    </w:p>
    <w:p>
      <w:pPr>
        <w:pStyle w:val="Heading2"/>
      </w:pPr>
      <w:r>
        <w:rPr>
          <w:rFonts w:ascii="Aptos Display" w:hAnsi="Aptos Display"/>
          <w:color w:val="171717"/>
        </w:rPr>
        <w:t>01 Splash</w:t>
      </w:r>
    </w:p>
    <w:p>
      <w:pPr>
        <w:spacing w:after="100"/>
      </w:pPr>
      <w:r>
        <w:rPr>
          <w:sz w:val="20"/>
        </w:rPr>
        <w:t>Objetivo: Logo COLEXA e carregamento breve.</w:t>
      </w:r>
    </w:p>
    <w:p>
      <w:pPr>
        <w:spacing w:after="100"/>
      </w:pPr>
      <w:r>
        <w:rPr>
          <w:sz w:val="20"/>
        </w:rPr>
        <w:t>UI: Somente elementos proprietários.</w:t>
      </w:r>
    </w:p>
    <w:p>
      <w:pPr>
        <w:pStyle w:val="Heading2"/>
      </w:pPr>
      <w:r>
        <w:rPr>
          <w:rFonts w:ascii="Aptos Display" w:hAnsi="Aptos Display"/>
          <w:color w:val="171717"/>
        </w:rPr>
        <w:t>02 Landing</w:t>
      </w:r>
    </w:p>
    <w:p>
      <w:pPr>
        <w:spacing w:after="100"/>
      </w:pPr>
      <w:r>
        <w:rPr>
          <w:sz w:val="20"/>
        </w:rPr>
        <w:t>Objetivo: Proposta de valor: catálogo, coleção, storage, wants/trocas e valor.</w:t>
      </w:r>
    </w:p>
    <w:p>
      <w:pPr>
        <w:spacing w:after="100"/>
      </w:pPr>
      <w:r>
        <w:rPr>
          <w:sz w:val="20"/>
        </w:rPr>
        <w:t>UI: Usar X, formas e elementos abstratos; nenhuma arte de franquia.</w:t>
      </w:r>
    </w:p>
    <w:p>
      <w:pPr>
        <w:pStyle w:val="Heading2"/>
      </w:pPr>
      <w:r>
        <w:rPr>
          <w:rFonts w:ascii="Aptos Display" w:hAnsi="Aptos Display"/>
          <w:color w:val="171717"/>
        </w:rPr>
        <w:t>03 Criar conta</w:t>
      </w:r>
    </w:p>
    <w:p>
      <w:pPr>
        <w:spacing w:after="100"/>
      </w:pPr>
      <w:r>
        <w:rPr>
          <w:sz w:val="20"/>
        </w:rPr>
        <w:t>Objetivo: Nome, e-mail, senha, confirmação, termos e login social.</w:t>
      </w:r>
    </w:p>
    <w:p>
      <w:pPr>
        <w:spacing w:after="100"/>
      </w:pPr>
      <w:r>
        <w:rPr>
          <w:sz w:val="20"/>
        </w:rPr>
        <w:t>UI: Formulário limpo e CTA primário.</w:t>
      </w:r>
    </w:p>
    <w:p>
      <w:pPr>
        <w:pStyle w:val="Heading2"/>
      </w:pPr>
      <w:r>
        <w:rPr>
          <w:rFonts w:ascii="Aptos Display" w:hAnsi="Aptos Display"/>
          <w:color w:val="171717"/>
        </w:rPr>
        <w:t>04 Entrar</w:t>
      </w:r>
    </w:p>
    <w:p>
      <w:pPr>
        <w:spacing w:after="100"/>
      </w:pPr>
      <w:r>
        <w:rPr>
          <w:sz w:val="20"/>
        </w:rPr>
        <w:t>Objetivo: E-mail, senha, lembrar, recuperar senha e login social.</w:t>
      </w:r>
    </w:p>
    <w:p>
      <w:pPr>
        <w:spacing w:after="100"/>
      </w:pPr>
      <w:r>
        <w:rPr>
          <w:sz w:val="20"/>
        </w:rPr>
        <w:t>UI: Fluxo direto; erros claros.</w:t>
      </w:r>
    </w:p>
    <w:p>
      <w:pPr>
        <w:pStyle w:val="Heading1"/>
      </w:pPr>
      <w:r>
        <w:rPr>
          <w:rFonts w:ascii="Aptos Display" w:hAnsi="Aptos Display"/>
          <w:color w:val="635BFF"/>
        </w:rPr>
        <w:t>7. Grupo 2 — Descoberta / Início</w:t>
      </w:r>
    </w:p>
    <w:p>
      <w:pPr>
        <w:pStyle w:val="Heading2"/>
      </w:pPr>
      <w:r>
        <w:rPr>
          <w:rFonts w:ascii="Aptos Display" w:hAnsi="Aptos Display"/>
          <w:color w:val="171717"/>
        </w:rPr>
        <w:t>05 Home</w:t>
      </w:r>
    </w:p>
    <w:p>
      <w:pPr>
        <w:spacing w:after="100"/>
      </w:pPr>
      <w:r>
        <w:rPr>
          <w:sz w:val="20"/>
        </w:rPr>
        <w:t>Objetivo: Métricas, valor estimado, progresso por set e últimas adições.</w:t>
      </w:r>
    </w:p>
    <w:p>
      <w:pPr>
        <w:spacing w:after="100"/>
      </w:pPr>
      <w:r>
        <w:rPr>
          <w:sz w:val="20"/>
        </w:rPr>
        <w:t>UI: Dashboard visual e acionável.</w:t>
      </w:r>
    </w:p>
    <w:p>
      <w:pPr>
        <w:pStyle w:val="Heading2"/>
      </w:pPr>
      <w:r>
        <w:rPr>
          <w:rFonts w:ascii="Aptos Display" w:hAnsi="Aptos Display"/>
          <w:color w:val="171717"/>
        </w:rPr>
        <w:t>06 Busca global</w:t>
      </w:r>
    </w:p>
    <w:p>
      <w:pPr>
        <w:spacing w:after="100"/>
      </w:pPr>
      <w:r>
        <w:rPr>
          <w:sz w:val="20"/>
        </w:rPr>
        <w:t>Objetivo: Código, nome, set, raridade, tipo, cor, trait etc.</w:t>
      </w:r>
    </w:p>
    <w:p>
      <w:pPr>
        <w:spacing w:after="100"/>
      </w:pPr>
      <w:r>
        <w:rPr>
          <w:sz w:val="20"/>
        </w:rPr>
        <w:t>UI: Busca rápida com sugestões.</w:t>
      </w:r>
    </w:p>
    <w:p>
      <w:pPr>
        <w:pStyle w:val="Heading2"/>
      </w:pPr>
      <w:r>
        <w:rPr>
          <w:rFonts w:ascii="Aptos Display" w:hAnsi="Aptos Display"/>
          <w:color w:val="171717"/>
        </w:rPr>
        <w:t>07 Resultados</w:t>
      </w:r>
    </w:p>
    <w:p>
      <w:pPr>
        <w:spacing w:after="100"/>
      </w:pPr>
      <w:r>
        <w:rPr>
          <w:sz w:val="20"/>
        </w:rPr>
        <w:t>Objetivo: Resultados categorizados e variantes.</w:t>
      </w:r>
    </w:p>
    <w:p>
      <w:pPr>
        <w:spacing w:after="100"/>
      </w:pPr>
      <w:r>
        <w:rPr>
          <w:sz w:val="20"/>
        </w:rPr>
        <w:t>UI: Grid; quantidade discreta.</w:t>
      </w:r>
    </w:p>
    <w:p>
      <w:pPr>
        <w:pStyle w:val="Heading2"/>
      </w:pPr>
      <w:r>
        <w:rPr>
          <w:rFonts w:ascii="Aptos Display" w:hAnsi="Aptos Display"/>
          <w:color w:val="171717"/>
        </w:rPr>
        <w:t>08 Seleção de TCG</w:t>
      </w:r>
    </w:p>
    <w:p>
      <w:pPr>
        <w:spacing w:after="100"/>
      </w:pPr>
      <w:r>
        <w:rPr>
          <w:sz w:val="20"/>
        </w:rPr>
        <w:t>Objetivo: One Piece ativo e futuros TCGs.</w:t>
      </w:r>
    </w:p>
    <w:p>
      <w:pPr>
        <w:spacing w:after="100"/>
      </w:pPr>
      <w:r>
        <w:rPr>
          <w:sz w:val="20"/>
        </w:rPr>
        <w:t>UI: Não usar logos/franquias como decoração.</w:t>
      </w:r>
    </w:p>
    <w:p>
      <w:pPr>
        <w:pStyle w:val="Heading1"/>
      </w:pPr>
      <w:r>
        <w:rPr>
          <w:rFonts w:ascii="Aptos Display" w:hAnsi="Aptos Display"/>
          <w:color w:val="635BFF"/>
        </w:rPr>
        <w:t>8. Grupo 3 — Catálogo</w:t>
      </w:r>
    </w:p>
    <w:p>
      <w:pPr>
        <w:pStyle w:val="Heading2"/>
      </w:pPr>
      <w:r>
        <w:rPr>
          <w:rFonts w:ascii="Aptos Display" w:hAnsi="Aptos Display"/>
          <w:color w:val="171717"/>
        </w:rPr>
        <w:t>09 Catálogo</w:t>
      </w:r>
    </w:p>
    <w:p>
      <w:pPr>
        <w:spacing w:after="100"/>
      </w:pPr>
      <w:r>
        <w:rPr>
          <w:sz w:val="20"/>
        </w:rPr>
        <w:t>Objetivo: Explorar cartas, sets e filtros.</w:t>
      </w:r>
    </w:p>
    <w:p>
      <w:pPr>
        <w:spacing w:after="100"/>
      </w:pPr>
      <w:r>
        <w:rPr>
          <w:sz w:val="20"/>
        </w:rPr>
        <w:t>UI: Busca e atalhos.</w:t>
      </w:r>
    </w:p>
    <w:p>
      <w:pPr>
        <w:pStyle w:val="Heading2"/>
      </w:pPr>
      <w:r>
        <w:rPr>
          <w:rFonts w:ascii="Aptos Display" w:hAnsi="Aptos Display"/>
          <w:color w:val="171717"/>
        </w:rPr>
        <w:t>10 Lista de Sets</w:t>
      </w:r>
    </w:p>
    <w:p>
      <w:pPr>
        <w:spacing w:after="100"/>
      </w:pPr>
      <w:r>
        <w:rPr>
          <w:sz w:val="20"/>
        </w:rPr>
        <w:t>Objetivo: Sets, variantes e progresso.</w:t>
      </w:r>
    </w:p>
    <w:p>
      <w:pPr>
        <w:spacing w:after="100"/>
      </w:pPr>
      <w:r>
        <w:rPr>
          <w:sz w:val="20"/>
        </w:rPr>
        <w:t>UI: Progress bars discretas.</w:t>
      </w:r>
    </w:p>
    <w:p>
      <w:pPr>
        <w:pStyle w:val="Heading2"/>
      </w:pPr>
      <w:r>
        <w:rPr>
          <w:rFonts w:ascii="Aptos Display" w:hAnsi="Aptos Display"/>
          <w:color w:val="171717"/>
        </w:rPr>
        <w:t>11 Detalhe do Set</w:t>
      </w:r>
    </w:p>
    <w:p>
      <w:pPr>
        <w:spacing w:after="100"/>
      </w:pPr>
      <w:r>
        <w:rPr>
          <w:sz w:val="20"/>
        </w:rPr>
        <w:t>Objetivo: Capa, progresso, filtros e grid.</w:t>
      </w:r>
    </w:p>
    <w:p>
      <w:pPr>
        <w:spacing w:after="100"/>
      </w:pPr>
      <w:r>
        <w:rPr>
          <w:sz w:val="20"/>
        </w:rPr>
        <w:t>UI: Arte de franquia somente nas cartas.</w:t>
      </w:r>
    </w:p>
    <w:p>
      <w:pPr>
        <w:pStyle w:val="Heading2"/>
      </w:pPr>
      <w:r>
        <w:rPr>
          <w:rFonts w:ascii="Aptos Display" w:hAnsi="Aptos Display"/>
          <w:color w:val="171717"/>
        </w:rPr>
        <w:t>12 Filtros</w:t>
      </w:r>
    </w:p>
    <w:p>
      <w:pPr>
        <w:spacing w:after="100"/>
      </w:pPr>
      <w:r>
        <w:rPr>
          <w:sz w:val="20"/>
        </w:rPr>
        <w:t>Objetivo: Tipo, cor, custo, poder, raridade, atributo, trait e variante.</w:t>
      </w:r>
    </w:p>
    <w:p>
      <w:pPr>
        <w:spacing w:after="100"/>
      </w:pPr>
      <w:r>
        <w:rPr>
          <w:sz w:val="20"/>
        </w:rPr>
        <w:t>UI: Sheet/painel consistente.</w:t>
      </w:r>
    </w:p>
    <w:p>
      <w:pPr>
        <w:pStyle w:val="Heading1"/>
      </w:pPr>
      <w:r>
        <w:rPr>
          <w:rFonts w:ascii="Aptos Display" w:hAnsi="Aptos Display"/>
          <w:color w:val="635BFF"/>
        </w:rPr>
        <w:t>9. Grupo 4 — Carta e variantes</w:t>
      </w:r>
    </w:p>
    <w:p>
      <w:pPr>
        <w:pStyle w:val="Heading2"/>
      </w:pPr>
      <w:r>
        <w:rPr>
          <w:rFonts w:ascii="Aptos Display" w:hAnsi="Aptos Display"/>
          <w:color w:val="171717"/>
        </w:rPr>
        <w:t>13 Detalhe da carta</w:t>
      </w:r>
    </w:p>
    <w:p>
      <w:pPr>
        <w:spacing w:after="100"/>
      </w:pPr>
      <w:r>
        <w:rPr>
          <w:sz w:val="20"/>
        </w:rPr>
        <w:t>Objetivo: Código, nome, tipo, metadados e quantidade.</w:t>
      </w:r>
    </w:p>
    <w:p>
      <w:pPr>
        <w:spacing w:after="100"/>
      </w:pPr>
      <w:r>
        <w:rPr>
          <w:sz w:val="20"/>
        </w:rPr>
        <w:t>UI: Imagem da carta é protagonista.</w:t>
      </w:r>
    </w:p>
    <w:p>
      <w:pPr>
        <w:pStyle w:val="Heading2"/>
      </w:pPr>
      <w:r>
        <w:rPr>
          <w:rFonts w:ascii="Aptos Display" w:hAnsi="Aptos Display"/>
          <w:color w:val="171717"/>
        </w:rPr>
        <w:t>14 Variantes</w:t>
      </w:r>
    </w:p>
    <w:p>
      <w:pPr>
        <w:spacing w:after="100"/>
      </w:pPr>
      <w:r>
        <w:rPr>
          <w:sz w:val="20"/>
        </w:rPr>
        <w:t>Objetivo: Normal, AA, Manga, Promo etc. pelo catálogo.</w:t>
      </w:r>
    </w:p>
    <w:p>
      <w:pPr>
        <w:spacing w:after="100"/>
      </w:pPr>
      <w:r>
        <w:rPr>
          <w:sz w:val="20"/>
        </w:rPr>
        <w:t>UI: Agrupar pelo mesmo código.</w:t>
      </w:r>
    </w:p>
    <w:p>
      <w:pPr>
        <w:pStyle w:val="Heading2"/>
      </w:pPr>
      <w:r>
        <w:rPr>
          <w:rFonts w:ascii="Aptos Display" w:hAnsi="Aptos Display"/>
          <w:color w:val="171717"/>
        </w:rPr>
        <w:t>15 Adicionar</w:t>
      </w:r>
    </w:p>
    <w:p>
      <w:pPr>
        <w:spacing w:after="100"/>
      </w:pPr>
      <w:r>
        <w:rPr>
          <w:sz w:val="20"/>
        </w:rPr>
        <w:t>Objetivo: Variante, quantidade e local.</w:t>
      </w:r>
    </w:p>
    <w:p>
      <w:pPr>
        <w:spacing w:after="100"/>
      </w:pPr>
      <w:r>
        <w:rPr>
          <w:sz w:val="20"/>
        </w:rPr>
        <w:t>UI: Persistência mediante confirmação.</w:t>
      </w:r>
    </w:p>
    <w:p>
      <w:pPr>
        <w:pStyle w:val="Heading2"/>
      </w:pPr>
      <w:r>
        <w:rPr>
          <w:rFonts w:ascii="Aptos Display" w:hAnsi="Aptos Display"/>
          <w:color w:val="171717"/>
        </w:rPr>
        <w:t>16 Variante completa</w:t>
      </w:r>
    </w:p>
    <w:p>
      <w:pPr>
        <w:spacing w:after="100"/>
      </w:pPr>
      <w:r>
        <w:rPr>
          <w:sz w:val="20"/>
        </w:rPr>
        <w:t>Objetivo: Dados, preço, coleção e ações.</w:t>
      </w:r>
    </w:p>
    <w:p>
      <w:pPr>
        <w:spacing w:after="100"/>
      </w:pPr>
      <w:r>
        <w:rPr>
          <w:sz w:val="20"/>
        </w:rPr>
        <w:t>UI: Preço financeiro não é custo DON!!.</w:t>
      </w:r>
    </w:p>
    <w:p>
      <w:pPr>
        <w:pStyle w:val="Heading1"/>
      </w:pPr>
      <w:r>
        <w:rPr>
          <w:rFonts w:ascii="Aptos Display" w:hAnsi="Aptos Display"/>
          <w:color w:val="635BFF"/>
        </w:rPr>
        <w:t>10. Grupo 5 — Minha coleção</w:t>
      </w:r>
    </w:p>
    <w:p>
      <w:pPr>
        <w:pStyle w:val="Heading2"/>
      </w:pPr>
      <w:r>
        <w:rPr>
          <w:rFonts w:ascii="Aptos Display" w:hAnsi="Aptos Display"/>
          <w:color w:val="171717"/>
        </w:rPr>
        <w:t>17 Minha Coleção</w:t>
      </w:r>
    </w:p>
    <w:p>
      <w:pPr>
        <w:spacing w:after="100"/>
      </w:pPr>
      <w:r>
        <w:rPr>
          <w:sz w:val="20"/>
        </w:rPr>
        <w:t>Objetivo: Grid, busca, tabs e visão geral.</w:t>
      </w:r>
    </w:p>
    <w:p>
      <w:pPr>
        <w:spacing w:after="100"/>
      </w:pPr>
      <w:r>
        <w:rPr>
          <w:sz w:val="20"/>
        </w:rPr>
        <w:t>UI: Quantidade discreta.</w:t>
      </w:r>
    </w:p>
    <w:p>
      <w:pPr>
        <w:pStyle w:val="Heading2"/>
      </w:pPr>
      <w:r>
        <w:rPr>
          <w:rFonts w:ascii="Aptos Display" w:hAnsi="Aptos Display"/>
          <w:color w:val="171717"/>
        </w:rPr>
        <w:t>18 Filtros</w:t>
      </w:r>
    </w:p>
    <w:p>
      <w:pPr>
        <w:spacing w:after="100"/>
      </w:pPr>
      <w:r>
        <w:rPr>
          <w:sz w:val="20"/>
        </w:rPr>
        <w:t>Objetivo: Filtros de catálogo + local quando aplicável.</w:t>
      </w:r>
    </w:p>
    <w:p>
      <w:pPr>
        <w:spacing w:after="100"/>
      </w:pPr>
      <w:r>
        <w:rPr>
          <w:sz w:val="20"/>
        </w:rPr>
        <w:t>UI: Filtros combináveis.</w:t>
      </w:r>
    </w:p>
    <w:p>
      <w:pPr>
        <w:pStyle w:val="Heading2"/>
      </w:pPr>
      <w:r>
        <w:rPr>
          <w:rFonts w:ascii="Aptos Display" w:hAnsi="Aptos Display"/>
          <w:color w:val="171717"/>
        </w:rPr>
        <w:t>19 Playsets</w:t>
      </w:r>
    </w:p>
    <w:p>
      <w:pPr>
        <w:spacing w:after="100"/>
      </w:pPr>
      <w:r>
        <w:rPr>
          <w:sz w:val="20"/>
        </w:rPr>
        <w:t>Objetivo: Códigos com 4+ cópias agregadas.</w:t>
      </w:r>
    </w:p>
    <w:p>
      <w:pPr>
        <w:spacing w:after="100"/>
      </w:pPr>
      <w:r>
        <w:rPr>
          <w:sz w:val="20"/>
        </w:rPr>
        <w:t>UI: Líderes e DON!! excluídos.</w:t>
      </w:r>
    </w:p>
    <w:p>
      <w:pPr>
        <w:pStyle w:val="Heading2"/>
      </w:pPr>
      <w:r>
        <w:rPr>
          <w:rFonts w:ascii="Aptos Display" w:hAnsi="Aptos Display"/>
          <w:color w:val="171717"/>
        </w:rPr>
        <w:t>20 Edição</w:t>
      </w:r>
    </w:p>
    <w:p>
      <w:pPr>
        <w:spacing w:after="100"/>
      </w:pPr>
      <w:r>
        <w:rPr>
          <w:sz w:val="20"/>
        </w:rPr>
        <w:t>Objetivo: Quantidade, local e troca.</w:t>
      </w:r>
    </w:p>
    <w:p>
      <w:pPr>
        <w:spacing w:after="100"/>
      </w:pPr>
      <w:r>
        <w:rPr>
          <w:sz w:val="20"/>
        </w:rPr>
        <w:t>UI: Remoção exige confirmação.</w:t>
      </w:r>
    </w:p>
    <w:p>
      <w:pPr>
        <w:pStyle w:val="Heading1"/>
      </w:pPr>
      <w:r>
        <w:rPr>
          <w:rFonts w:ascii="Aptos Display" w:hAnsi="Aptos Display"/>
          <w:color w:val="635BFF"/>
        </w:rPr>
        <w:t>11. Grupo 6 — Armazenamento</w:t>
      </w:r>
    </w:p>
    <w:p>
      <w:pPr>
        <w:pStyle w:val="Heading2"/>
      </w:pPr>
      <w:r>
        <w:rPr>
          <w:rFonts w:ascii="Aptos Display" w:hAnsi="Aptos Display"/>
          <w:color w:val="171717"/>
        </w:rPr>
        <w:t>21 Armazenamento</w:t>
      </w:r>
    </w:p>
    <w:p>
      <w:pPr>
        <w:spacing w:after="100"/>
      </w:pPr>
      <w:r>
        <w:rPr>
          <w:sz w:val="20"/>
        </w:rPr>
        <w:t>Objetivo: Binders, Boxes e Decks.</w:t>
      </w:r>
    </w:p>
    <w:p>
      <w:pPr>
        <w:spacing w:after="100"/>
      </w:pPr>
      <w:r>
        <w:rPr>
          <w:sz w:val="20"/>
        </w:rPr>
        <w:t>UI: Binder/Box têm Collection ou Trade; Deck não.</w:t>
      </w:r>
    </w:p>
    <w:p>
      <w:pPr>
        <w:pStyle w:val="Heading2"/>
      </w:pPr>
      <w:r>
        <w:rPr>
          <w:rFonts w:ascii="Aptos Display" w:hAnsi="Aptos Display"/>
          <w:color w:val="171717"/>
        </w:rPr>
        <w:t>22 Detalhe do Storage</w:t>
      </w:r>
    </w:p>
    <w:p>
      <w:pPr>
        <w:spacing w:after="100"/>
      </w:pPr>
      <w:r>
        <w:rPr>
          <w:sz w:val="20"/>
        </w:rPr>
        <w:t>Objetivo: Informações, quantidade e ações.</w:t>
      </w:r>
    </w:p>
    <w:p>
      <w:pPr>
        <w:spacing w:after="100"/>
      </w:pPr>
      <w:r>
        <w:rPr>
          <w:sz w:val="20"/>
        </w:rPr>
        <w:t>UI: Foto opcional.</w:t>
      </w:r>
    </w:p>
    <w:p>
      <w:pPr>
        <w:pStyle w:val="Heading2"/>
      </w:pPr>
      <w:r>
        <w:rPr>
          <w:rFonts w:ascii="Aptos Display" w:hAnsi="Aptos Display"/>
          <w:color w:val="171717"/>
        </w:rPr>
        <w:t>23 Cartas no Storage</w:t>
      </w:r>
    </w:p>
    <w:p>
      <w:pPr>
        <w:spacing w:after="100"/>
      </w:pPr>
      <w:r>
        <w:rPr>
          <w:sz w:val="20"/>
        </w:rPr>
        <w:t>Objetivo: Busca, filtros e grid/lista.</w:t>
      </w:r>
    </w:p>
    <w:p>
      <w:pPr>
        <w:spacing w:after="100"/>
      </w:pPr>
      <w:r>
        <w:rPr>
          <w:sz w:val="20"/>
        </w:rPr>
        <w:t>UI: Trade deriva de locais purpose=TRADE.</w:t>
      </w:r>
    </w:p>
    <w:p>
      <w:pPr>
        <w:pStyle w:val="Heading2"/>
      </w:pPr>
      <w:r>
        <w:rPr>
          <w:rFonts w:ascii="Aptos Display" w:hAnsi="Aptos Display"/>
          <w:color w:val="171717"/>
        </w:rPr>
        <w:t>24 Criar/editar</w:t>
      </w:r>
    </w:p>
    <w:p>
      <w:pPr>
        <w:spacing w:after="100"/>
      </w:pPr>
      <w:r>
        <w:rPr>
          <w:sz w:val="20"/>
        </w:rPr>
        <w:t>Objetivo: Nome, tipo, purpose, foto e descrição.</w:t>
      </w:r>
    </w:p>
    <w:p>
      <w:pPr>
        <w:spacing w:after="100"/>
      </w:pPr>
      <w:r>
        <w:rPr>
          <w:sz w:val="20"/>
        </w:rPr>
        <w:t>UI: Um local não pode ter dupla finalidade.</w:t>
      </w:r>
    </w:p>
    <w:p>
      <w:pPr>
        <w:pStyle w:val="Heading1"/>
      </w:pPr>
      <w:r>
        <w:rPr>
          <w:rFonts w:ascii="Aptos Display" w:hAnsi="Aptos Display"/>
          <w:color w:val="635BFF"/>
        </w:rPr>
        <w:t>12. Grupo 7 — Edição em massa</w:t>
      </w:r>
    </w:p>
    <w:p>
      <w:pPr>
        <w:pStyle w:val="Heading2"/>
      </w:pPr>
      <w:r>
        <w:rPr>
          <w:rFonts w:ascii="Aptos Display" w:hAnsi="Aptos Display"/>
          <w:color w:val="171717"/>
        </w:rPr>
        <w:t>25 Seleção</w:t>
      </w:r>
    </w:p>
    <w:p>
      <w:pPr>
        <w:spacing w:after="100"/>
      </w:pPr>
      <w:r>
        <w:rPr>
          <w:sz w:val="20"/>
        </w:rPr>
        <w:t>Objetivo: Selecionar múltiplas cartas.</w:t>
      </w:r>
    </w:p>
    <w:p>
      <w:pPr>
        <w:spacing w:after="100"/>
      </w:pPr>
      <w:r>
        <w:rPr>
          <w:sz w:val="20"/>
        </w:rPr>
        <w:t>UI: Contador de selecionadas.</w:t>
      </w:r>
    </w:p>
    <w:p>
      <w:pPr>
        <w:pStyle w:val="Heading2"/>
      </w:pPr>
      <w:r>
        <w:rPr>
          <w:rFonts w:ascii="Aptos Display" w:hAnsi="Aptos Display"/>
          <w:color w:val="171717"/>
        </w:rPr>
        <w:t>26 Filtros</w:t>
      </w:r>
    </w:p>
    <w:p>
      <w:pPr>
        <w:spacing w:after="100"/>
      </w:pPr>
      <w:r>
        <w:rPr>
          <w:sz w:val="20"/>
        </w:rPr>
        <w:t>Objetivo: Refinar seleção.</w:t>
      </w:r>
    </w:p>
    <w:p>
      <w:pPr>
        <w:spacing w:after="100"/>
      </w:pPr>
      <w:r>
        <w:rPr>
          <w:sz w:val="20"/>
        </w:rPr>
        <w:t>UI: Mesmo sistema de filtros.</w:t>
      </w:r>
    </w:p>
    <w:p>
      <w:pPr>
        <w:pStyle w:val="Heading2"/>
      </w:pPr>
      <w:r>
        <w:rPr>
          <w:rFonts w:ascii="Aptos Display" w:hAnsi="Aptos Display"/>
          <w:color w:val="171717"/>
        </w:rPr>
        <w:t>27 Quantidades</w:t>
      </w:r>
    </w:p>
    <w:p>
      <w:pPr>
        <w:spacing w:after="100"/>
      </w:pPr>
      <w:r>
        <w:rPr>
          <w:sz w:val="20"/>
        </w:rPr>
        <w:t>Objetivo: Alterar por carta ou em lote.</w:t>
      </w:r>
    </w:p>
    <w:p>
      <w:pPr>
        <w:spacing w:after="100"/>
      </w:pPr>
      <w:r>
        <w:rPr>
          <w:sz w:val="20"/>
        </w:rPr>
        <w:t>UI: Alterações temporárias.</w:t>
      </w:r>
    </w:p>
    <w:p>
      <w:pPr>
        <w:pStyle w:val="Heading2"/>
      </w:pPr>
      <w:r>
        <w:rPr>
          <w:rFonts w:ascii="Aptos Display" w:hAnsi="Aptos Display"/>
          <w:color w:val="171717"/>
        </w:rPr>
        <w:t>28 Resumo</w:t>
      </w:r>
    </w:p>
    <w:p>
      <w:pPr>
        <w:spacing w:after="100"/>
      </w:pPr>
      <w:r>
        <w:rPr>
          <w:sz w:val="20"/>
        </w:rPr>
        <w:t>Objetivo: Revisar deltas e confirmar.</w:t>
      </w:r>
    </w:p>
    <w:p>
      <w:pPr>
        <w:spacing w:after="100"/>
      </w:pPr>
      <w:r>
        <w:rPr>
          <w:sz w:val="20"/>
        </w:rPr>
        <w:t>UI: Operação transacional.</w:t>
      </w:r>
    </w:p>
    <w:p>
      <w:pPr>
        <w:pStyle w:val="Heading1"/>
      </w:pPr>
      <w:r>
        <w:rPr>
          <w:rFonts w:ascii="Aptos Display" w:hAnsi="Aptos Display"/>
          <w:color w:val="635BFF"/>
        </w:rPr>
        <w:t>13. Grupo 8 — Wants + Trade</w:t>
      </w:r>
    </w:p>
    <w:p>
      <w:pPr>
        <w:pStyle w:val="Heading2"/>
      </w:pPr>
      <w:r>
        <w:rPr>
          <w:rFonts w:ascii="Aptos Display" w:hAnsi="Aptos Display"/>
          <w:color w:val="171717"/>
        </w:rPr>
        <w:t>29 Want List</w:t>
      </w:r>
    </w:p>
    <w:p>
      <w:pPr>
        <w:spacing w:after="100"/>
      </w:pPr>
      <w:r>
        <w:rPr>
          <w:sz w:val="20"/>
        </w:rPr>
        <w:t>Objetivo: Variantes desejadas e quantidades.</w:t>
      </w:r>
    </w:p>
    <w:p>
      <w:pPr>
        <w:spacing w:after="100"/>
      </w:pPr>
      <w:r>
        <w:rPr>
          <w:sz w:val="20"/>
        </w:rPr>
        <w:t>UI: Want é específico por variante.</w:t>
      </w:r>
    </w:p>
    <w:p>
      <w:pPr>
        <w:pStyle w:val="Heading2"/>
      </w:pPr>
      <w:r>
        <w:rPr>
          <w:rFonts w:ascii="Aptos Display" w:hAnsi="Aptos Display"/>
          <w:color w:val="171717"/>
        </w:rPr>
        <w:t>30 Detalhe da Want</w:t>
      </w:r>
    </w:p>
    <w:p>
      <w:pPr>
        <w:spacing w:after="100"/>
      </w:pPr>
      <w:r>
        <w:rPr>
          <w:sz w:val="20"/>
        </w:rPr>
        <w:t>Objetivo: Editar quantidade e buscar trocas.</w:t>
      </w:r>
    </w:p>
    <w:p>
      <w:pPr>
        <w:spacing w:after="100"/>
      </w:pPr>
      <w:r>
        <w:rPr>
          <w:sz w:val="20"/>
        </w:rPr>
        <w:t>UI: Sem prioridade/note no modelo atual.</w:t>
      </w:r>
    </w:p>
    <w:p>
      <w:pPr>
        <w:pStyle w:val="Heading2"/>
      </w:pPr>
      <w:r>
        <w:rPr>
          <w:rFonts w:ascii="Aptos Display" w:hAnsi="Aptos Display"/>
          <w:color w:val="171717"/>
        </w:rPr>
        <w:t>31 Trade Binder</w:t>
      </w:r>
    </w:p>
    <w:p>
      <w:pPr>
        <w:spacing w:after="100"/>
      </w:pPr>
      <w:r>
        <w:rPr>
          <w:sz w:val="20"/>
        </w:rPr>
        <w:t>Objetivo: Cartas disponíveis e compartilhamento Premium.</w:t>
      </w:r>
    </w:p>
    <w:p>
      <w:pPr>
        <w:spacing w:after="100"/>
      </w:pPr>
      <w:r>
        <w:rPr>
          <w:sz w:val="20"/>
        </w:rPr>
        <w:t>UI: Link público mostra somente o binder.</w:t>
      </w:r>
    </w:p>
    <w:p>
      <w:pPr>
        <w:pStyle w:val="Heading2"/>
      </w:pPr>
      <w:r>
        <w:rPr>
          <w:rFonts w:ascii="Aptos Display" w:hAnsi="Aptos Display"/>
          <w:color w:val="171717"/>
        </w:rPr>
        <w:t>32 Matches</w:t>
      </w:r>
    </w:p>
    <w:p>
      <w:pPr>
        <w:spacing w:after="100"/>
      </w:pPr>
      <w:r>
        <w:rPr>
          <w:sz w:val="20"/>
        </w:rPr>
        <w:t>Objetivo: Sugerir usuários/cards compatíveis.</w:t>
      </w:r>
    </w:p>
    <w:p>
      <w:pPr>
        <w:spacing w:after="100"/>
      </w:pPr>
      <w:r>
        <w:rPr>
          <w:sz w:val="20"/>
        </w:rPr>
        <w:t>UI: Sugestão, não compromisso.</w:t>
      </w:r>
    </w:p>
    <w:p>
      <w:pPr>
        <w:pStyle w:val="Heading1"/>
      </w:pPr>
      <w:r>
        <w:rPr>
          <w:rFonts w:ascii="Aptos Display" w:hAnsi="Aptos Display"/>
          <w:color w:val="635BFF"/>
        </w:rPr>
        <w:t>14. Grupo 9 — Trocas, histórico e perfil</w:t>
      </w:r>
    </w:p>
    <w:p>
      <w:pPr>
        <w:pStyle w:val="Heading2"/>
      </w:pPr>
      <w:r>
        <w:rPr>
          <w:rFonts w:ascii="Aptos Display" w:hAnsi="Aptos Display"/>
          <w:color w:val="171717"/>
        </w:rPr>
        <w:t>33 Nova troca</w:t>
      </w:r>
    </w:p>
    <w:p>
      <w:pPr>
        <w:spacing w:after="100"/>
      </w:pPr>
      <w:r>
        <w:rPr>
          <w:sz w:val="20"/>
        </w:rPr>
        <w:t>Objetivo: Montar o que oferece/recebe.</w:t>
      </w:r>
    </w:p>
    <w:p>
      <w:pPr>
        <w:spacing w:after="100"/>
      </w:pPr>
      <w:r>
        <w:rPr>
          <w:sz w:val="20"/>
        </w:rPr>
        <w:t>UI: Separar disponibilidade de compromisso.</w:t>
      </w:r>
    </w:p>
    <w:p>
      <w:pPr>
        <w:pStyle w:val="Heading2"/>
      </w:pPr>
      <w:r>
        <w:rPr>
          <w:rFonts w:ascii="Aptos Display" w:hAnsi="Aptos Display"/>
          <w:color w:val="171717"/>
        </w:rPr>
        <w:t>34 Resumo</w:t>
      </w:r>
    </w:p>
    <w:p>
      <w:pPr>
        <w:spacing w:after="100"/>
      </w:pPr>
      <w:r>
        <w:rPr>
          <w:sz w:val="20"/>
        </w:rPr>
        <w:t>Objetivo: Itens, valores e diferença.</w:t>
      </w:r>
    </w:p>
    <w:p>
      <w:pPr>
        <w:spacing w:after="100"/>
      </w:pPr>
      <w:r>
        <w:rPr>
          <w:sz w:val="20"/>
        </w:rPr>
        <w:t>UI: Valor histórico no momento da conclusão.</w:t>
      </w:r>
    </w:p>
    <w:p>
      <w:pPr>
        <w:pStyle w:val="Heading2"/>
      </w:pPr>
      <w:r>
        <w:rPr>
          <w:rFonts w:ascii="Aptos Display" w:hAnsi="Aptos Display"/>
          <w:color w:val="171717"/>
        </w:rPr>
        <w:t>35 Histórico</w:t>
      </w:r>
    </w:p>
    <w:p>
      <w:pPr>
        <w:spacing w:after="100"/>
      </w:pPr>
      <w:r>
        <w:rPr>
          <w:sz w:val="20"/>
        </w:rPr>
        <w:t>Objetivo: Negociações e status.</w:t>
      </w:r>
    </w:p>
    <w:p>
      <w:pPr>
        <w:spacing w:after="100"/>
      </w:pPr>
      <w:r>
        <w:rPr>
          <w:sz w:val="20"/>
        </w:rPr>
        <w:t>UI: Concluída é histórica e imutável.</w:t>
      </w:r>
    </w:p>
    <w:p>
      <w:pPr>
        <w:pStyle w:val="Heading2"/>
      </w:pPr>
      <w:r>
        <w:rPr>
          <w:rFonts w:ascii="Aptos Display" w:hAnsi="Aptos Display"/>
          <w:color w:val="171717"/>
        </w:rPr>
        <w:t>36 Perfil</w:t>
      </w:r>
    </w:p>
    <w:p>
      <w:pPr>
        <w:spacing w:after="100"/>
      </w:pPr>
      <w:r>
        <w:rPr>
          <w:sz w:val="20"/>
        </w:rPr>
        <w:t>Objetivo: Conta, Premium, TCGs, segurança e preferências.</w:t>
      </w:r>
    </w:p>
    <w:p>
      <w:pPr>
        <w:spacing w:after="100"/>
      </w:pPr>
      <w:r>
        <w:rPr>
          <w:sz w:val="20"/>
        </w:rPr>
        <w:t>UI: Central de gestão.</w:t>
      </w:r>
    </w:p>
    <w:p>
      <w:pPr>
        <w:pStyle w:val="Heading1"/>
      </w:pPr>
      <w:r>
        <w:rPr>
          <w:rFonts w:ascii="Aptos Display" w:hAnsi="Aptos Display"/>
          <w:color w:val="635BFF"/>
        </w:rPr>
        <w:t>15. Biblioteca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Uso principal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Card de carta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Catálogo, coleção, storage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Variant Card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Variantes e detalhe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Quantity Selector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Quantidade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Filter Chip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Filtros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Filter Sheet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Filtros avançados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Search Bar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Busca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Progress Bar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Progresso de sets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Storage Card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Locais físicos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Trade Item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Itens de troca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Status Badge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Status de negociação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Bottom Navigation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Navegação mobile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Modal / Bottom Sheet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Confirmações e edição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Toast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Feedback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635BFF"/>
        </w:rPr>
        <w:t>16. Regras de dados representadas na UI</w:t>
      </w:r>
    </w:p>
    <w:p>
      <w:pPr>
        <w:pStyle w:val="ListBullet"/>
        <w:spacing w:after="40"/>
      </w:pPr>
      <w:r>
        <w:rPr>
          <w:sz w:val="20"/>
        </w:rPr>
        <w:t>Total de cartas = todas as cópias físicas possuídas.</w:t>
      </w:r>
    </w:p>
    <w:p>
      <w:pPr>
        <w:pStyle w:val="ListBullet"/>
        <w:spacing w:after="40"/>
      </w:pPr>
      <w:r>
        <w:rPr>
          <w:sz w:val="20"/>
        </w:rPr>
        <w:t>Únicas = variantes distintas possuídas.</w:t>
      </w:r>
    </w:p>
    <w:p>
      <w:pPr>
        <w:pStyle w:val="ListBullet"/>
        <w:spacing w:after="40"/>
      </w:pPr>
      <w:r>
        <w:rPr>
          <w:sz w:val="20"/>
        </w:rPr>
        <w:t>Playset = código elegível com ≥4 cópias agregadas entre variantes; 8+ ainda representa um playset fechado.</w:t>
      </w:r>
    </w:p>
    <w:p>
      <w:pPr>
        <w:pStyle w:val="ListBullet"/>
        <w:spacing w:after="40"/>
      </w:pPr>
      <w:r>
        <w:rPr>
          <w:sz w:val="20"/>
        </w:rPr>
        <w:t>Líderes e DON!! não entram em playsets.</w:t>
      </w:r>
    </w:p>
    <w:p>
      <w:pPr>
        <w:pStyle w:val="ListBullet"/>
        <w:spacing w:after="40"/>
      </w:pPr>
      <w:r>
        <w:rPr>
          <w:sz w:val="20"/>
        </w:rPr>
        <w:t>% coleção = variantes únicas possuídas / variantes únicas existentes no universo avaliado.</w:t>
      </w:r>
    </w:p>
    <w:p>
      <w:pPr>
        <w:pStyle w:val="ListBullet"/>
        <w:spacing w:after="40"/>
      </w:pPr>
      <w:r>
        <w:rPr>
          <w:sz w:val="20"/>
        </w:rPr>
        <w:t>Set é determinado por variant_printings, não por prefixo do código.</w:t>
      </w:r>
    </w:p>
    <w:p>
      <w:pPr>
        <w:pStyle w:val="ListBullet"/>
        <w:spacing w:after="40"/>
      </w:pPr>
      <w:r>
        <w:rPr>
          <w:sz w:val="20"/>
        </w:rPr>
        <w:t>Disponível para troca = quantidade em storages com purpose TRADE.</w:t>
      </w:r>
    </w:p>
    <w:p>
      <w:pPr>
        <w:pStyle w:val="ListBullet"/>
        <w:spacing w:after="40"/>
      </w:pPr>
      <w:r>
        <w:rPr>
          <w:sz w:val="20"/>
        </w:rPr>
        <w:t>Possuído ≠ disponível ≠ comprometido ≠ efetivamente trocado.</w:t>
      </w:r>
    </w:p>
    <w:p>
      <w:pPr>
        <w:pStyle w:val="ListBullet"/>
        <w:spacing w:after="40"/>
      </w:pPr>
      <w:r>
        <w:rPr>
          <w:sz w:val="20"/>
        </w:rPr>
        <w:t>Want é por CARD_VARIANT e quantidade.</w:t>
      </w:r>
    </w:p>
    <w:p>
      <w:pPr>
        <w:pStyle w:val="ListBullet"/>
        <w:spacing w:after="40"/>
      </w:pPr>
      <w:r>
        <w:rPr>
          <w:sz w:val="20"/>
        </w:rPr>
        <w:t>Preço financeiro deve ser exibido como preço/valor de mercado; “custo” é reservado ao custo de jogo.</w:t>
      </w:r>
    </w:p>
    <w:p>
      <w:pPr>
        <w:pStyle w:val="Heading1"/>
      </w:pPr>
      <w:r>
        <w:rPr>
          <w:rFonts w:ascii="Aptos Display" w:hAnsi="Aptos Display"/>
          <w:color w:val="635BFF"/>
        </w:rPr>
        <w:t>17. Estados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112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Diretriz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Loading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Skeleton/indicador discreto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Empty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Explicar vazio + próxima ação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Error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Mensagem + retry quando possível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Success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Feedback curto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Disabled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Visualmente não acionável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Confirmation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Obrigatório em ações destrutivas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Unsaved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rPr>
                <w:color w:val="171717"/>
                <w:sz w:val="16"/>
              </w:rPr>
              <w:t>Avisar antes de sair</w:t>
            </w:r>
          </w:p>
        </w:tc>
      </w:tr>
      <w:tr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Bulk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color w:val="171717"/>
                <w:sz w:val="16"/>
              </w:rPr>
              <w:t>Prévia → confirmação → transação → resultado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635BFF"/>
        </w:rPr>
        <w:t>18. Responsividade e acessibilidade</w:t>
      </w:r>
    </w:p>
    <w:p>
      <w:pPr>
        <w:pStyle w:val="ListBullet"/>
        <w:spacing w:after="40"/>
      </w:pPr>
      <w:r>
        <w:rPr>
          <w:sz w:val="20"/>
        </w:rPr>
        <w:t>Mobile é a referência principal; tablet e desktop expandem o mesmo sistema.</w:t>
      </w:r>
    </w:p>
    <w:p>
      <w:pPr>
        <w:pStyle w:val="ListBullet"/>
        <w:spacing w:after="40"/>
      </w:pPr>
      <w:r>
        <w:rPr>
          <w:sz w:val="20"/>
        </w:rPr>
        <w:t>Desktop pode usar sidebar e filtros laterais.</w:t>
      </w:r>
    </w:p>
    <w:p>
      <w:pPr>
        <w:pStyle w:val="ListBullet"/>
        <w:spacing w:after="40"/>
      </w:pPr>
      <w:r>
        <w:rPr>
          <w:sz w:val="20"/>
        </w:rPr>
        <w:t>Grid de cartas cresce em colunas preservando proporção.</w:t>
      </w:r>
    </w:p>
    <w:p>
      <w:pPr>
        <w:pStyle w:val="ListBullet"/>
        <w:spacing w:after="40"/>
      </w:pPr>
      <w:r>
        <w:rPr>
          <w:sz w:val="20"/>
        </w:rPr>
        <w:t>Contraste adequado em todos os estados.</w:t>
      </w:r>
    </w:p>
    <w:p>
      <w:pPr>
        <w:pStyle w:val="ListBullet"/>
        <w:spacing w:after="40"/>
      </w:pPr>
      <w:r>
        <w:rPr>
          <w:sz w:val="20"/>
        </w:rPr>
        <w:t>Não comunicar informação somente por cor.</w:t>
      </w:r>
    </w:p>
    <w:p>
      <w:pPr>
        <w:pStyle w:val="ListBullet"/>
        <w:spacing w:after="40"/>
      </w:pPr>
      <w:r>
        <w:rPr>
          <w:sz w:val="20"/>
        </w:rPr>
        <w:t>Touch targets de aproximadamente 44 px ou maiores.</w:t>
      </w:r>
    </w:p>
    <w:p>
      <w:pPr>
        <w:pStyle w:val="ListBullet"/>
        <w:spacing w:after="40"/>
      </w:pPr>
      <w:r>
        <w:rPr>
          <w:sz w:val="20"/>
        </w:rPr>
        <w:t>Foco de teclado visível no desktop.</w:t>
      </w:r>
    </w:p>
    <w:p>
      <w:pPr>
        <w:pStyle w:val="ListBullet"/>
        <w:spacing w:after="40"/>
      </w:pPr>
      <w:r>
        <w:rPr>
          <w:sz w:val="20"/>
        </w:rPr>
        <w:t>Campos com labels acessíveis.</w:t>
      </w:r>
    </w:p>
    <w:p>
      <w:pPr>
        <w:pStyle w:val="ListBullet"/>
        <w:spacing w:after="40"/>
      </w:pPr>
      <w:r>
        <w:rPr>
          <w:sz w:val="20"/>
        </w:rPr>
        <w:t>Alt text quando a imagem da carta for informação relevante.</w:t>
      </w:r>
    </w:p>
    <w:p>
      <w:pPr>
        <w:pStyle w:val="Heading1"/>
      </w:pPr>
      <w:r>
        <w:rPr>
          <w:rFonts w:ascii="Aptos Display" w:hAnsi="Aptos Display"/>
          <w:color w:val="635BFF"/>
        </w:rPr>
        <w:t>19. Diretriz de propriedade intelectual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0FF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635BFF"/>
              </w:rPr>
              <w:t>REGRA OBRIGATÓRIA</w:t>
              <w:br/>
            </w:r>
            <w:r>
              <w:rPr>
                <w:sz w:val="19"/>
              </w:rPr>
              <w:t>A interface da COLEXA não deve usar personagens, cenas, páginas de mangá/anime, logos de franquias ou ilustrações de terceiros como decoração. A arte de franquia aparece somente dentro da própria imagem da carta catalogada, quando seu uso for legalmente permitido.</w:t>
            </w:r>
          </w:p>
        </w:tc>
      </w:tr>
    </w:tbl>
    <w:p/>
    <w:p>
      <w:pPr>
        <w:pStyle w:val="ListBullet"/>
        <w:spacing w:after="40"/>
      </w:pPr>
      <w:r>
        <w:rPr>
          <w:sz w:val="20"/>
        </w:rPr>
        <w:t>Não usar personagem no Splash.</w:t>
      </w:r>
    </w:p>
    <w:p>
      <w:pPr>
        <w:pStyle w:val="ListBullet"/>
        <w:spacing w:after="40"/>
      </w:pPr>
      <w:r>
        <w:rPr>
          <w:sz w:val="20"/>
        </w:rPr>
        <w:t>Não usar mangá como background.</w:t>
      </w:r>
    </w:p>
    <w:p>
      <w:pPr>
        <w:pStyle w:val="ListBullet"/>
        <w:spacing w:after="40"/>
      </w:pPr>
      <w:r>
        <w:rPr>
          <w:sz w:val="20"/>
        </w:rPr>
        <w:t>Não usar logo de One Piece como marca da COLEXA.</w:t>
      </w:r>
    </w:p>
    <w:p>
      <w:pPr>
        <w:pStyle w:val="ListBullet"/>
        <w:spacing w:after="40"/>
      </w:pPr>
      <w:r>
        <w:rPr>
          <w:sz w:val="20"/>
        </w:rPr>
        <w:t>Não sugerir parceria ou oficialidade com Bandai/proprietários de franquias.</w:t>
      </w:r>
    </w:p>
    <w:p>
      <w:pPr>
        <w:pStyle w:val="ListBullet"/>
        <w:spacing w:after="40"/>
      </w:pPr>
      <w:r>
        <w:rPr>
          <w:sz w:val="20"/>
        </w:rPr>
        <w:t>Aplicar o mesmo princípio a futuros TCGs.</w:t>
      </w:r>
    </w:p>
    <w:p>
      <w:pPr>
        <w:pStyle w:val="Heading1"/>
      </w:pPr>
      <w:r>
        <w:rPr>
          <w:rFonts w:ascii="Aptos Display" w:hAnsi="Aptos Display"/>
          <w:color w:val="635BFF"/>
        </w:rPr>
        <w:t>20. Critérios de aceite do design</w:t>
      </w:r>
    </w:p>
    <w:p>
      <w:pPr>
        <w:pStyle w:val="ListBullet"/>
        <w:spacing w:after="40"/>
      </w:pPr>
      <w:r>
        <w:rPr>
          <w:sz w:val="20"/>
        </w:rPr>
        <w:t>Uma tela nova deve parecer parte do mesmo sistema visual.</w:t>
      </w:r>
    </w:p>
    <w:p>
      <w:pPr>
        <w:pStyle w:val="ListBullet"/>
        <w:spacing w:after="40"/>
      </w:pPr>
      <w:r>
        <w:rPr>
          <w:sz w:val="20"/>
        </w:rPr>
        <w:t>Logo e X preservam a construção aprovada.</w:t>
      </w:r>
    </w:p>
    <w:p>
      <w:pPr>
        <w:pStyle w:val="ListBullet"/>
        <w:spacing w:after="40"/>
      </w:pPr>
      <w:r>
        <w:rPr>
          <w:sz w:val="20"/>
        </w:rPr>
        <w:t>Cartas são protagonistas no contexto de coleção/catalogação.</w:t>
      </w:r>
    </w:p>
    <w:p>
      <w:pPr>
        <w:pStyle w:val="ListBullet"/>
        <w:spacing w:after="40"/>
      </w:pPr>
      <w:r>
        <w:rPr>
          <w:sz w:val="20"/>
        </w:rPr>
        <w:t>Filtros são consistentes e combináveis.</w:t>
      </w:r>
    </w:p>
    <w:p>
      <w:pPr>
        <w:pStyle w:val="ListBullet"/>
        <w:spacing w:after="40"/>
      </w:pPr>
      <w:r>
        <w:rPr>
          <w:sz w:val="20"/>
        </w:rPr>
        <w:t>Operações destrutivas têm confirmação.</w:t>
      </w:r>
    </w:p>
    <w:p>
      <w:pPr>
        <w:pStyle w:val="ListBullet"/>
        <w:spacing w:after="40"/>
      </w:pPr>
      <w:r>
        <w:rPr>
          <w:sz w:val="20"/>
        </w:rPr>
        <w:t>Bulk edit usa revisão e operação atômica.</w:t>
      </w:r>
    </w:p>
    <w:p>
      <w:pPr>
        <w:pStyle w:val="ListBullet"/>
        <w:spacing w:after="40"/>
      </w:pPr>
      <w:r>
        <w:rPr>
          <w:sz w:val="20"/>
        </w:rPr>
        <w:t>UI não utiliza arte de franquia como decoração.</w:t>
      </w:r>
    </w:p>
    <w:p>
      <w:pPr>
        <w:pStyle w:val="ListBullet"/>
        <w:spacing w:after="40"/>
      </w:pPr>
      <w:r>
        <w:rPr>
          <w:sz w:val="20"/>
        </w:rPr>
        <w:t>Experiência mobile-first e responsiva.</w:t>
      </w:r>
    </w:p>
    <w:p>
      <w:pPr>
        <w:pStyle w:val="Heading1"/>
      </w:pPr>
      <w:r>
        <w:rPr>
          <w:rFonts w:ascii="Aptos Display" w:hAnsi="Aptos Display"/>
          <w:color w:val="635BFF"/>
        </w:rPr>
        <w:t>21. Referência visual</w:t>
      </w:r>
    </w:p>
    <w:p>
      <w:r>
        <w:t>As referências visuais geradas durante a exploração do produto são materiais de trabalho e não fazem parte do sistema oficial de marca. Para evitar qualquer conflito com a diretriz de neutralidade visual, esta versão do documento não incorpora imagens de franquias, personagens, cenas de anime/mangá ou logos de terceiros. A implementação deve seguir o Design System e as regras deste documento.</w:t>
      </w:r>
    </w:p>
    <w:p/>
    <w:p>
      <w:pPr>
        <w:pStyle w:val="Heading1"/>
      </w:pPr>
      <w:r>
        <w:rPr>
          <w:rFonts w:ascii="Aptos Display" w:hAnsi="Aptos Display"/>
          <w:color w:val="635BFF"/>
        </w:rPr>
        <w:t>22. Status e governança</w:t>
      </w:r>
    </w:p>
    <w:p>
      <w:pPr>
        <w:spacing w:after="100"/>
      </w:pPr>
      <w:r>
        <w:rPr>
          <w:sz w:val="20"/>
        </w:rPr>
        <w:t>Este documento é a referência consolidada da identidade visual, UI/UX e inventário de telas da COLEXA na versão 1.0. Alterações estruturais de marca, navegação ou regras visuais devem ser registradas em nova versão.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2556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2556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56"/>
            <w:shd w:fill="1717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5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t>1.2</w:t>
            </w:r>
          </w:p>
        </w:tc>
        <w:tc>
          <w:tcPr>
            <w:tcW w:type="dxa" w:w="25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t>06/09/2026</w:t>
            </w:r>
          </w:p>
        </w:tc>
        <w:tc>
          <w:tcPr>
            <w:tcW w:type="dxa" w:w="25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t>Aprovado como baseline</w:t>
            </w:r>
          </w:p>
        </w:tc>
        <w:tc>
          <w:tcPr>
            <w:tcW w:type="dxa" w:w="25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7F5"/>
          </w:tcPr>
          <w:p>
            <w:r>
              <w:t>Correção da referência visual; remoção de imagens de terceiros do documento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