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0"/>
        </w:rPr>
        <w:t>INSTITUTO SUPERIOR DE ENGENHARIA DO PORTO</w:t>
      </w:r>
    </w:p>
    <w:p>
      <w:r>
        <w:rPr>
          <w:b w:val="0"/>
          <w:sz w:val="20"/>
        </w:rPr>
        <w:t>Mestrado em Engenharia Informática</w:t>
      </w:r>
    </w:p>
    <w:p>
      <w:r>
        <w:rPr>
          <w:b w:val="0"/>
          <w:sz w:val="20"/>
        </w:rPr>
        <w:t>APRAU  |  2026/2027</w:t>
      </w:r>
    </w:p>
    <w:p>
      <w:pPr>
        <w:spacing w:after="1120"/>
      </w:pPr>
      <w:r>
        <w:rPr>
          <w:b w:val="0"/>
        </w:rPr>
      </w:r>
    </w:p>
    <w:p>
      <w:pPr>
        <w:pStyle w:val="Title"/>
      </w:pPr>
      <w:r>
        <w:rPr>
          <w:b w:val="0"/>
        </w:rPr>
        <w:t>Machine Learning</w:t>
        <w:br/>
        <w:t>on a Clinical Dataset</w:t>
      </w:r>
    </w:p>
    <w:p>
      <w:pPr>
        <w:pStyle w:val="Subtitle"/>
      </w:pPr>
      <w:r>
        <w:rPr>
          <w:b w:val="0"/>
          <w:sz w:val="32"/>
        </w:rPr>
        <w:t>Regression and imbalanced multiclass classification</w:t>
      </w:r>
    </w:p>
    <w:p>
      <w:r>
        <w:rPr>
          <w:b/>
          <w:sz w:val="26"/>
        </w:rPr>
        <w:t>Group 17</w:t>
      </w:r>
    </w:p>
    <w:p>
      <w:pPr>
        <w:spacing w:after="640"/>
      </w:pPr>
      <w:r>
        <w:rPr>
          <w:b w:val="0"/>
        </w:rPr>
      </w:r>
    </w:p>
    <w:p>
      <w:r>
        <w:rPr>
          <w:b w:val="0"/>
          <w:sz w:val="22"/>
        </w:rPr>
        <w:t>2,000 patients   /   35 columns   /   Two prediction tasks</w:t>
      </w:r>
    </w:p>
    <w:p>
      <w:pPr>
        <w:spacing w:after="1060"/>
      </w:pPr>
      <w:r>
        <w:rPr>
          <w:b w:val="0"/>
        </w:rPr>
      </w:r>
    </w:p>
    <w:p>
      <w:r>
        <w:rPr>
          <w:b/>
          <w:sz w:val="26"/>
        </w:rPr>
        <w:t>Francisco Primavera</w:t>
      </w:r>
    </w:p>
    <w:p>
      <w:r>
        <w:rPr>
          <w:b w:val="0"/>
        </w:rPr>
        <w:t>Student number 1230840</w:t>
      </w:r>
    </w:p>
    <w:p>
      <w:r>
        <w:rPr>
          <w:b/>
          <w:sz w:val="26"/>
        </w:rPr>
        <w:t>Pedro Fonseca</w:t>
      </w:r>
    </w:p>
    <w:p>
      <w:r>
        <w:rPr>
          <w:b w:val="0"/>
        </w:rPr>
        <w:t>Student number 1220947</w:t>
      </w:r>
    </w:p>
    <w:p>
      <w:pPr>
        <w:spacing w:after="600"/>
      </w:pPr>
      <w:r>
        <w:rPr>
          <w:b w:val="0"/>
        </w:rPr>
      </w:r>
    </w:p>
    <w:p>
      <w:r>
        <w:rPr>
          <w:b w:val="0"/>
          <w:sz w:val="20"/>
        </w:rPr>
        <w:t>23 October 2026</w:t>
      </w:r>
    </w:p>
    <w:p>
      <w:r>
        <w:br w:type="page"/>
      </w:r>
    </w:p>
    <w:p>
      <w:pPr>
        <w:pStyle w:val="Heading1"/>
      </w:pPr>
      <w:r>
        <w:t>1 Introduction and methodological background</w:t>
      </w:r>
    </w:p>
    <w:p>
      <w:pPr>
        <w:pStyle w:val="Heading2"/>
      </w:pPr>
      <w:r>
        <w:t>Project scope and principal findings</w:t>
      </w:r>
    </w:p>
    <w:p>
      <w:r>
        <w:rPr>
          <w:b w:val="0"/>
        </w:rPr>
        <w:t>This project studies 2,000 patient profiles with 35 columns and two supervised learning tasks: predicting the continuous target_regression and assigning target_class to DI, HT_HY, or DI_HT_HY. Neither target is used as a predictor of the other. The work combines exploratory analysis, linear regression, logistic regression, LDA, resampling, class weighting, and regularised feature selection.</w:t>
      </w:r>
    </w:p>
    <w:p>
      <w:r>
        <w:rPr>
          <w:b w:val="0"/>
        </w:rPr>
        <w:t>Linear regression showed limited predictive ability. The selected multiple model reached a test RMSE of 47.7733 and R² of 0.0570. For classification, L1 selection followed by L2 logistic refitting reduced 40 encoded columns to 26, with test macro F1 of 0.5996 versus 0.5981 for full L2. Recognition of DI_HT_HY remained poor. Global EDA, prior test inspection, and repeated configuration selection mean these findings are exploratory.</w:t>
      </w:r>
    </w:p>
    <w:p>
      <w:pPr>
        <w:pStyle w:val="Heading2"/>
      </w:pPr>
      <w:r>
        <w:t>Brief review of the methodological literature</w:t>
      </w:r>
    </w:p>
    <w:p>
      <w:r>
        <w:rPr>
          <w:b w:val="0"/>
        </w:rPr>
        <w:t>Linear models provide a tractable framework for examining prediction from numerical and categorical measurements. Ordinary least squares models a continuous conditional mean, while logistic regression models class probabilities. LDA offers a generative alternative based on class distributions with a common covariance matrix. These established methods form the methodological basis of the present comparison [1, 4].</w:t>
      </w:r>
    </w:p>
    <w:p>
      <w:r>
        <w:rPr>
          <w:b w:val="0"/>
        </w:rPr>
        <w:t>Class imbalance requires attention to performance beyond overall accuracy. Macro F1 gives each class equal weight in the final average, while precision and recall distinguish false-positive burden from missed cases. Class weighting changes the fitting objective and can shift these trade-offs; it does not impose a clinically justified cost structure [3, 4].</w:t>
      </w:r>
    </w:p>
    <w:p>
      <w:r>
        <w:rPr>
          <w:b w:val="0"/>
        </w:rPr>
        <w:t>Regularisation constrains coefficient magnitude. L1 can produce sparse coefficients, whereas L2 generally retains predictors. Resampling evaluates sensitivity to the available data, but optimising configurations on the same validation estimates can itself overfit the selection criterion. Cawley and Talbot [2] identify this as a source of selection bias, directly relevant to the successive searches in this project.</w:t>
      </w:r>
    </w:p>
    <w:p>
      <w:pPr>
        <w:pStyle w:val="Heading2"/>
      </w:pPr>
      <w:r>
        <w:t>Relationship to the course materials</w:t>
      </w:r>
    </w:p>
    <w:p>
      <w:r>
        <w:rPr>
          <w:b w:val="0"/>
        </w:rPr>
        <w:t>The workflow draws on APRAU materials on data exploration, regression, classification, resampling, and regularisation. The classification exercises were adapted to three imbalanced classes, with all class coefficients inspected during selection. The frequency-weight exponent, weight normalisation, SAGA stabilisation, and L2 top50% rule are project-specific adaptations, not direct reproductions of teaching examples [7, 8].</w:t>
      </w:r>
    </w:p>
    <w:p>
      <w:r>
        <w:br w:type="page"/>
      </w:r>
    </w:p>
    <w:p>
      <w:pPr>
        <w:pStyle w:val="Heading1"/>
      </w:pPr>
      <w:r>
        <w:t>2 Dataset and exploratory findings</w:t>
      </w:r>
    </w:p>
    <w:p>
      <w:r>
        <w:rPr>
          <w:b w:val="0"/>
        </w:rPr>
        <w:t>The assignment describes patient profiles containing demographic, anthropometric, lifestyle, and laboratory measurements [7]. The continuous target is a laboratory measurement whose specific biomarker identity and units are not established here. Diagnostic labels are retained as provided rather than expanded into unsupported clinical definitions.</w:t>
      </w:r>
    </w:p>
    <w:p>
      <w:pPr>
        <w:spacing w:after="60"/>
        <w:jc w:val="center"/>
      </w:pPr>
      <w:r>
        <w:drawing>
          <wp:inline xmlns:a="http://schemas.openxmlformats.org/drawingml/2006/main" xmlns:pic="http://schemas.openxmlformats.org/drawingml/2006/picture">
            <wp:extent cx="5943600" cy="1948180"/>
            <wp:docPr id="1" name="Picture 1" descr="Class counts for DI, HT_HY and DI_HT_HY"/>
            <wp:cNvGraphicFramePr>
              <a:graphicFrameLocks noChangeAspect="1"/>
            </wp:cNvGraphicFramePr>
            <a:graphic>
              <a:graphicData uri="http://schemas.openxmlformats.org/drawingml/2006/picture">
                <pic:pic>
                  <pic:nvPicPr>
                    <pic:cNvPr id="0" name="class_distribution.png"/>
                    <pic:cNvPicPr/>
                  </pic:nvPicPr>
                  <pic:blipFill>
                    <a:blip r:embed="rId11"/>
                    <a:stretch>
                      <a:fillRect/>
                    </a:stretch>
                  </pic:blipFill>
                  <pic:spPr>
                    <a:xfrm>
                      <a:off x="0" y="0"/>
                      <a:ext cx="5943600" cy="1948180"/>
                    </a:xfrm>
                    <a:prstGeom prst="rect"/>
                  </pic:spPr>
                </pic:pic>
              </a:graphicData>
            </a:graphic>
          </wp:inline>
        </w:drawing>
      </w:r>
    </w:p>
    <w:p>
      <w:pPr>
        <w:pStyle w:val="Caption"/>
      </w:pPr>
      <w:r>
        <w:rPr>
          <w:b w:val="0"/>
        </w:rPr>
        <w:t>Figure 1  Class distribution in the complete dataset. DI represents 90.05% of observations.</w:t>
      </w:r>
    </w:p>
    <w:tbl>
      <w:tblPr>
        <w:tblW w:type="auto" w:w="0"/>
        <w:jc w:val="center"/>
        <w:tblLayout w:type="fixed"/>
        <w:tblLook w:firstColumn="1" w:firstRow="1" w:lastColumn="0" w:lastRow="0" w:noHBand="0" w:noVBand="1" w:val="04A0"/>
      </w:tblPr>
      <w:tblGrid>
        <w:gridCol w:w="2268"/>
        <w:gridCol w:w="3628"/>
        <w:gridCol w:w="3742"/>
      </w:tblGrid>
      <w:tr>
        <w:trPr>
          <w:cantSplit/>
          <w:tblHeader/>
        </w:trPr>
        <w:tc>
          <w:tcPr>
            <w:tcW w:type="dxa" w:w="2268"/>
            <w:vAlign w:val="center"/>
            <w:shd w:fill="183A5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jc w:val="left"/>
            </w:pPr>
            <w:r>
              <w:rPr>
                <w:b/>
                <w:color w:val="FFFFFF"/>
                <w:sz w:val="18"/>
              </w:rPr>
              <w:t>Finding</w:t>
            </w:r>
          </w:p>
        </w:tc>
        <w:tc>
          <w:tcPr>
            <w:tcW w:type="dxa" w:w="3628"/>
            <w:vAlign w:val="center"/>
            <w:shd w:fill="183A5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jc w:val="center"/>
            </w:pPr>
            <w:r>
              <w:rPr>
                <w:b/>
                <w:color w:val="FFFFFF"/>
                <w:sz w:val="18"/>
              </w:rPr>
              <w:t>Evidence</w:t>
            </w:r>
          </w:p>
        </w:tc>
        <w:tc>
          <w:tcPr>
            <w:tcW w:type="dxa" w:w="3742"/>
            <w:vAlign w:val="center"/>
            <w:shd w:fill="183A5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jc w:val="center"/>
            </w:pPr>
            <w:r>
              <w:rPr>
                <w:b/>
                <w:color w:val="FFFFFF"/>
                <w:sz w:val="18"/>
              </w:rPr>
              <w:t>Modelling consequence</w:t>
            </w:r>
          </w:p>
        </w:tc>
      </w:tr>
      <w:tr>
        <w:trPr>
          <w:cantSplit/>
        </w:trPr>
        <w:tc>
          <w:tcPr>
            <w:tcW w:type="dxa" w:w="226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jc w:val="left"/>
            </w:pPr>
            <w:r>
              <w:rPr>
                <w:b w:val="0"/>
                <w:color w:val="000000"/>
                <w:sz w:val="18"/>
              </w:rPr>
              <w:t>Missing values and duplicates</w:t>
            </w:r>
          </w:p>
        </w:tc>
        <w:tc>
          <w:tcPr>
            <w:tcW w:type="dxa" w:w="362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jc w:val="center"/>
            </w:pPr>
            <w:r>
              <w:rPr>
                <w:b w:val="0"/>
                <w:color w:val="000000"/>
                <w:sz w:val="18"/>
              </w:rPr>
              <w:t>None identified</w:t>
            </w:r>
          </w:p>
        </w:tc>
        <w:tc>
          <w:tcPr>
            <w:tcW w:type="dxa" w:w="374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jc w:val="center"/>
            </w:pPr>
            <w:r>
              <w:rPr>
                <w:b w:val="0"/>
                <w:color w:val="000000"/>
                <w:sz w:val="18"/>
              </w:rPr>
              <w:t>No imputation or duplicate removal</w:t>
            </w:r>
          </w:p>
        </w:tc>
      </w:tr>
      <w:tr>
        <w:trPr>
          <w:cantSplit/>
        </w:trPr>
        <w:tc>
          <w:tcPr>
            <w:tcW w:type="dxa" w:w="2268"/>
            <w:vAlign w:val="center"/>
            <w:shd w:fill="F0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jc w:val="left"/>
            </w:pPr>
            <w:r>
              <w:rPr>
                <w:b w:val="0"/>
                <w:color w:val="000000"/>
                <w:sz w:val="18"/>
              </w:rPr>
              <w:t>Constant feature</w:t>
            </w:r>
          </w:p>
        </w:tc>
        <w:tc>
          <w:tcPr>
            <w:tcW w:type="dxa" w:w="3628"/>
            <w:vAlign w:val="center"/>
            <w:shd w:fill="F0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jc w:val="center"/>
            </w:pPr>
            <w:r>
              <w:rPr>
                <w:b w:val="0"/>
                <w:color w:val="000000"/>
                <w:sz w:val="18"/>
              </w:rPr>
              <w:t>calcium_baseline</w:t>
            </w:r>
          </w:p>
        </w:tc>
        <w:tc>
          <w:tcPr>
            <w:tcW w:type="dxa" w:w="3742"/>
            <w:vAlign w:val="center"/>
            <w:shd w:fill="F0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jc w:val="center"/>
            </w:pPr>
            <w:r>
              <w:rPr>
                <w:b w:val="0"/>
                <w:color w:val="000000"/>
                <w:sz w:val="18"/>
              </w:rPr>
              <w:t>Excluded</w:t>
            </w:r>
          </w:p>
        </w:tc>
      </w:tr>
      <w:tr>
        <w:trPr>
          <w:cantSplit/>
        </w:trPr>
        <w:tc>
          <w:tcPr>
            <w:tcW w:type="dxa" w:w="226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jc w:val="left"/>
            </w:pPr>
            <w:r>
              <w:rPr>
                <w:b w:val="0"/>
                <w:color w:val="000000"/>
                <w:sz w:val="18"/>
              </w:rPr>
              <w:t>Exact duplication</w:t>
            </w:r>
          </w:p>
        </w:tc>
        <w:tc>
          <w:tcPr>
            <w:tcW w:type="dxa" w:w="362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jc w:val="center"/>
            </w:pPr>
            <w:r>
              <w:rPr>
                <w:b w:val="0"/>
                <w:color w:val="000000"/>
                <w:sz w:val="18"/>
              </w:rPr>
              <w:t>systolic_index equals systolic_bp</w:t>
            </w:r>
          </w:p>
        </w:tc>
        <w:tc>
          <w:tcPr>
            <w:tcW w:type="dxa" w:w="374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jc w:val="center"/>
            </w:pPr>
            <w:r>
              <w:rPr>
                <w:b w:val="0"/>
                <w:color w:val="000000"/>
                <w:sz w:val="18"/>
              </w:rPr>
              <w:t>systolic_index excluded</w:t>
            </w:r>
          </w:p>
        </w:tc>
      </w:tr>
      <w:tr>
        <w:trPr>
          <w:cantSplit/>
        </w:trPr>
        <w:tc>
          <w:tcPr>
            <w:tcW w:type="dxa" w:w="2268"/>
            <w:vAlign w:val="center"/>
            <w:shd w:fill="F0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jc w:val="left"/>
            </w:pPr>
            <w:r>
              <w:rPr>
                <w:b w:val="0"/>
                <w:color w:val="000000"/>
                <w:sz w:val="18"/>
              </w:rPr>
              <w:t>Rescaled representation</w:t>
            </w:r>
          </w:p>
        </w:tc>
        <w:tc>
          <w:tcPr>
            <w:tcW w:type="dxa" w:w="3628"/>
            <w:vAlign w:val="center"/>
            <w:shd w:fill="F0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jc w:val="center"/>
            </w:pPr>
            <w:r>
              <w:rPr>
                <w:b w:val="0"/>
                <w:color w:val="000000"/>
                <w:sz w:val="18"/>
              </w:rPr>
              <w:t>age_normalized and age</w:t>
            </w:r>
          </w:p>
        </w:tc>
        <w:tc>
          <w:tcPr>
            <w:tcW w:type="dxa" w:w="3742"/>
            <w:vAlign w:val="center"/>
            <w:shd w:fill="F0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jc w:val="center"/>
            </w:pPr>
            <w:r>
              <w:rPr>
                <w:b w:val="0"/>
                <w:color w:val="000000"/>
                <w:sz w:val="18"/>
              </w:rPr>
              <w:t>age_normalized excluded</w:t>
            </w:r>
          </w:p>
        </w:tc>
      </w:tr>
      <w:tr>
        <w:trPr>
          <w:cantSplit/>
        </w:trPr>
        <w:tc>
          <w:tcPr>
            <w:tcW w:type="dxa" w:w="226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jc w:val="left"/>
            </w:pPr>
            <w:r>
              <w:rPr>
                <w:b w:val="0"/>
                <w:color w:val="000000"/>
                <w:sz w:val="18"/>
              </w:rPr>
              <w:t>Possible permutation</w:t>
            </w:r>
          </w:p>
        </w:tc>
        <w:tc>
          <w:tcPr>
            <w:tcW w:type="dxa" w:w="362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jc w:val="center"/>
            </w:pPr>
            <w:r>
              <w:rPr>
                <w:b w:val="0"/>
                <w:color w:val="000000"/>
                <w:sz w:val="18"/>
              </w:rPr>
              <w:t>ldl_alternative shares sorted ldl values</w:t>
            </w:r>
          </w:p>
        </w:tc>
        <w:tc>
          <w:tcPr>
            <w:tcW w:type="dxa" w:w="374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jc w:val="center"/>
            </w:pPr>
            <w:r>
              <w:rPr>
                <w:b w:val="0"/>
                <w:color w:val="000000"/>
                <w:sz w:val="18"/>
              </w:rPr>
              <w:t>Assessed through model comparisons</w:t>
            </w:r>
          </w:p>
        </w:tc>
      </w:tr>
    </w:tbl>
    <w:p>
      <w:pPr>
        <w:spacing w:after="0"/>
      </w:pPr>
      <w:r>
        <w:rPr>
          <w:b w:val="0"/>
        </w:rPr>
      </w:r>
    </w:p>
    <w:p>
      <w:r>
        <w:rPr>
          <w:b w:val="0"/>
        </w:rPr>
        <w:t>Most numerical distributions were relatively symmetric, with greater right skew in bmi and target_regression. The strongest numerical target correlations were weak: bmi 0.110, triglycerides 0.074, and HbA1c_level 0.066. Categorical target distributions overlapped substantially. These findings motivated modelling comparisons rather than automatic exclusions based on weak associations.</w:t>
      </w:r>
    </w:p>
    <w:p>
      <w:r>
        <w:rPr>
          <w:b w:val="0"/>
        </w:rPr>
        <w:t>Age and triglycerides were generally higher in HT_HY and DI_HT_HY, while HbA1c_level was lower in HT_HY. Several features showed much greater dispersion in DI, relevant to the common-covariance assumption of LDA. Visual differences alone do not establish assumption violations or explain classification errors.</w:t>
      </w:r>
    </w:p>
    <w:p>
      <w:r>
        <w:rPr>
          <w:b w:val="0"/>
        </w:rPr>
        <w:t>Consistency checks flagged 114 systolic readings below diastolic readings and seven equal readings. Total cholesterol was below HDL + LDL in 469 observations, including 51 below LDL. Correlations were approximately −0.021 between blood_pressure and estimated mean pressure and 0.003 between observed and Friedewald-estimated LDL. Measurement definitions, units, and comparability remain incomplete; no patients were excluded [9, 10].</w:t>
      </w:r>
    </w:p>
    <w:p>
      <w:r>
        <w:br w:type="page"/>
      </w:r>
    </w:p>
    <w:p>
      <w:pPr>
        <w:pStyle w:val="Heading1"/>
      </w:pPr>
      <w:r>
        <w:t>3 Evaluation design and preprocessing</w:t>
      </w:r>
    </w:p>
    <w:p>
      <w:r>
        <w:rPr>
          <w:b w:val="0"/>
        </w:rPr>
        <w:t>The original 80/20 split is retained for comparability, using seed 42 without stratification. Internal classification evaluation uses stratification, which preserves class proportions without balancing the data. No additional fixed validation set is created.</w:t>
      </w:r>
    </w:p>
    <w:tbl>
      <w:tblPr>
        <w:tblW w:type="auto" w:w="0"/>
        <w:jc w:val="center"/>
        <w:tblLayout w:type="fixed"/>
        <w:tblLook w:firstColumn="1" w:firstRow="1" w:lastColumn="0" w:lastRow="0" w:noHBand="0" w:noVBand="1" w:val="04A0"/>
      </w:tblPr>
      <w:tblGrid>
        <w:gridCol w:w="2835"/>
        <w:gridCol w:w="1701"/>
        <w:gridCol w:w="1701"/>
        <w:gridCol w:w="1701"/>
        <w:gridCol w:w="1701"/>
      </w:tblGrid>
      <w:tr>
        <w:trPr>
          <w:cantSplit/>
          <w:tblHeader/>
        </w:trPr>
        <w:tc>
          <w:tcPr>
            <w:tcW w:type="dxa" w:w="2835"/>
            <w:vAlign w:val="center"/>
            <w:shd w:fill="183A5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jc w:val="left"/>
            </w:pPr>
            <w:r>
              <w:rPr>
                <w:b/>
                <w:color w:val="FFFFFF"/>
                <w:sz w:val="18"/>
              </w:rPr>
              <w:t>Partition</w:t>
            </w:r>
          </w:p>
        </w:tc>
        <w:tc>
          <w:tcPr>
            <w:tcW w:type="dxa" w:w="1701"/>
            <w:vAlign w:val="center"/>
            <w:shd w:fill="183A5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jc w:val="center"/>
            </w:pPr>
            <w:r>
              <w:rPr>
                <w:b/>
                <w:color w:val="FFFFFF"/>
                <w:sz w:val="18"/>
              </w:rPr>
              <w:t>DI</w:t>
            </w:r>
          </w:p>
        </w:tc>
        <w:tc>
          <w:tcPr>
            <w:tcW w:type="dxa" w:w="1701"/>
            <w:vAlign w:val="center"/>
            <w:shd w:fill="183A5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jc w:val="center"/>
            </w:pPr>
            <w:r>
              <w:rPr>
                <w:b/>
                <w:color w:val="FFFFFF"/>
                <w:sz w:val="18"/>
              </w:rPr>
              <w:t>HT_HY</w:t>
            </w:r>
          </w:p>
        </w:tc>
        <w:tc>
          <w:tcPr>
            <w:tcW w:type="dxa" w:w="1701"/>
            <w:vAlign w:val="center"/>
            <w:shd w:fill="183A5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jc w:val="center"/>
            </w:pPr>
            <w:r>
              <w:rPr>
                <w:b/>
                <w:color w:val="FFFFFF"/>
                <w:sz w:val="18"/>
              </w:rPr>
              <w:t>DI_HT_HY</w:t>
            </w:r>
          </w:p>
        </w:tc>
        <w:tc>
          <w:tcPr>
            <w:tcW w:type="dxa" w:w="1701"/>
            <w:vAlign w:val="center"/>
            <w:shd w:fill="183A5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jc w:val="center"/>
            </w:pPr>
            <w:r>
              <w:rPr>
                <w:b/>
                <w:color w:val="FFFFFF"/>
                <w:sz w:val="18"/>
              </w:rPr>
              <w:t>Total</w:t>
            </w:r>
          </w:p>
        </w:tc>
      </w:tr>
      <w:tr>
        <w:trPr>
          <w:cantSplit/>
        </w:trPr>
        <w:tc>
          <w:tcPr>
            <w:tcW w:type="dxa" w:w="2835"/>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jc w:val="left"/>
            </w:pPr>
            <w:r>
              <w:rPr>
                <w:b w:val="0"/>
                <w:color w:val="000000"/>
                <w:sz w:val="18"/>
              </w:rPr>
              <w:t>Training</w:t>
            </w:r>
          </w:p>
        </w:tc>
        <w:tc>
          <w:tcPr>
            <w:tcW w:type="dxa" w:w="1701"/>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jc w:val="center"/>
            </w:pPr>
            <w:r>
              <w:rPr>
                <w:b w:val="0"/>
                <w:color w:val="000000"/>
                <w:sz w:val="18"/>
              </w:rPr>
              <w:t>1,443</w:t>
            </w:r>
          </w:p>
        </w:tc>
        <w:tc>
          <w:tcPr>
            <w:tcW w:type="dxa" w:w="1701"/>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jc w:val="center"/>
            </w:pPr>
            <w:r>
              <w:rPr>
                <w:b w:val="0"/>
                <w:color w:val="000000"/>
                <w:sz w:val="18"/>
              </w:rPr>
              <w:t>89</w:t>
            </w:r>
          </w:p>
        </w:tc>
        <w:tc>
          <w:tcPr>
            <w:tcW w:type="dxa" w:w="1701"/>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jc w:val="center"/>
            </w:pPr>
            <w:r>
              <w:rPr>
                <w:b w:val="0"/>
                <w:color w:val="000000"/>
                <w:sz w:val="18"/>
              </w:rPr>
              <w:t>68</w:t>
            </w:r>
          </w:p>
        </w:tc>
        <w:tc>
          <w:tcPr>
            <w:tcW w:type="dxa" w:w="1701"/>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jc w:val="center"/>
            </w:pPr>
            <w:r>
              <w:rPr>
                <w:b w:val="0"/>
                <w:color w:val="000000"/>
                <w:sz w:val="18"/>
              </w:rPr>
              <w:t>1,600</w:t>
            </w:r>
          </w:p>
        </w:tc>
      </w:tr>
      <w:tr>
        <w:trPr>
          <w:cantSplit/>
        </w:trPr>
        <w:tc>
          <w:tcPr>
            <w:tcW w:type="dxa" w:w="2835"/>
            <w:vAlign w:val="center"/>
            <w:shd w:fill="F0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jc w:val="left"/>
            </w:pPr>
            <w:r>
              <w:rPr>
                <w:b w:val="0"/>
                <w:color w:val="000000"/>
                <w:sz w:val="18"/>
              </w:rPr>
              <w:t>Test</w:t>
            </w:r>
          </w:p>
        </w:tc>
        <w:tc>
          <w:tcPr>
            <w:tcW w:type="dxa" w:w="1701"/>
            <w:vAlign w:val="center"/>
            <w:shd w:fill="F0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jc w:val="center"/>
            </w:pPr>
            <w:r>
              <w:rPr>
                <w:b w:val="0"/>
                <w:color w:val="000000"/>
                <w:sz w:val="18"/>
              </w:rPr>
              <w:t>358</w:t>
            </w:r>
          </w:p>
        </w:tc>
        <w:tc>
          <w:tcPr>
            <w:tcW w:type="dxa" w:w="1701"/>
            <w:vAlign w:val="center"/>
            <w:shd w:fill="F0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jc w:val="center"/>
            </w:pPr>
            <w:r>
              <w:rPr>
                <w:b w:val="0"/>
                <w:color w:val="000000"/>
                <w:sz w:val="18"/>
              </w:rPr>
              <w:t>16</w:t>
            </w:r>
          </w:p>
        </w:tc>
        <w:tc>
          <w:tcPr>
            <w:tcW w:type="dxa" w:w="1701"/>
            <w:vAlign w:val="center"/>
            <w:shd w:fill="F0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jc w:val="center"/>
            </w:pPr>
            <w:r>
              <w:rPr>
                <w:b w:val="0"/>
                <w:color w:val="000000"/>
                <w:sz w:val="18"/>
              </w:rPr>
              <w:t>26</w:t>
            </w:r>
          </w:p>
        </w:tc>
        <w:tc>
          <w:tcPr>
            <w:tcW w:type="dxa" w:w="1701"/>
            <w:vAlign w:val="center"/>
            <w:shd w:fill="F0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jc w:val="center"/>
            </w:pPr>
            <w:r>
              <w:rPr>
                <w:b w:val="0"/>
                <w:color w:val="000000"/>
                <w:sz w:val="18"/>
              </w:rPr>
              <w:t>400</w:t>
            </w:r>
          </w:p>
        </w:tc>
      </w:tr>
      <w:tr>
        <w:trPr>
          <w:cantSplit/>
        </w:trPr>
        <w:tc>
          <w:tcPr>
            <w:tcW w:type="dxa" w:w="2835"/>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jc w:val="left"/>
            </w:pPr>
            <w:r>
              <w:rPr>
                <w:b w:val="0"/>
                <w:color w:val="000000"/>
                <w:sz w:val="18"/>
              </w:rPr>
              <w:t>Complete dataset</w:t>
            </w:r>
          </w:p>
        </w:tc>
        <w:tc>
          <w:tcPr>
            <w:tcW w:type="dxa" w:w="1701"/>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jc w:val="center"/>
            </w:pPr>
            <w:r>
              <w:rPr>
                <w:b w:val="0"/>
                <w:color w:val="000000"/>
                <w:sz w:val="18"/>
              </w:rPr>
              <w:t>1,801</w:t>
            </w:r>
          </w:p>
        </w:tc>
        <w:tc>
          <w:tcPr>
            <w:tcW w:type="dxa" w:w="1701"/>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jc w:val="center"/>
            </w:pPr>
            <w:r>
              <w:rPr>
                <w:b w:val="0"/>
                <w:color w:val="000000"/>
                <w:sz w:val="18"/>
              </w:rPr>
              <w:t>105</w:t>
            </w:r>
          </w:p>
        </w:tc>
        <w:tc>
          <w:tcPr>
            <w:tcW w:type="dxa" w:w="1701"/>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jc w:val="center"/>
            </w:pPr>
            <w:r>
              <w:rPr>
                <w:b w:val="0"/>
                <w:color w:val="000000"/>
                <w:sz w:val="18"/>
              </w:rPr>
              <w:t>94</w:t>
            </w:r>
          </w:p>
        </w:tc>
        <w:tc>
          <w:tcPr>
            <w:tcW w:type="dxa" w:w="1701"/>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jc w:val="center"/>
            </w:pPr>
            <w:r>
              <w:rPr>
                <w:b w:val="0"/>
                <w:color w:val="000000"/>
                <w:sz w:val="18"/>
              </w:rPr>
              <w:t>2,000</w:t>
            </w:r>
          </w:p>
        </w:tc>
      </w:tr>
    </w:tbl>
    <w:p>
      <w:pPr>
        <w:spacing w:after="0"/>
      </w:pPr>
      <w:r>
        <w:rPr>
          <w:b w:val="0"/>
        </w:rPr>
      </w:r>
    </w:p>
    <w:p>
      <w:pPr>
        <w:pStyle w:val="Heading2"/>
      </w:pPr>
      <w:r>
        <w:t>Preparation within each fit</w:t>
      </w:r>
    </w:p>
    <w:p>
      <w:r>
        <w:rPr>
          <w:b w:val="0"/>
        </w:rPr>
        <w:t>Both targets are removed from the predictor matrix. Excluding the constant and redundant columns leaves 30 original features, yielding 40 encoded columns in the full model. Categories are learned within the fitting partition and encoded with a reference category. Unknown evaluation categories receive all-zero indicators, sharing the reference representation; this is an explicit limitation.</w:t>
      </w:r>
    </w:p>
    <w:tbl>
      <w:tblPr>
        <w:tblW w:type="auto" w:w="0"/>
        <w:jc w:val="center"/>
        <w:tblLayout w:type="fixed"/>
        <w:tblLook w:firstColumn="1" w:firstRow="1" w:lastColumn="0" w:lastRow="0" w:noHBand="0" w:noVBand="1" w:val="04A0"/>
      </w:tblPr>
      <w:tblGrid>
        <w:gridCol w:w="3685"/>
        <w:gridCol w:w="2948"/>
        <w:gridCol w:w="3005"/>
      </w:tblGrid>
      <w:tr>
        <w:trPr>
          <w:cantSplit/>
          <w:tblHeader/>
        </w:trPr>
        <w:tc>
          <w:tcPr>
            <w:tcW w:type="dxa" w:w="3685"/>
            <w:vAlign w:val="center"/>
            <w:shd w:fill="183A5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jc w:val="left"/>
            </w:pPr>
            <w:r>
              <w:rPr>
                <w:b/>
                <w:color w:val="FFFFFF"/>
                <w:sz w:val="18"/>
              </w:rPr>
              <w:t>Comparison</w:t>
            </w:r>
          </w:p>
        </w:tc>
        <w:tc>
          <w:tcPr>
            <w:tcW w:type="dxa" w:w="2948"/>
            <w:vAlign w:val="center"/>
            <w:shd w:fill="183A5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jc w:val="center"/>
            </w:pPr>
            <w:r>
              <w:rPr>
                <w:b/>
                <w:color w:val="FFFFFF"/>
                <w:sz w:val="18"/>
              </w:rPr>
              <w:t>Scaling</w:t>
            </w:r>
          </w:p>
        </w:tc>
        <w:tc>
          <w:tcPr>
            <w:tcW w:type="dxa" w:w="3005"/>
            <w:vAlign w:val="center"/>
            <w:shd w:fill="183A5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jc w:val="center"/>
            </w:pPr>
            <w:r>
              <w:rPr>
                <w:b/>
                <w:color w:val="FFFFFF"/>
                <w:sz w:val="18"/>
              </w:rPr>
              <w:t>Selection criterion</w:t>
            </w:r>
          </w:p>
        </w:tc>
      </w:tr>
      <w:tr>
        <w:trPr>
          <w:cantSplit/>
        </w:trPr>
        <w:tc>
          <w:tcPr>
            <w:tcW w:type="dxa" w:w="3685"/>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jc w:val="left"/>
            </w:pPr>
            <w:r>
              <w:rPr>
                <w:b w:val="0"/>
                <w:color w:val="000000"/>
                <w:sz w:val="18"/>
              </w:rPr>
              <w:t>Unpenalised regression</w:t>
            </w:r>
          </w:p>
        </w:tc>
        <w:tc>
          <w:tcPr>
            <w:tcW w:type="dxa" w:w="294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jc w:val="center"/>
            </w:pPr>
            <w:r>
              <w:rPr>
                <w:b w:val="0"/>
                <w:color w:val="000000"/>
                <w:sz w:val="18"/>
              </w:rPr>
              <w:t>None</w:t>
            </w:r>
          </w:p>
        </w:tc>
        <w:tc>
          <w:tcPr>
            <w:tcW w:type="dxa" w:w="3005"/>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jc w:val="center"/>
            </w:pPr>
            <w:r>
              <w:rPr>
                <w:b w:val="0"/>
                <w:color w:val="000000"/>
                <w:sz w:val="18"/>
              </w:rPr>
              <w:t>Lowest mean CV5 RMSE</w:t>
            </w:r>
          </w:p>
        </w:tc>
      </w:tr>
      <w:tr>
        <w:trPr>
          <w:cantSplit/>
        </w:trPr>
        <w:tc>
          <w:tcPr>
            <w:tcW w:type="dxa" w:w="3685"/>
            <w:vAlign w:val="center"/>
            <w:shd w:fill="F0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jc w:val="left"/>
            </w:pPr>
            <w:r>
              <w:rPr>
                <w:b w:val="0"/>
                <w:color w:val="000000"/>
                <w:sz w:val="18"/>
              </w:rPr>
              <w:t>Initial classification and manual exclusions</w:t>
            </w:r>
          </w:p>
        </w:tc>
        <w:tc>
          <w:tcPr>
            <w:tcW w:type="dxa" w:w="2948"/>
            <w:vAlign w:val="center"/>
            <w:shd w:fill="F0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jc w:val="center"/>
            </w:pPr>
            <w:r>
              <w:rPr>
                <w:b w:val="0"/>
                <w:color w:val="000000"/>
                <w:sz w:val="18"/>
              </w:rPr>
              <w:t>Numerical columns only</w:t>
            </w:r>
          </w:p>
        </w:tc>
        <w:tc>
          <w:tcPr>
            <w:tcW w:type="dxa" w:w="3005"/>
            <w:vAlign w:val="center"/>
            <w:shd w:fill="F0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jc w:val="center"/>
            </w:pPr>
            <w:r>
              <w:rPr>
                <w:b w:val="0"/>
                <w:color w:val="000000"/>
                <w:sz w:val="18"/>
              </w:rPr>
              <w:t>Highest mean CV5 macro F1</w:t>
            </w:r>
          </w:p>
        </w:tc>
      </w:tr>
      <w:tr>
        <w:trPr>
          <w:cantSplit/>
        </w:trPr>
        <w:tc>
          <w:tcPr>
            <w:tcW w:type="dxa" w:w="3685"/>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jc w:val="left"/>
            </w:pPr>
            <w:r>
              <w:rPr>
                <w:b w:val="0"/>
                <w:color w:val="000000"/>
                <w:sz w:val="18"/>
              </w:rPr>
              <w:t>Regularisation and automatic selection</w:t>
            </w:r>
          </w:p>
        </w:tc>
        <w:tc>
          <w:tcPr>
            <w:tcW w:type="dxa" w:w="294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jc w:val="center"/>
            </w:pPr>
            <w:r>
              <w:rPr>
                <w:b w:val="0"/>
                <w:color w:val="000000"/>
                <w:sz w:val="18"/>
              </w:rPr>
              <w:t>All encoded columns</w:t>
            </w:r>
          </w:p>
        </w:tc>
        <w:tc>
          <w:tcPr>
            <w:tcW w:type="dxa" w:w="3005"/>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jc w:val="center"/>
            </w:pPr>
            <w:r>
              <w:rPr>
                <w:b w:val="0"/>
                <w:color w:val="000000"/>
                <w:sz w:val="18"/>
              </w:rPr>
              <w:t>Highest mean CV5 macro F1</w:t>
            </w:r>
          </w:p>
        </w:tc>
      </w:tr>
    </w:tbl>
    <w:p>
      <w:pPr>
        <w:spacing w:after="0"/>
      </w:pPr>
      <w:r>
        <w:rPr>
          <w:b w:val="0"/>
        </w:rPr>
      </w:r>
    </w:p>
    <w:p>
      <w:r>
        <w:rPr>
          <w:b w:val="0"/>
        </w:rPr>
        <w:t>The preparation function relearns categories and scale inside each fold and applies those transformations to validation data. Feature selection and class weights are also learned within each fit. Identical folds are used within controlled comparisons. Differences between experiments with different scaling or weighting cannot be attributed solely to a penalty or feature set [5].</w:t>
      </w:r>
    </w:p>
    <w:p>
      <w:pPr>
        <w:pStyle w:val="Heading2"/>
      </w:pPr>
      <w:r>
        <w:t>Metrics and selection</w:t>
      </w:r>
    </w:p>
    <w:p>
      <w:r>
        <w:rPr>
          <w:b w:val="0"/>
        </w:rPr>
        <w:t>Regression uses R², MAE, and RMSE, with mean CV5 RMSE determining selection. Reported RMSE is the average of fold RMSEs. Classification uses stratified CV5 with three repetitions, giving 15 evaluations. Macro F1 is supported by accuracy and class-specific precision and recall. Undefined precision is assigned zero through zero_division=0 [3].</w:t>
      </w:r>
    </w:p>
    <w:p>
      <w:r>
        <w:rPr>
          <w:b w:val="0"/>
        </w:rPr>
        <w:t>A training-mean baseline anchors regression; a majority-class baseline anchors classification. CV10, internal holdout, LOOCV, and bootstrap assess the unweighted classification references. Their score dispersions are descriptive rather than confidence intervals.</w:t>
      </w:r>
    </w:p>
    <w:p>
      <w:pPr>
        <w:pStyle w:val="Heading2"/>
      </w:pPr>
      <w:r>
        <w:t>Limits of independence</w:t>
      </w:r>
    </w:p>
    <w:p>
      <w:r>
        <w:rPr>
          <w:b w:val="0"/>
        </w:rPr>
        <w:t>Global EDA and earlier versions examined the test set. Reusing CV for successive feature, weight, and selector choices can also produce optimistic estimates [2]. Fold-specific preparation prevents direct preprocessing leakage within a fit but cannot remove previously acquired information. The training consistency audit flags 84 DI patients, yet its 1,516-patient mask is not used: every reported model retains all 1,600 training patients.</w:t>
      </w:r>
    </w:p>
    <w:p>
      <w:r>
        <w:br w:type="page"/>
      </w:r>
    </w:p>
    <w:p>
      <w:pPr>
        <w:pStyle w:val="Heading1"/>
      </w:pPr>
      <w:r>
        <w:t>4 Linear regression results</w:t>
      </w:r>
    </w:p>
    <w:p>
      <w:r>
        <w:rPr>
          <w:b w:val="0"/>
        </w:rPr>
        <w:t>Simple regression evaluates each numerical feature on identical CV5 splits. The selected feature is bmi. Its small RMSE improvement and slightly negative mean R² show limited individual linear prediction. Multiple regression then tests the combined predictors and targeted exclusions, with no standardisation applied to unpenalised fits.</w:t>
      </w:r>
    </w:p>
    <w:p>
      <w:pPr>
        <w:pStyle w:val="Caption"/>
      </w:pPr>
      <w:r>
        <w:rPr>
          <w:b w:val="0"/>
        </w:rPr>
        <w:t>Table 1  Regression results from training cross-validation. Values are means over five folds.</w:t>
      </w:r>
    </w:p>
    <w:tbl>
      <w:tblPr>
        <w:tblW w:type="auto" w:w="0"/>
        <w:jc w:val="center"/>
        <w:tblLayout w:type="fixed"/>
        <w:tblLook w:firstColumn="1" w:firstRow="1" w:lastColumn="0" w:lastRow="0" w:noHBand="0" w:noVBand="1" w:val="04A0"/>
      </w:tblPr>
      <w:tblGrid>
        <w:gridCol w:w="4195"/>
        <w:gridCol w:w="1814"/>
        <w:gridCol w:w="1814"/>
        <w:gridCol w:w="1814"/>
      </w:tblGrid>
      <w:tr>
        <w:trPr>
          <w:cantSplit/>
          <w:tblHeader/>
        </w:trPr>
        <w:tc>
          <w:tcPr>
            <w:tcW w:type="dxa" w:w="4195"/>
            <w:vAlign w:val="center"/>
            <w:shd w:fill="183A5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jc w:val="left"/>
            </w:pPr>
            <w:r>
              <w:rPr>
                <w:b/>
                <w:color w:val="FFFFFF"/>
                <w:sz w:val="18"/>
              </w:rPr>
              <w:t>Candidate</w:t>
            </w:r>
          </w:p>
        </w:tc>
        <w:tc>
          <w:tcPr>
            <w:tcW w:type="dxa" w:w="1814"/>
            <w:vAlign w:val="center"/>
            <w:shd w:fill="183A5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jc w:val="center"/>
            </w:pPr>
            <w:r>
              <w:rPr>
                <w:b/>
                <w:color w:val="FFFFFF"/>
                <w:sz w:val="18"/>
              </w:rPr>
              <w:t>Mean R²</w:t>
            </w:r>
          </w:p>
        </w:tc>
        <w:tc>
          <w:tcPr>
            <w:tcW w:type="dxa" w:w="1814"/>
            <w:vAlign w:val="center"/>
            <w:shd w:fill="183A5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jc w:val="center"/>
            </w:pPr>
            <w:r>
              <w:rPr>
                <w:b/>
                <w:color w:val="FFFFFF"/>
                <w:sz w:val="18"/>
              </w:rPr>
              <w:t>Mean MAE</w:t>
            </w:r>
          </w:p>
        </w:tc>
        <w:tc>
          <w:tcPr>
            <w:tcW w:type="dxa" w:w="1814"/>
            <w:vAlign w:val="center"/>
            <w:shd w:fill="183A5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jc w:val="center"/>
            </w:pPr>
            <w:r>
              <w:rPr>
                <w:b/>
                <w:color w:val="FFFFFF"/>
                <w:sz w:val="18"/>
              </w:rPr>
              <w:t>Mean RMSE</w:t>
            </w:r>
          </w:p>
        </w:tc>
      </w:tr>
      <w:tr>
        <w:trPr>
          <w:cantSplit/>
        </w:trPr>
        <w:tc>
          <w:tcPr>
            <w:tcW w:type="dxa" w:w="4195"/>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jc w:val="left"/>
            </w:pPr>
            <w:r>
              <w:rPr>
                <w:b w:val="0"/>
                <w:color w:val="000000"/>
                <w:sz w:val="18"/>
              </w:rPr>
              <w:t>Training-mean baseline</w:t>
            </w:r>
          </w:p>
        </w:tc>
        <w:tc>
          <w:tcPr>
            <w:tcW w:type="dxa" w:w="181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jc w:val="center"/>
            </w:pPr>
            <w:r>
              <w:rPr>
                <w:b w:val="0"/>
                <w:color w:val="000000"/>
                <w:sz w:val="18"/>
              </w:rPr>
              <w:t>−0.0059</w:t>
            </w:r>
          </w:p>
        </w:tc>
        <w:tc>
          <w:tcPr>
            <w:tcW w:type="dxa" w:w="181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jc w:val="center"/>
            </w:pPr>
            <w:r>
              <w:rPr>
                <w:b w:val="0"/>
                <w:color w:val="000000"/>
                <w:sz w:val="18"/>
              </w:rPr>
              <w:t>35.6718</w:t>
            </w:r>
          </w:p>
        </w:tc>
        <w:tc>
          <w:tcPr>
            <w:tcW w:type="dxa" w:w="181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jc w:val="center"/>
            </w:pPr>
            <w:r>
              <w:rPr>
                <w:b w:val="0"/>
                <w:color w:val="000000"/>
                <w:sz w:val="18"/>
              </w:rPr>
              <w:t>46.1036</w:t>
            </w:r>
          </w:p>
        </w:tc>
      </w:tr>
      <w:tr>
        <w:trPr>
          <w:cantSplit/>
        </w:trPr>
        <w:tc>
          <w:tcPr>
            <w:tcW w:type="dxa" w:w="4195"/>
            <w:vAlign w:val="center"/>
            <w:shd w:fill="F0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jc w:val="left"/>
            </w:pPr>
            <w:r>
              <w:rPr>
                <w:b w:val="0"/>
                <w:color w:val="000000"/>
                <w:sz w:val="18"/>
              </w:rPr>
              <w:t>Simple regression with bmi</w:t>
            </w:r>
          </w:p>
        </w:tc>
        <w:tc>
          <w:tcPr>
            <w:tcW w:type="dxa" w:w="1814"/>
            <w:vAlign w:val="center"/>
            <w:shd w:fill="F0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jc w:val="center"/>
            </w:pPr>
            <w:r>
              <w:rPr>
                <w:b w:val="0"/>
                <w:color w:val="000000"/>
                <w:sz w:val="18"/>
              </w:rPr>
              <w:t>−0.0025</w:t>
            </w:r>
          </w:p>
        </w:tc>
        <w:tc>
          <w:tcPr>
            <w:tcW w:type="dxa" w:w="1814"/>
            <w:vAlign w:val="center"/>
            <w:shd w:fill="F0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jc w:val="center"/>
            </w:pPr>
            <w:r>
              <w:rPr>
                <w:b w:val="0"/>
                <w:color w:val="000000"/>
                <w:sz w:val="18"/>
              </w:rPr>
              <w:t>35.7264</w:t>
            </w:r>
          </w:p>
        </w:tc>
        <w:tc>
          <w:tcPr>
            <w:tcW w:type="dxa" w:w="1814"/>
            <w:vAlign w:val="center"/>
            <w:shd w:fill="F0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jc w:val="center"/>
            </w:pPr>
            <w:r>
              <w:rPr>
                <w:b w:val="0"/>
                <w:color w:val="000000"/>
                <w:sz w:val="18"/>
              </w:rPr>
              <w:t>46.0110</w:t>
            </w:r>
          </w:p>
        </w:tc>
      </w:tr>
      <w:tr>
        <w:trPr>
          <w:cantSplit/>
        </w:trPr>
        <w:tc>
          <w:tcPr>
            <w:tcW w:type="dxa" w:w="4195"/>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jc w:val="left"/>
            </w:pPr>
            <w:r>
              <w:rPr>
                <w:b w:val="0"/>
                <w:color w:val="000000"/>
                <w:sz w:val="18"/>
              </w:rPr>
              <w:t>Full multiple regression</w:t>
            </w:r>
          </w:p>
        </w:tc>
        <w:tc>
          <w:tcPr>
            <w:tcW w:type="dxa" w:w="181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jc w:val="center"/>
            </w:pPr>
            <w:r>
              <w:rPr>
                <w:b w:val="0"/>
                <w:color w:val="000000"/>
                <w:sz w:val="18"/>
              </w:rPr>
              <w:t>0.0207</w:t>
            </w:r>
          </w:p>
        </w:tc>
        <w:tc>
          <w:tcPr>
            <w:tcW w:type="dxa" w:w="181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jc w:val="center"/>
            </w:pPr>
            <w:r>
              <w:rPr>
                <w:b w:val="0"/>
                <w:color w:val="000000"/>
                <w:sz w:val="18"/>
              </w:rPr>
              <w:t>36.2222</w:t>
            </w:r>
          </w:p>
        </w:tc>
        <w:tc>
          <w:tcPr>
            <w:tcW w:type="dxa" w:w="181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jc w:val="center"/>
            </w:pPr>
            <w:r>
              <w:rPr>
                <w:b w:val="0"/>
                <w:color w:val="000000"/>
                <w:sz w:val="18"/>
              </w:rPr>
              <w:t>45.4885</w:t>
            </w:r>
          </w:p>
        </w:tc>
      </w:tr>
      <w:tr>
        <w:trPr>
          <w:cantSplit/>
        </w:trPr>
        <w:tc>
          <w:tcPr>
            <w:tcW w:type="dxa" w:w="4195"/>
            <w:vAlign w:val="center"/>
            <w:shd w:fill="F0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jc w:val="left"/>
            </w:pPr>
            <w:r>
              <w:rPr>
                <w:b w:val="0"/>
                <w:color w:val="000000"/>
                <w:sz w:val="18"/>
              </w:rPr>
              <w:t>Selected multiple regression</w:t>
            </w:r>
          </w:p>
        </w:tc>
        <w:tc>
          <w:tcPr>
            <w:tcW w:type="dxa" w:w="1814"/>
            <w:vAlign w:val="center"/>
            <w:shd w:fill="F0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jc w:val="center"/>
            </w:pPr>
            <w:r>
              <w:rPr>
                <w:b w:val="0"/>
                <w:color w:val="000000"/>
                <w:sz w:val="18"/>
              </w:rPr>
              <w:t>0.0259</w:t>
            </w:r>
          </w:p>
        </w:tc>
        <w:tc>
          <w:tcPr>
            <w:tcW w:type="dxa" w:w="1814"/>
            <w:vAlign w:val="center"/>
            <w:shd w:fill="F0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jc w:val="center"/>
            </w:pPr>
            <w:r>
              <w:rPr>
                <w:b w:val="0"/>
                <w:color w:val="000000"/>
                <w:sz w:val="18"/>
              </w:rPr>
              <w:t>36.1448</w:t>
            </w:r>
          </w:p>
        </w:tc>
        <w:tc>
          <w:tcPr>
            <w:tcW w:type="dxa" w:w="1814"/>
            <w:vAlign w:val="center"/>
            <w:shd w:fill="F0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jc w:val="center"/>
            </w:pPr>
            <w:r>
              <w:rPr>
                <w:b w:val="0"/>
                <w:color w:val="000000"/>
                <w:sz w:val="18"/>
              </w:rPr>
              <w:t>45.3691</w:t>
            </w:r>
          </w:p>
        </w:tc>
      </w:tr>
    </w:tbl>
    <w:p>
      <w:pPr>
        <w:spacing w:after="0"/>
      </w:pPr>
      <w:r>
        <w:rPr>
          <w:b w:val="0"/>
        </w:rPr>
      </w:r>
    </w:p>
    <w:p>
      <w:r>
        <w:rPr>
          <w:b w:val="0"/>
        </w:rPr>
        <w:t>The selected multiple model excludes low_hdl_cholesterol, plasma_value, and ldl_alternative. Removing either of the first two individually reduced RMSE in all five folds. Removing ldl_alternative gave a smaller and less consistent benefit. Excluding age_level, bmi_level, or high_ldl_cholesterol increased mean RMSE, so these features were retained.</w:t>
      </w:r>
    </w:p>
    <w:p>
      <w:r>
        <w:rPr>
          <w:b w:val="0"/>
        </w:rPr>
        <w:t>Joint exclusions were developed after the individual comparisons on the same CV. The three-feature exclusion reduced mean RMSE by approximately 0.26% relative to the full model. Adding the ldl_alternative exclusion improved only two folds relative to removing the other two features. This small exploratory advantage does not establish that the removed variables are generally uninformative.</w:t>
      </w:r>
    </w:p>
    <w:p>
      <w:pPr>
        <w:pStyle w:val="Caption"/>
      </w:pPr>
      <w:r>
        <w:rPr>
          <w:b w:val="0"/>
        </w:rPr>
        <w:t>Table 2  Regression performance on the original 400 test patients after training-set refitting.</w:t>
      </w:r>
    </w:p>
    <w:tbl>
      <w:tblPr>
        <w:tblW w:type="auto" w:w="0"/>
        <w:jc w:val="center"/>
        <w:tblLayout w:type="fixed"/>
        <w:tblLook w:firstColumn="1" w:firstRow="1" w:lastColumn="0" w:lastRow="0" w:noHBand="0" w:noVBand="1" w:val="04A0"/>
      </w:tblPr>
      <w:tblGrid>
        <w:gridCol w:w="4195"/>
        <w:gridCol w:w="1814"/>
        <w:gridCol w:w="1814"/>
        <w:gridCol w:w="1814"/>
      </w:tblGrid>
      <w:tr>
        <w:trPr>
          <w:cantSplit/>
          <w:tblHeader/>
        </w:trPr>
        <w:tc>
          <w:tcPr>
            <w:tcW w:type="dxa" w:w="4195"/>
            <w:vAlign w:val="center"/>
            <w:shd w:fill="183A5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jc w:val="left"/>
            </w:pPr>
            <w:r>
              <w:rPr>
                <w:b/>
                <w:color w:val="FFFFFF"/>
                <w:sz w:val="18"/>
              </w:rPr>
              <w:t>Model</w:t>
            </w:r>
          </w:p>
        </w:tc>
        <w:tc>
          <w:tcPr>
            <w:tcW w:type="dxa" w:w="1814"/>
            <w:vAlign w:val="center"/>
            <w:shd w:fill="183A5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jc w:val="center"/>
            </w:pPr>
            <w:r>
              <w:rPr>
                <w:b/>
                <w:color w:val="FFFFFF"/>
                <w:sz w:val="18"/>
              </w:rPr>
              <w:t>R²</w:t>
            </w:r>
          </w:p>
        </w:tc>
        <w:tc>
          <w:tcPr>
            <w:tcW w:type="dxa" w:w="1814"/>
            <w:vAlign w:val="center"/>
            <w:shd w:fill="183A5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jc w:val="center"/>
            </w:pPr>
            <w:r>
              <w:rPr>
                <w:b/>
                <w:color w:val="FFFFFF"/>
                <w:sz w:val="18"/>
              </w:rPr>
              <w:t>MAE</w:t>
            </w:r>
          </w:p>
        </w:tc>
        <w:tc>
          <w:tcPr>
            <w:tcW w:type="dxa" w:w="1814"/>
            <w:vAlign w:val="center"/>
            <w:shd w:fill="183A5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jc w:val="center"/>
            </w:pPr>
            <w:r>
              <w:rPr>
                <w:b/>
                <w:color w:val="FFFFFF"/>
                <w:sz w:val="18"/>
              </w:rPr>
              <w:t>RMSE</w:t>
            </w:r>
          </w:p>
        </w:tc>
      </w:tr>
      <w:tr>
        <w:trPr>
          <w:cantSplit/>
        </w:trPr>
        <w:tc>
          <w:tcPr>
            <w:tcW w:type="dxa" w:w="4195"/>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jc w:val="left"/>
            </w:pPr>
            <w:r>
              <w:rPr>
                <w:b w:val="0"/>
                <w:color w:val="000000"/>
                <w:sz w:val="18"/>
              </w:rPr>
              <w:t>Training-mean baseline</w:t>
            </w:r>
          </w:p>
        </w:tc>
        <w:tc>
          <w:tcPr>
            <w:tcW w:type="dxa" w:w="181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jc w:val="center"/>
            </w:pPr>
            <w:r>
              <w:rPr>
                <w:b w:val="0"/>
                <w:color w:val="000000"/>
                <w:sz w:val="18"/>
              </w:rPr>
              <w:t>−0.0019</w:t>
            </w:r>
          </w:p>
        </w:tc>
        <w:tc>
          <w:tcPr>
            <w:tcW w:type="dxa" w:w="181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jc w:val="center"/>
            </w:pPr>
            <w:r>
              <w:rPr>
                <w:b w:val="0"/>
                <w:color w:val="000000"/>
                <w:sz w:val="18"/>
              </w:rPr>
              <w:t>37.4721</w:t>
            </w:r>
          </w:p>
        </w:tc>
        <w:tc>
          <w:tcPr>
            <w:tcW w:type="dxa" w:w="181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jc w:val="center"/>
            </w:pPr>
            <w:r>
              <w:rPr>
                <w:b w:val="0"/>
                <w:color w:val="000000"/>
                <w:sz w:val="18"/>
              </w:rPr>
              <w:t>49.2433</w:t>
            </w:r>
          </w:p>
        </w:tc>
      </w:tr>
      <w:tr>
        <w:trPr>
          <w:cantSplit/>
        </w:trPr>
        <w:tc>
          <w:tcPr>
            <w:tcW w:type="dxa" w:w="4195"/>
            <w:vAlign w:val="center"/>
            <w:shd w:fill="F0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jc w:val="left"/>
            </w:pPr>
            <w:r>
              <w:rPr>
                <w:b w:val="0"/>
                <w:color w:val="000000"/>
                <w:sz w:val="18"/>
              </w:rPr>
              <w:t>Simple regression with bmi</w:t>
            </w:r>
          </w:p>
        </w:tc>
        <w:tc>
          <w:tcPr>
            <w:tcW w:type="dxa" w:w="1814"/>
            <w:vAlign w:val="center"/>
            <w:shd w:fill="F0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jc w:val="center"/>
            </w:pPr>
            <w:r>
              <w:rPr>
                <w:b w:val="0"/>
                <w:color w:val="000000"/>
                <w:sz w:val="18"/>
              </w:rPr>
              <w:t>0.0214</w:t>
            </w:r>
          </w:p>
        </w:tc>
        <w:tc>
          <w:tcPr>
            <w:tcW w:type="dxa" w:w="1814"/>
            <w:vAlign w:val="center"/>
            <w:shd w:fill="F0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jc w:val="center"/>
            </w:pPr>
            <w:r>
              <w:rPr>
                <w:b w:val="0"/>
                <w:color w:val="000000"/>
                <w:sz w:val="18"/>
              </w:rPr>
              <w:t>37.1257</w:t>
            </w:r>
          </w:p>
        </w:tc>
        <w:tc>
          <w:tcPr>
            <w:tcW w:type="dxa" w:w="1814"/>
            <w:vAlign w:val="center"/>
            <w:shd w:fill="F0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jc w:val="center"/>
            </w:pPr>
            <w:r>
              <w:rPr>
                <w:b w:val="0"/>
                <w:color w:val="000000"/>
                <w:sz w:val="18"/>
              </w:rPr>
              <w:t>48.6671</w:t>
            </w:r>
          </w:p>
        </w:tc>
      </w:tr>
      <w:tr>
        <w:trPr>
          <w:cantSplit/>
        </w:trPr>
        <w:tc>
          <w:tcPr>
            <w:tcW w:type="dxa" w:w="4195"/>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jc w:val="left"/>
            </w:pPr>
            <w:r>
              <w:rPr>
                <w:b w:val="0"/>
                <w:color w:val="000000"/>
                <w:sz w:val="18"/>
              </w:rPr>
              <w:t>Selected multiple regression</w:t>
            </w:r>
          </w:p>
        </w:tc>
        <w:tc>
          <w:tcPr>
            <w:tcW w:type="dxa" w:w="181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jc w:val="center"/>
            </w:pPr>
            <w:r>
              <w:rPr>
                <w:b w:val="0"/>
                <w:color w:val="000000"/>
                <w:sz w:val="18"/>
              </w:rPr>
              <w:t>0.0570</w:t>
            </w:r>
          </w:p>
        </w:tc>
        <w:tc>
          <w:tcPr>
            <w:tcW w:type="dxa" w:w="181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jc w:val="center"/>
            </w:pPr>
            <w:r>
              <w:rPr>
                <w:b w:val="0"/>
                <w:color w:val="000000"/>
                <w:sz w:val="18"/>
              </w:rPr>
              <w:t>37.2831</w:t>
            </w:r>
          </w:p>
        </w:tc>
        <w:tc>
          <w:tcPr>
            <w:tcW w:type="dxa" w:w="181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jc w:val="center"/>
            </w:pPr>
            <w:r>
              <w:rPr>
                <w:b w:val="0"/>
                <w:color w:val="000000"/>
                <w:sz w:val="18"/>
              </w:rPr>
              <w:t>47.7733</w:t>
            </w:r>
          </w:p>
        </w:tc>
      </w:tr>
    </w:tbl>
    <w:p>
      <w:pPr>
        <w:spacing w:after="0"/>
      </w:pPr>
      <w:r>
        <w:rPr>
          <w:b w:val="0"/>
        </w:rPr>
      </w:r>
    </w:p>
    <w:p>
      <w:pPr>
        <w:pStyle w:val="Heading2"/>
      </w:pPr>
      <w:r>
        <w:t>Interpretation</w:t>
      </w:r>
    </w:p>
    <w:p>
      <w:r>
        <w:rPr>
          <w:b w:val="0"/>
        </w:rPr>
        <w:t>Multiple regression had the lowest test RMSE, approximately 3% below baseline, while simple regression had slightly lower MAE. The models therefore rank differently depending on how large errors are weighted. A mean CV R² below zero can coexist with a small mean RMSE improvement because metrics are computed per fold and then averaged.</w:t>
      </w:r>
    </w:p>
    <w:p>
      <w:r>
        <w:rPr>
          <w:b w:val="0"/>
        </w:rPr>
        <w:t>The multiple model retains 27 original features and 37 encoded columns. Its R² of 0.0570 remains low, indicating limited predictive ability. The test table does not include full multiple regression, so it cannot isolate the contribution of the exclusions. These results do not identify causal effects or establish independent validation.</w:t>
      </w:r>
    </w:p>
    <w:p>
      <w:r>
        <w:br w:type="page"/>
      </w:r>
    </w:p>
    <w:p>
      <w:pPr>
        <w:pStyle w:val="Heading1"/>
      </w:pPr>
      <w:r>
        <w:t>5 Classification and resampling</w:t>
      </w:r>
    </w:p>
    <w:p>
      <w:r>
        <w:rPr>
          <w:b w:val="0"/>
        </w:rPr>
        <w:t>Initial classification compares unweighted logistic regression with L2 and C=1 against LDA, using all 30 candidate features. Both use the same partitions, with encoding and numerical scaling fitted internally. The majority-class baseline reaches approximately 90% accuracy while recognising no minority cases.</w:t>
      </w:r>
    </w:p>
    <w:p>
      <w:pPr>
        <w:pStyle w:val="Caption"/>
      </w:pPr>
      <w:r>
        <w:rPr>
          <w:b w:val="0"/>
        </w:rPr>
        <w:t>Table 3  Unweighted classification references. CV uses three repetitions; bootstrap uses 200 OOB evaluations. SD denotes descriptive score dispersion.</w:t>
      </w:r>
    </w:p>
    <w:tbl>
      <w:tblPr>
        <w:tblW w:type="auto" w:w="0"/>
        <w:jc w:val="center"/>
        <w:tblLayout w:type="fixed"/>
        <w:tblLook w:firstColumn="1" w:firstRow="1" w:lastColumn="0" w:lastRow="0" w:noHBand="0" w:noVBand="1" w:val="04A0"/>
      </w:tblPr>
      <w:tblGrid>
        <w:gridCol w:w="1701"/>
        <w:gridCol w:w="1474"/>
        <w:gridCol w:w="1531"/>
        <w:gridCol w:w="1531"/>
        <w:gridCol w:w="1417"/>
        <w:gridCol w:w="1984"/>
      </w:tblGrid>
      <w:tr>
        <w:trPr>
          <w:cantSplit/>
          <w:tblHeader/>
        </w:trPr>
        <w:tc>
          <w:tcPr>
            <w:tcW w:type="dxa" w:w="1701"/>
            <w:vAlign w:val="center"/>
            <w:shd w:fill="183A5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jc w:val="left"/>
            </w:pPr>
            <w:r>
              <w:rPr>
                <w:b/>
                <w:color w:val="FFFFFF"/>
                <w:sz w:val="18"/>
              </w:rPr>
              <w:t>Method</w:t>
            </w:r>
          </w:p>
        </w:tc>
        <w:tc>
          <w:tcPr>
            <w:tcW w:type="dxa" w:w="1474"/>
            <w:vAlign w:val="center"/>
            <w:shd w:fill="183A5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jc w:val="center"/>
            </w:pPr>
            <w:r>
              <w:rPr>
                <w:b/>
                <w:color w:val="FFFFFF"/>
                <w:sz w:val="18"/>
              </w:rPr>
              <w:t>Model</w:t>
            </w:r>
          </w:p>
        </w:tc>
        <w:tc>
          <w:tcPr>
            <w:tcW w:type="dxa" w:w="1531"/>
            <w:vAlign w:val="center"/>
            <w:shd w:fill="183A5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jc w:val="center"/>
            </w:pPr>
            <w:r>
              <w:rPr>
                <w:b/>
                <w:color w:val="FFFFFF"/>
                <w:sz w:val="18"/>
              </w:rPr>
              <w:t>Accuracy</w:t>
            </w:r>
          </w:p>
        </w:tc>
        <w:tc>
          <w:tcPr>
            <w:tcW w:type="dxa" w:w="1531"/>
            <w:vAlign w:val="center"/>
            <w:shd w:fill="183A5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jc w:val="center"/>
            </w:pPr>
            <w:r>
              <w:rPr>
                <w:b/>
                <w:color w:val="FFFFFF"/>
                <w:sz w:val="18"/>
              </w:rPr>
              <w:t>Macro F1</w:t>
            </w:r>
          </w:p>
        </w:tc>
        <w:tc>
          <w:tcPr>
            <w:tcW w:type="dxa" w:w="1417"/>
            <w:vAlign w:val="center"/>
            <w:shd w:fill="183A5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jc w:val="center"/>
            </w:pPr>
            <w:r>
              <w:rPr>
                <w:b/>
                <w:color w:val="FFFFFF"/>
                <w:sz w:val="18"/>
              </w:rPr>
              <w:t>F1 SD</w:t>
            </w:r>
          </w:p>
        </w:tc>
        <w:tc>
          <w:tcPr>
            <w:tcW w:type="dxa" w:w="1984"/>
            <w:vAlign w:val="center"/>
            <w:shd w:fill="183A5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jc w:val="center"/>
            </w:pPr>
            <w:r>
              <w:rPr>
                <w:b/>
                <w:color w:val="FFFFFF"/>
                <w:sz w:val="18"/>
              </w:rPr>
              <w:t>Recall DI_HT_HY</w:t>
            </w:r>
          </w:p>
        </w:tc>
      </w:tr>
      <w:tr>
        <w:trPr>
          <w:cantSplit/>
        </w:trPr>
        <w:tc>
          <w:tcPr>
            <w:tcW w:type="dxa" w:w="1701"/>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jc w:val="left"/>
            </w:pPr>
            <w:r>
              <w:rPr>
                <w:b w:val="0"/>
                <w:color w:val="000000"/>
                <w:sz w:val="18"/>
              </w:rPr>
              <w:t>Holdout</w:t>
            </w:r>
          </w:p>
        </w:tc>
        <w:tc>
          <w:tcPr>
            <w:tcW w:type="dxa" w:w="147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jc w:val="center"/>
            </w:pPr>
            <w:r>
              <w:rPr>
                <w:b w:val="0"/>
                <w:color w:val="000000"/>
                <w:sz w:val="18"/>
              </w:rPr>
              <w:t>Logistic</w:t>
            </w:r>
          </w:p>
        </w:tc>
        <w:tc>
          <w:tcPr>
            <w:tcW w:type="dxa" w:w="1531"/>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jc w:val="center"/>
            </w:pPr>
            <w:r>
              <w:rPr>
                <w:b w:val="0"/>
                <w:color w:val="000000"/>
                <w:sz w:val="18"/>
              </w:rPr>
              <w:t>0.9281</w:t>
            </w:r>
          </w:p>
        </w:tc>
        <w:tc>
          <w:tcPr>
            <w:tcW w:type="dxa" w:w="1531"/>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jc w:val="center"/>
            </w:pPr>
            <w:r>
              <w:rPr>
                <w:b w:val="0"/>
                <w:color w:val="000000"/>
                <w:sz w:val="18"/>
              </w:rPr>
              <w:t>0.5871</w:t>
            </w:r>
          </w:p>
        </w:tc>
        <w:tc>
          <w:tcPr>
            <w:tcW w:type="dxa" w:w="1417"/>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jc w:val="center"/>
            </w:pPr>
            <w:r>
              <w:rPr>
                <w:b w:val="0"/>
                <w:color w:val="000000"/>
                <w:sz w:val="18"/>
              </w:rPr>
              <w:t>—</w:t>
            </w:r>
          </w:p>
        </w:tc>
        <w:tc>
          <w:tcPr>
            <w:tcW w:type="dxa" w:w="198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jc w:val="center"/>
            </w:pPr>
            <w:r>
              <w:rPr>
                <w:b w:val="0"/>
                <w:color w:val="000000"/>
                <w:sz w:val="18"/>
              </w:rPr>
              <w:t>0.0000</w:t>
            </w:r>
          </w:p>
        </w:tc>
      </w:tr>
      <w:tr>
        <w:trPr>
          <w:cantSplit/>
        </w:trPr>
        <w:tc>
          <w:tcPr>
            <w:tcW w:type="dxa" w:w="1701"/>
            <w:vAlign w:val="center"/>
            <w:shd w:fill="F0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jc w:val="left"/>
            </w:pPr>
            <w:r>
              <w:rPr>
                <w:b w:val="0"/>
                <w:color w:val="000000"/>
                <w:sz w:val="18"/>
              </w:rPr>
              <w:t>Holdout</w:t>
            </w:r>
          </w:p>
        </w:tc>
        <w:tc>
          <w:tcPr>
            <w:tcW w:type="dxa" w:w="1474"/>
            <w:vAlign w:val="center"/>
            <w:shd w:fill="F0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jc w:val="center"/>
            </w:pPr>
            <w:r>
              <w:rPr>
                <w:b w:val="0"/>
                <w:color w:val="000000"/>
                <w:sz w:val="18"/>
              </w:rPr>
              <w:t>LDA</w:t>
            </w:r>
          </w:p>
        </w:tc>
        <w:tc>
          <w:tcPr>
            <w:tcW w:type="dxa" w:w="1531"/>
            <w:vAlign w:val="center"/>
            <w:shd w:fill="F0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jc w:val="center"/>
            </w:pPr>
            <w:r>
              <w:rPr>
                <w:b w:val="0"/>
                <w:color w:val="000000"/>
                <w:sz w:val="18"/>
              </w:rPr>
              <w:t>0.9062</w:t>
            </w:r>
          </w:p>
        </w:tc>
        <w:tc>
          <w:tcPr>
            <w:tcW w:type="dxa" w:w="1531"/>
            <w:vAlign w:val="center"/>
            <w:shd w:fill="F0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jc w:val="center"/>
            </w:pPr>
            <w:r>
              <w:rPr>
                <w:b w:val="0"/>
                <w:color w:val="000000"/>
                <w:sz w:val="18"/>
              </w:rPr>
              <w:t>0.5075</w:t>
            </w:r>
          </w:p>
        </w:tc>
        <w:tc>
          <w:tcPr>
            <w:tcW w:type="dxa" w:w="1417"/>
            <w:vAlign w:val="center"/>
            <w:shd w:fill="F0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jc w:val="center"/>
            </w:pPr>
            <w:r>
              <w:rPr>
                <w:b w:val="0"/>
                <w:color w:val="000000"/>
                <w:sz w:val="18"/>
              </w:rPr>
              <w:t>—</w:t>
            </w:r>
          </w:p>
        </w:tc>
        <w:tc>
          <w:tcPr>
            <w:tcW w:type="dxa" w:w="1984"/>
            <w:vAlign w:val="center"/>
            <w:shd w:fill="F0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jc w:val="center"/>
            </w:pPr>
            <w:r>
              <w:rPr>
                <w:b w:val="0"/>
                <w:color w:val="000000"/>
                <w:sz w:val="18"/>
              </w:rPr>
              <w:t>0.0000</w:t>
            </w:r>
          </w:p>
        </w:tc>
      </w:tr>
      <w:tr>
        <w:trPr>
          <w:cantSplit/>
        </w:trPr>
        <w:tc>
          <w:tcPr>
            <w:tcW w:type="dxa" w:w="1701"/>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jc w:val="left"/>
            </w:pPr>
            <w:r>
              <w:rPr>
                <w:b w:val="0"/>
                <w:color w:val="000000"/>
                <w:sz w:val="18"/>
              </w:rPr>
              <w:t>CV5</w:t>
            </w:r>
          </w:p>
        </w:tc>
        <w:tc>
          <w:tcPr>
            <w:tcW w:type="dxa" w:w="147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jc w:val="center"/>
            </w:pPr>
            <w:r>
              <w:rPr>
                <w:b w:val="0"/>
                <w:color w:val="000000"/>
                <w:sz w:val="18"/>
              </w:rPr>
              <w:t>Logistic</w:t>
            </w:r>
          </w:p>
        </w:tc>
        <w:tc>
          <w:tcPr>
            <w:tcW w:type="dxa" w:w="1531"/>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jc w:val="center"/>
            </w:pPr>
            <w:r>
              <w:rPr>
                <w:b w:val="0"/>
                <w:color w:val="000000"/>
                <w:sz w:val="18"/>
              </w:rPr>
              <w:t>0.9277</w:t>
            </w:r>
          </w:p>
        </w:tc>
        <w:tc>
          <w:tcPr>
            <w:tcW w:type="dxa" w:w="1531"/>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jc w:val="center"/>
            </w:pPr>
            <w:r>
              <w:rPr>
                <w:b w:val="0"/>
                <w:color w:val="000000"/>
                <w:sz w:val="18"/>
              </w:rPr>
              <w:t>0.5675</w:t>
            </w:r>
          </w:p>
        </w:tc>
        <w:tc>
          <w:tcPr>
            <w:tcW w:type="dxa" w:w="1417"/>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jc w:val="center"/>
            </w:pPr>
            <w:r>
              <w:rPr>
                <w:b w:val="0"/>
                <w:color w:val="000000"/>
                <w:sz w:val="18"/>
              </w:rPr>
              <w:t>0.0283</w:t>
            </w:r>
          </w:p>
        </w:tc>
        <w:tc>
          <w:tcPr>
            <w:tcW w:type="dxa" w:w="198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jc w:val="center"/>
            </w:pPr>
            <w:r>
              <w:rPr>
                <w:b w:val="0"/>
                <w:color w:val="000000"/>
                <w:sz w:val="18"/>
              </w:rPr>
              <w:t>0.0190</w:t>
            </w:r>
          </w:p>
        </w:tc>
      </w:tr>
      <w:tr>
        <w:trPr>
          <w:cantSplit/>
        </w:trPr>
        <w:tc>
          <w:tcPr>
            <w:tcW w:type="dxa" w:w="1701"/>
            <w:vAlign w:val="center"/>
            <w:shd w:fill="F0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jc w:val="left"/>
            </w:pPr>
            <w:r>
              <w:rPr>
                <w:b w:val="0"/>
                <w:color w:val="000000"/>
                <w:sz w:val="18"/>
              </w:rPr>
              <w:t>CV5</w:t>
            </w:r>
          </w:p>
        </w:tc>
        <w:tc>
          <w:tcPr>
            <w:tcW w:type="dxa" w:w="1474"/>
            <w:vAlign w:val="center"/>
            <w:shd w:fill="F0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jc w:val="center"/>
            </w:pPr>
            <w:r>
              <w:rPr>
                <w:b w:val="0"/>
                <w:color w:val="000000"/>
                <w:sz w:val="18"/>
              </w:rPr>
              <w:t>LDA</w:t>
            </w:r>
          </w:p>
        </w:tc>
        <w:tc>
          <w:tcPr>
            <w:tcW w:type="dxa" w:w="1531"/>
            <w:vAlign w:val="center"/>
            <w:shd w:fill="F0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jc w:val="center"/>
            </w:pPr>
            <w:r>
              <w:rPr>
                <w:b w:val="0"/>
                <w:color w:val="000000"/>
                <w:sz w:val="18"/>
              </w:rPr>
              <w:t>0.9210</w:t>
            </w:r>
          </w:p>
        </w:tc>
        <w:tc>
          <w:tcPr>
            <w:tcW w:type="dxa" w:w="1531"/>
            <w:vAlign w:val="center"/>
            <w:shd w:fill="F0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jc w:val="center"/>
            </w:pPr>
            <w:r>
              <w:rPr>
                <w:b w:val="0"/>
                <w:color w:val="000000"/>
                <w:sz w:val="18"/>
              </w:rPr>
              <w:t>0.5658</w:t>
            </w:r>
          </w:p>
        </w:tc>
        <w:tc>
          <w:tcPr>
            <w:tcW w:type="dxa" w:w="1417"/>
            <w:vAlign w:val="center"/>
            <w:shd w:fill="F0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jc w:val="center"/>
            </w:pPr>
            <w:r>
              <w:rPr>
                <w:b w:val="0"/>
                <w:color w:val="000000"/>
                <w:sz w:val="18"/>
              </w:rPr>
              <w:t>0.0309</w:t>
            </w:r>
          </w:p>
        </w:tc>
        <w:tc>
          <w:tcPr>
            <w:tcW w:type="dxa" w:w="1984"/>
            <w:vAlign w:val="center"/>
            <w:shd w:fill="F0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jc w:val="center"/>
            </w:pPr>
            <w:r>
              <w:rPr>
                <w:b w:val="0"/>
                <w:color w:val="000000"/>
                <w:sz w:val="18"/>
              </w:rPr>
              <w:t>0.0341</w:t>
            </w:r>
          </w:p>
        </w:tc>
      </w:tr>
      <w:tr>
        <w:trPr>
          <w:cantSplit/>
        </w:trPr>
        <w:tc>
          <w:tcPr>
            <w:tcW w:type="dxa" w:w="1701"/>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jc w:val="left"/>
            </w:pPr>
            <w:r>
              <w:rPr>
                <w:b w:val="0"/>
                <w:color w:val="000000"/>
                <w:sz w:val="18"/>
              </w:rPr>
              <w:t>CV10</w:t>
            </w:r>
          </w:p>
        </w:tc>
        <w:tc>
          <w:tcPr>
            <w:tcW w:type="dxa" w:w="147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jc w:val="center"/>
            </w:pPr>
            <w:r>
              <w:rPr>
                <w:b w:val="0"/>
                <w:color w:val="000000"/>
                <w:sz w:val="18"/>
              </w:rPr>
              <w:t>Logistic</w:t>
            </w:r>
          </w:p>
        </w:tc>
        <w:tc>
          <w:tcPr>
            <w:tcW w:type="dxa" w:w="1531"/>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jc w:val="center"/>
            </w:pPr>
            <w:r>
              <w:rPr>
                <w:b w:val="0"/>
                <w:color w:val="000000"/>
                <w:sz w:val="18"/>
              </w:rPr>
              <w:t>0.9294</w:t>
            </w:r>
          </w:p>
        </w:tc>
        <w:tc>
          <w:tcPr>
            <w:tcW w:type="dxa" w:w="1531"/>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jc w:val="center"/>
            </w:pPr>
            <w:r>
              <w:rPr>
                <w:b w:val="0"/>
                <w:color w:val="000000"/>
                <w:sz w:val="18"/>
              </w:rPr>
              <w:t>0.5680</w:t>
            </w:r>
          </w:p>
        </w:tc>
        <w:tc>
          <w:tcPr>
            <w:tcW w:type="dxa" w:w="1417"/>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jc w:val="center"/>
            </w:pPr>
            <w:r>
              <w:rPr>
                <w:b w:val="0"/>
                <w:color w:val="000000"/>
                <w:sz w:val="18"/>
              </w:rPr>
              <w:t>0.0482</w:t>
            </w:r>
          </w:p>
        </w:tc>
        <w:tc>
          <w:tcPr>
            <w:tcW w:type="dxa" w:w="198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jc w:val="center"/>
            </w:pPr>
            <w:r>
              <w:rPr>
                <w:b w:val="0"/>
                <w:color w:val="000000"/>
                <w:sz w:val="18"/>
              </w:rPr>
              <w:t>0.0143</w:t>
            </w:r>
          </w:p>
        </w:tc>
      </w:tr>
      <w:tr>
        <w:trPr>
          <w:cantSplit/>
        </w:trPr>
        <w:tc>
          <w:tcPr>
            <w:tcW w:type="dxa" w:w="1701"/>
            <w:vAlign w:val="center"/>
            <w:shd w:fill="F0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jc w:val="left"/>
            </w:pPr>
            <w:r>
              <w:rPr>
                <w:b w:val="0"/>
                <w:color w:val="000000"/>
                <w:sz w:val="18"/>
              </w:rPr>
              <w:t>CV10</w:t>
            </w:r>
          </w:p>
        </w:tc>
        <w:tc>
          <w:tcPr>
            <w:tcW w:type="dxa" w:w="1474"/>
            <w:vAlign w:val="center"/>
            <w:shd w:fill="F0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jc w:val="center"/>
            </w:pPr>
            <w:r>
              <w:rPr>
                <w:b w:val="0"/>
                <w:color w:val="000000"/>
                <w:sz w:val="18"/>
              </w:rPr>
              <w:t>LDA</w:t>
            </w:r>
          </w:p>
        </w:tc>
        <w:tc>
          <w:tcPr>
            <w:tcW w:type="dxa" w:w="1531"/>
            <w:vAlign w:val="center"/>
            <w:shd w:fill="F0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jc w:val="center"/>
            </w:pPr>
            <w:r>
              <w:rPr>
                <w:b w:val="0"/>
                <w:color w:val="000000"/>
                <w:sz w:val="18"/>
              </w:rPr>
              <w:t>0.9244</w:t>
            </w:r>
          </w:p>
        </w:tc>
        <w:tc>
          <w:tcPr>
            <w:tcW w:type="dxa" w:w="1531"/>
            <w:vAlign w:val="center"/>
            <w:shd w:fill="F0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jc w:val="center"/>
            </w:pPr>
            <w:r>
              <w:rPr>
                <w:b w:val="0"/>
                <w:color w:val="000000"/>
                <w:sz w:val="18"/>
              </w:rPr>
              <w:t>0.5703</w:t>
            </w:r>
          </w:p>
        </w:tc>
        <w:tc>
          <w:tcPr>
            <w:tcW w:type="dxa" w:w="1417"/>
            <w:vAlign w:val="center"/>
            <w:shd w:fill="F0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jc w:val="center"/>
            </w:pPr>
            <w:r>
              <w:rPr>
                <w:b w:val="0"/>
                <w:color w:val="000000"/>
                <w:sz w:val="18"/>
              </w:rPr>
              <w:t>0.0616</w:t>
            </w:r>
          </w:p>
        </w:tc>
        <w:tc>
          <w:tcPr>
            <w:tcW w:type="dxa" w:w="1984"/>
            <w:vAlign w:val="center"/>
            <w:shd w:fill="F0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jc w:val="center"/>
            </w:pPr>
            <w:r>
              <w:rPr>
                <w:b w:val="0"/>
                <w:color w:val="000000"/>
                <w:sz w:val="18"/>
              </w:rPr>
              <w:t>0.0286</w:t>
            </w:r>
          </w:p>
        </w:tc>
      </w:tr>
      <w:tr>
        <w:trPr>
          <w:cantSplit/>
        </w:trPr>
        <w:tc>
          <w:tcPr>
            <w:tcW w:type="dxa" w:w="1701"/>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jc w:val="left"/>
            </w:pPr>
            <w:r>
              <w:rPr>
                <w:b w:val="0"/>
                <w:color w:val="000000"/>
                <w:sz w:val="18"/>
              </w:rPr>
              <w:t>LOOCV</w:t>
            </w:r>
          </w:p>
        </w:tc>
        <w:tc>
          <w:tcPr>
            <w:tcW w:type="dxa" w:w="147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jc w:val="center"/>
            </w:pPr>
            <w:r>
              <w:rPr>
                <w:b w:val="0"/>
                <w:color w:val="000000"/>
                <w:sz w:val="18"/>
              </w:rPr>
              <w:t>Logistic</w:t>
            </w:r>
          </w:p>
        </w:tc>
        <w:tc>
          <w:tcPr>
            <w:tcW w:type="dxa" w:w="1531"/>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jc w:val="center"/>
            </w:pPr>
            <w:r>
              <w:rPr>
                <w:b w:val="0"/>
                <w:color w:val="000000"/>
                <w:sz w:val="18"/>
              </w:rPr>
              <w:t>0.9300</w:t>
            </w:r>
          </w:p>
        </w:tc>
        <w:tc>
          <w:tcPr>
            <w:tcW w:type="dxa" w:w="1531"/>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jc w:val="center"/>
            </w:pPr>
            <w:r>
              <w:rPr>
                <w:b w:val="0"/>
                <w:color w:val="000000"/>
                <w:sz w:val="18"/>
              </w:rPr>
              <w:t>0.5758</w:t>
            </w:r>
          </w:p>
        </w:tc>
        <w:tc>
          <w:tcPr>
            <w:tcW w:type="dxa" w:w="1417"/>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jc w:val="center"/>
            </w:pPr>
            <w:r>
              <w:rPr>
                <w:b w:val="0"/>
                <w:color w:val="000000"/>
                <w:sz w:val="18"/>
              </w:rPr>
              <w:t>—</w:t>
            </w:r>
          </w:p>
        </w:tc>
        <w:tc>
          <w:tcPr>
            <w:tcW w:type="dxa" w:w="198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jc w:val="center"/>
            </w:pPr>
            <w:r>
              <w:rPr>
                <w:b w:val="0"/>
                <w:color w:val="000000"/>
                <w:sz w:val="18"/>
              </w:rPr>
              <w:t>0.0147</w:t>
            </w:r>
          </w:p>
        </w:tc>
      </w:tr>
      <w:tr>
        <w:trPr>
          <w:cantSplit/>
        </w:trPr>
        <w:tc>
          <w:tcPr>
            <w:tcW w:type="dxa" w:w="1701"/>
            <w:vAlign w:val="center"/>
            <w:shd w:fill="F0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jc w:val="left"/>
            </w:pPr>
            <w:r>
              <w:rPr>
                <w:b w:val="0"/>
                <w:color w:val="000000"/>
                <w:sz w:val="18"/>
              </w:rPr>
              <w:t>LOOCV</w:t>
            </w:r>
          </w:p>
        </w:tc>
        <w:tc>
          <w:tcPr>
            <w:tcW w:type="dxa" w:w="1474"/>
            <w:vAlign w:val="center"/>
            <w:shd w:fill="F0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jc w:val="center"/>
            </w:pPr>
            <w:r>
              <w:rPr>
                <w:b w:val="0"/>
                <w:color w:val="000000"/>
                <w:sz w:val="18"/>
              </w:rPr>
              <w:t>LDA</w:t>
            </w:r>
          </w:p>
        </w:tc>
        <w:tc>
          <w:tcPr>
            <w:tcW w:type="dxa" w:w="1531"/>
            <w:vAlign w:val="center"/>
            <w:shd w:fill="F0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jc w:val="center"/>
            </w:pPr>
            <w:r>
              <w:rPr>
                <w:b w:val="0"/>
                <w:color w:val="000000"/>
                <w:sz w:val="18"/>
              </w:rPr>
              <w:t>0.9250</w:t>
            </w:r>
          </w:p>
        </w:tc>
        <w:tc>
          <w:tcPr>
            <w:tcW w:type="dxa" w:w="1531"/>
            <w:vAlign w:val="center"/>
            <w:shd w:fill="F0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jc w:val="center"/>
            </w:pPr>
            <w:r>
              <w:rPr>
                <w:b w:val="0"/>
                <w:color w:val="000000"/>
                <w:sz w:val="18"/>
              </w:rPr>
              <w:t>0.5669</w:t>
            </w:r>
          </w:p>
        </w:tc>
        <w:tc>
          <w:tcPr>
            <w:tcW w:type="dxa" w:w="1417"/>
            <w:vAlign w:val="center"/>
            <w:shd w:fill="F0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jc w:val="center"/>
            </w:pPr>
            <w:r>
              <w:rPr>
                <w:b w:val="0"/>
                <w:color w:val="000000"/>
                <w:sz w:val="18"/>
              </w:rPr>
              <w:t>—</w:t>
            </w:r>
          </w:p>
        </w:tc>
        <w:tc>
          <w:tcPr>
            <w:tcW w:type="dxa" w:w="1984"/>
            <w:vAlign w:val="center"/>
            <w:shd w:fill="F0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jc w:val="center"/>
            </w:pPr>
            <w:r>
              <w:rPr>
                <w:b w:val="0"/>
                <w:color w:val="000000"/>
                <w:sz w:val="18"/>
              </w:rPr>
              <w:t>0.0147</w:t>
            </w:r>
          </w:p>
        </w:tc>
      </w:tr>
      <w:tr>
        <w:trPr>
          <w:cantSplit/>
        </w:trPr>
        <w:tc>
          <w:tcPr>
            <w:tcW w:type="dxa" w:w="1701"/>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jc w:val="left"/>
            </w:pPr>
            <w:r>
              <w:rPr>
                <w:b w:val="0"/>
                <w:color w:val="000000"/>
                <w:sz w:val="18"/>
              </w:rPr>
              <w:t>Bootstrap</w:t>
            </w:r>
          </w:p>
        </w:tc>
        <w:tc>
          <w:tcPr>
            <w:tcW w:type="dxa" w:w="147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jc w:val="center"/>
            </w:pPr>
            <w:r>
              <w:rPr>
                <w:b w:val="0"/>
                <w:color w:val="000000"/>
                <w:sz w:val="18"/>
              </w:rPr>
              <w:t>Logistic</w:t>
            </w:r>
          </w:p>
        </w:tc>
        <w:tc>
          <w:tcPr>
            <w:tcW w:type="dxa" w:w="1531"/>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jc w:val="center"/>
            </w:pPr>
            <w:r>
              <w:rPr>
                <w:b w:val="0"/>
                <w:color w:val="000000"/>
                <w:sz w:val="18"/>
              </w:rPr>
              <w:t>0.9250</w:t>
            </w:r>
          </w:p>
        </w:tc>
        <w:tc>
          <w:tcPr>
            <w:tcW w:type="dxa" w:w="1531"/>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jc w:val="center"/>
            </w:pPr>
            <w:r>
              <w:rPr>
                <w:b w:val="0"/>
                <w:color w:val="000000"/>
                <w:sz w:val="18"/>
              </w:rPr>
              <w:t>0.5725</w:t>
            </w:r>
          </w:p>
        </w:tc>
        <w:tc>
          <w:tcPr>
            <w:tcW w:type="dxa" w:w="1417"/>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jc w:val="center"/>
            </w:pPr>
            <w:r>
              <w:rPr>
                <w:b w:val="0"/>
                <w:color w:val="000000"/>
                <w:sz w:val="18"/>
              </w:rPr>
              <w:t>0.0298</w:t>
            </w:r>
          </w:p>
        </w:tc>
        <w:tc>
          <w:tcPr>
            <w:tcW w:type="dxa" w:w="198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jc w:val="center"/>
            </w:pPr>
            <w:r>
              <w:rPr>
                <w:b w:val="0"/>
                <w:color w:val="000000"/>
                <w:sz w:val="18"/>
              </w:rPr>
              <w:t>0.0399</w:t>
            </w:r>
          </w:p>
        </w:tc>
      </w:tr>
      <w:tr>
        <w:trPr>
          <w:cantSplit/>
        </w:trPr>
        <w:tc>
          <w:tcPr>
            <w:tcW w:type="dxa" w:w="1701"/>
            <w:vAlign w:val="center"/>
            <w:shd w:fill="F0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jc w:val="left"/>
            </w:pPr>
            <w:r>
              <w:rPr>
                <w:b w:val="0"/>
                <w:color w:val="000000"/>
                <w:sz w:val="18"/>
              </w:rPr>
              <w:t>Bootstrap</w:t>
            </w:r>
          </w:p>
        </w:tc>
        <w:tc>
          <w:tcPr>
            <w:tcW w:type="dxa" w:w="1474"/>
            <w:vAlign w:val="center"/>
            <w:shd w:fill="F0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jc w:val="center"/>
            </w:pPr>
            <w:r>
              <w:rPr>
                <w:b w:val="0"/>
                <w:color w:val="000000"/>
                <w:sz w:val="18"/>
              </w:rPr>
              <w:t>LDA</w:t>
            </w:r>
          </w:p>
        </w:tc>
        <w:tc>
          <w:tcPr>
            <w:tcW w:type="dxa" w:w="1531"/>
            <w:vAlign w:val="center"/>
            <w:shd w:fill="F0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jc w:val="center"/>
            </w:pPr>
            <w:r>
              <w:rPr>
                <w:b w:val="0"/>
                <w:color w:val="000000"/>
                <w:sz w:val="18"/>
              </w:rPr>
              <w:t>0.9182</w:t>
            </w:r>
          </w:p>
        </w:tc>
        <w:tc>
          <w:tcPr>
            <w:tcW w:type="dxa" w:w="1531"/>
            <w:vAlign w:val="center"/>
            <w:shd w:fill="F0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jc w:val="center"/>
            </w:pPr>
            <w:r>
              <w:rPr>
                <w:b w:val="0"/>
                <w:color w:val="000000"/>
                <w:sz w:val="18"/>
              </w:rPr>
              <w:t>0.5743</w:t>
            </w:r>
          </w:p>
        </w:tc>
        <w:tc>
          <w:tcPr>
            <w:tcW w:type="dxa" w:w="1417"/>
            <w:vAlign w:val="center"/>
            <w:shd w:fill="F0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jc w:val="center"/>
            </w:pPr>
            <w:r>
              <w:rPr>
                <w:b w:val="0"/>
                <w:color w:val="000000"/>
                <w:sz w:val="18"/>
              </w:rPr>
              <w:t>0.0327</w:t>
            </w:r>
          </w:p>
        </w:tc>
        <w:tc>
          <w:tcPr>
            <w:tcW w:type="dxa" w:w="1984"/>
            <w:vAlign w:val="center"/>
            <w:shd w:fill="F0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jc w:val="center"/>
            </w:pPr>
            <w:r>
              <w:rPr>
                <w:b w:val="0"/>
                <w:color w:val="000000"/>
                <w:sz w:val="18"/>
              </w:rPr>
              <w:t>0.0747</w:t>
            </w:r>
          </w:p>
        </w:tc>
      </w:tr>
    </w:tbl>
    <w:p>
      <w:pPr>
        <w:spacing w:after="0"/>
      </w:pPr>
      <w:r>
        <w:rPr>
          <w:b w:val="0"/>
        </w:rPr>
      </w:r>
    </w:p>
    <w:p>
      <w:pPr>
        <w:pStyle w:val="Heading2"/>
      </w:pPr>
      <w:r>
        <w:t>What the resampling methods show</w:t>
      </w:r>
    </w:p>
    <w:p>
      <w:r>
        <w:rPr>
          <w:b w:val="0"/>
        </w:rPr>
        <w:t>Logistic regression has slightly higher macro F1 in CV5 and LOOCV; LDA ranks slightly higher in CV10 and bootstrap. These small differences do not establish general superiority. Both methods struggle with DI_HT_HY: in LOOCV each identifies only one of 68 cases.</w:t>
      </w:r>
    </w:p>
    <w:p>
      <w:r>
        <w:rPr>
          <w:b w:val="0"/>
        </w:rPr>
        <w:t>The internal holdout fits 1,280 patients and validates on 320. Its single split cannot estimate between-split dispersion. CV5 validates 320 patients per fold, while CV10 validates 160 and fits 1,440 instead of 1,280. Smaller minority validation counts may contribute to the greater CV10 dispersion observed here; this is not a universal variance ranking.</w:t>
      </w:r>
    </w:p>
    <w:p>
      <w:r>
        <w:rPr>
          <w:b w:val="0"/>
        </w:rPr>
        <w:t>LOOCV fits 1,599 patients per iteration and pools all 1,600 out-of-fold predictions before calculating class metrics. A macro F1 SD over single-patient folds would not provide a useful three-class comparison. Bootstrap samples 1,600 positions with replacement and evaluates unsampled patients; approximately 63.2% are distinct fitting patients on average.</w:t>
      </w:r>
    </w:p>
    <w:p>
      <w:r>
        <w:rPr>
          <w:b w:val="0"/>
        </w:rPr>
        <w:t>Folds, repetitions, and bootstrap samples share observations. Their SDs do not directly quantify the variance of the mean performance estimator, and cannot be treated as independent confidence intervals [5]. CV5 with three repetitions remains the configuration-comparison protocol; changing resampling does not itself rebalance the classes.</w:t>
      </w:r>
    </w:p>
    <w:p>
      <w:r>
        <w:br w:type="page"/>
      </w:r>
    </w:p>
    <w:p>
      <w:pPr>
        <w:pStyle w:val="Heading1"/>
      </w:pPr>
      <w:r>
        <w:t>6 Manual feature comparisons and class weights</w:t>
      </w:r>
    </w:p>
    <w:p>
      <w:pPr>
        <w:pStyle w:val="Heading2"/>
      </w:pPr>
      <w:r>
        <w:t>Manual feature reduction</w:t>
      </w:r>
    </w:p>
    <w:p>
      <w:r>
        <w:rPr>
          <w:b w:val="0"/>
        </w:rPr>
        <w:t>The three regression exclusions were reassessed for classification rather than assumed transferable. Jointly removing low_hdl_cholesterol, plasma_value, and ldl_alternative gave the highest mean macro F1 among the tested feature sets: 0.5792 for LDA and 0.5761 for logistic regression, compared with 0.5658 and 0.5675 for the full references.</w:t>
      </w:r>
    </w:p>
    <w:p>
      <w:r>
        <w:rPr>
          <w:b w:val="0"/>
        </w:rPr>
        <w:t>This reduced set was retained for class-weight experiments and the LDA reference. Logistic regression was used for weighting because it directly supports class_weight, not because superiority over LDA had been demonstrated. Candidate feature sets were motivated and selected using the same training data, limiting independence.</w:t>
      </w:r>
    </w:p>
    <w:p>
      <w:pPr>
        <w:pStyle w:val="Heading2"/>
      </w:pPr>
      <w:r>
        <w:t>Partial frequency compensation</w:t>
      </w:r>
    </w:p>
    <w:p>
      <w:r>
        <w:rPr>
          <w:b w:val="0"/>
        </w:rPr>
        <w:t>Experiments following preliminary manual weights defined a power-based compensation rule. For fitting-set class counts n_c, total N, and reference count n_DI:</w:t>
      </w:r>
    </w:p>
    <w:p>
      <m:oMath>
        <m:sSub>
          <m:e>
            <m:r>
              <m:t>u</m:t>
            </m:r>
          </m:e>
          <m:sub>
            <m:r>
              <m:t>c</m:t>
            </m:r>
          </m:sub>
        </m:sSub>
        <m:r>
          <m:t>(α) = </m:t>
        </m:r>
        <m:sSup>
          <m:e>
            <m:r>
              <m:t>(</m:t>
            </m:r>
            <m:f>
              <m:num>
                <m:sSub>
                  <m:e>
                    <m:r>
                      <m:t>n</m:t>
                    </m:r>
                  </m:e>
                  <m:sub>
                    <m:r>
                      <m:t>DI</m:t>
                    </m:r>
                  </m:sub>
                </m:sSub>
              </m:num>
              <m:den>
                <m:sSub>
                  <m:e>
                    <m:r>
                      <m:t>n</m:t>
                    </m:r>
                  </m:e>
                  <m:sub>
                    <m:r>
                      <m:t>c</m:t>
                    </m:r>
                  </m:sub>
                </m:sSub>
              </m:den>
            </m:f>
            <m:r>
              <m:t>)</m:t>
            </m:r>
          </m:e>
          <m:sup>
            <m:r>
              <m:t>α</m:t>
            </m:r>
          </m:sup>
        </m:sSup>
        <m:r>
          <m:t>;    </m:t>
        </m:r>
        <m:sSub>
          <m:e>
            <m:r>
              <m:t>w</m:t>
            </m:r>
          </m:e>
          <m:sub>
            <m:r>
              <m:t>c</m:t>
            </m:r>
          </m:sub>
        </m:sSub>
        <m:r>
          <m:t>(α) = </m:t>
        </m:r>
        <m:f>
          <m:num>
            <m:sSub>
              <m:e>
                <m:r>
                  <m:t>u</m:t>
                </m:r>
              </m:e>
              <m:sub>
                <m:r>
                  <m:t>c</m:t>
                </m:r>
              </m:sub>
            </m:sSub>
            <m:r>
              <m:t>(α)</m:t>
            </m:r>
          </m:num>
          <m:den>
            <m:f>
              <m:num>
                <m:r>
                  <m:t>1</m:t>
                </m:r>
              </m:num>
              <m:den>
                <m:r>
                  <m:t>N</m:t>
                </m:r>
              </m:den>
            </m:f>
            <m:sSub>
              <m:e>
                <m:r>
                  <m:t>Σ</m:t>
                </m:r>
              </m:e>
              <m:sub>
                <m:r>
                  <m:t>j</m:t>
                </m:r>
              </m:sub>
            </m:sSub>
            <m:sSub>
              <m:e>
                <m:r>
                  <m:t>n</m:t>
                </m:r>
              </m:e>
              <m:sub>
                <m:r>
                  <m:t>j</m:t>
                </m:r>
              </m:sub>
            </m:sSub>
            <m:sSub>
              <m:e>
                <m:r>
                  <m:t>u</m:t>
                </m:r>
              </m:e>
              <m:sub>
                <m:r>
                  <m:t>j</m:t>
                </m:r>
              </m:sub>
            </m:sSub>
            <m:r>
              <m:t>(α)</m:t>
            </m:r>
          </m:den>
        </m:f>
      </m:oMath>
    </w:p>
    <w:p>
      <w:r>
        <w:rPr>
          <w:b w:val="0"/>
        </w:rPr>
        <w:t>Normalisation makes the average patient weight equal to 1. It preserves class ratios while preventing a global weight multiplier from also changing the relative regularisation strength at fixed C=1. α controls class compensation, not the regularisation penalty. At α=0 weights are equal; at α=1 the normalised rule matches balanced, N/(K n_c).</w:t>
      </w:r>
    </w:p>
    <w:p>
      <w:pPr>
        <w:pStyle w:val="Caption"/>
      </w:pPr>
      <w:r>
        <w:rPr>
          <w:b w:val="0"/>
        </w:rPr>
        <w:t>Table 4  Weighting trade-offs on the manually reduced feature set using repeated CV5.</w:t>
      </w:r>
    </w:p>
    <w:tbl>
      <w:tblPr>
        <w:tblW w:type="auto" w:w="0"/>
        <w:jc w:val="center"/>
        <w:tblLayout w:type="fixed"/>
        <w:tblLook w:firstColumn="1" w:firstRow="1" w:lastColumn="0" w:lastRow="0" w:noHBand="0" w:noVBand="1" w:val="04A0"/>
      </w:tblPr>
      <w:tblGrid>
        <w:gridCol w:w="2154"/>
        <w:gridCol w:w="1304"/>
        <w:gridCol w:w="1361"/>
        <w:gridCol w:w="1531"/>
        <w:gridCol w:w="1644"/>
        <w:gridCol w:w="1644"/>
      </w:tblGrid>
      <w:tr>
        <w:trPr>
          <w:cantSplit/>
          <w:tblHeader/>
        </w:trPr>
        <w:tc>
          <w:tcPr>
            <w:tcW w:type="dxa" w:w="2154"/>
            <w:vAlign w:val="center"/>
            <w:shd w:fill="183A5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jc w:val="left"/>
            </w:pPr>
            <w:r>
              <w:rPr>
                <w:b/>
                <w:color w:val="FFFFFF"/>
                <w:sz w:val="18"/>
              </w:rPr>
              <w:t>Weight setting</w:t>
            </w:r>
          </w:p>
        </w:tc>
        <w:tc>
          <w:tcPr>
            <w:tcW w:type="dxa" w:w="1304"/>
            <w:vAlign w:val="center"/>
            <w:shd w:fill="183A5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jc w:val="center"/>
            </w:pPr>
            <w:r>
              <w:rPr>
                <w:b/>
                <w:color w:val="FFFFFF"/>
                <w:sz w:val="18"/>
              </w:rPr>
              <w:t>Macro F1</w:t>
            </w:r>
          </w:p>
        </w:tc>
        <w:tc>
          <w:tcPr>
            <w:tcW w:type="dxa" w:w="1361"/>
            <w:vAlign w:val="center"/>
            <w:shd w:fill="183A5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jc w:val="center"/>
            </w:pPr>
            <w:r>
              <w:rPr>
                <w:b/>
                <w:color w:val="FFFFFF"/>
                <w:sz w:val="18"/>
              </w:rPr>
              <w:t>Recall DI</w:t>
            </w:r>
          </w:p>
        </w:tc>
        <w:tc>
          <w:tcPr>
            <w:tcW w:type="dxa" w:w="1531"/>
            <w:vAlign w:val="center"/>
            <w:shd w:fill="183A5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jc w:val="center"/>
            </w:pPr>
            <w:r>
              <w:rPr>
                <w:b/>
                <w:color w:val="FFFFFF"/>
                <w:sz w:val="18"/>
              </w:rPr>
              <w:t>Recall HT_HY</w:t>
            </w:r>
          </w:p>
        </w:tc>
        <w:tc>
          <w:tcPr>
            <w:tcW w:type="dxa" w:w="1644"/>
            <w:vAlign w:val="center"/>
            <w:shd w:fill="183A5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jc w:val="center"/>
            </w:pPr>
            <w:r>
              <w:rPr>
                <w:b/>
                <w:color w:val="FFFFFF"/>
                <w:sz w:val="18"/>
              </w:rPr>
              <w:t>Recall DI_HT_HY</w:t>
            </w:r>
          </w:p>
        </w:tc>
        <w:tc>
          <w:tcPr>
            <w:tcW w:type="dxa" w:w="1644"/>
            <w:vAlign w:val="center"/>
            <w:shd w:fill="183A5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jc w:val="center"/>
            </w:pPr>
            <w:r>
              <w:rPr>
                <w:b/>
                <w:color w:val="FFFFFF"/>
                <w:sz w:val="18"/>
              </w:rPr>
              <w:t>Precision DI_HT_HY</w:t>
            </w:r>
          </w:p>
        </w:tc>
      </w:tr>
      <w:tr>
        <w:trPr>
          <w:cantSplit/>
        </w:trPr>
        <w:tc>
          <w:tcPr>
            <w:tcW w:type="dxa" w:w="215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jc w:val="left"/>
            </w:pPr>
            <w:r>
              <w:rPr>
                <w:b w:val="0"/>
                <w:color w:val="000000"/>
                <w:sz w:val="18"/>
              </w:rPr>
              <w:t>No weights</w:t>
            </w:r>
          </w:p>
        </w:tc>
        <w:tc>
          <w:tcPr>
            <w:tcW w:type="dxa" w:w="130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jc w:val="center"/>
            </w:pPr>
            <w:r>
              <w:rPr>
                <w:b w:val="0"/>
                <w:color w:val="000000"/>
                <w:sz w:val="18"/>
              </w:rPr>
              <w:t>0.5761</w:t>
            </w:r>
          </w:p>
        </w:tc>
        <w:tc>
          <w:tcPr>
            <w:tcW w:type="dxa" w:w="1361"/>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jc w:val="center"/>
            </w:pPr>
            <w:r>
              <w:rPr>
                <w:b w:val="0"/>
                <w:color w:val="000000"/>
                <w:sz w:val="18"/>
              </w:rPr>
              <w:t>0.9898</w:t>
            </w:r>
          </w:p>
        </w:tc>
        <w:tc>
          <w:tcPr>
            <w:tcW w:type="dxa" w:w="1531"/>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jc w:val="center"/>
            </w:pPr>
            <w:r>
              <w:rPr>
                <w:b w:val="0"/>
                <w:color w:val="000000"/>
                <w:sz w:val="18"/>
              </w:rPr>
              <w:t>0.6586</w:t>
            </w:r>
          </w:p>
        </w:tc>
        <w:tc>
          <w:tcPr>
            <w:tcW w:type="dxa" w:w="164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jc w:val="center"/>
            </w:pPr>
            <w:r>
              <w:rPr>
                <w:b w:val="0"/>
                <w:color w:val="000000"/>
                <w:sz w:val="18"/>
              </w:rPr>
              <w:t>0.0242</w:t>
            </w:r>
          </w:p>
        </w:tc>
        <w:tc>
          <w:tcPr>
            <w:tcW w:type="dxa" w:w="164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jc w:val="center"/>
            </w:pPr>
            <w:r>
              <w:rPr>
                <w:b w:val="0"/>
                <w:color w:val="000000"/>
                <w:sz w:val="18"/>
              </w:rPr>
              <w:t>0.1944</w:t>
            </w:r>
          </w:p>
        </w:tc>
      </w:tr>
      <w:tr>
        <w:trPr>
          <w:cantSplit/>
        </w:trPr>
        <w:tc>
          <w:tcPr>
            <w:tcW w:type="dxa" w:w="2154"/>
            <w:vAlign w:val="center"/>
            <w:shd w:fill="F0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jc w:val="left"/>
            </w:pPr>
            <w:r>
              <w:rPr>
                <w:b w:val="0"/>
                <w:color w:val="000000"/>
                <w:sz w:val="18"/>
              </w:rPr>
              <w:t>α = 0.25</w:t>
            </w:r>
          </w:p>
        </w:tc>
        <w:tc>
          <w:tcPr>
            <w:tcW w:type="dxa" w:w="1304"/>
            <w:vAlign w:val="center"/>
            <w:shd w:fill="F0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jc w:val="center"/>
            </w:pPr>
            <w:r>
              <w:rPr>
                <w:b w:val="0"/>
                <w:color w:val="000000"/>
                <w:sz w:val="18"/>
              </w:rPr>
              <w:t>0.5977</w:t>
            </w:r>
          </w:p>
        </w:tc>
        <w:tc>
          <w:tcPr>
            <w:tcW w:type="dxa" w:w="1361"/>
            <w:vAlign w:val="center"/>
            <w:shd w:fill="F0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jc w:val="center"/>
            </w:pPr>
            <w:r>
              <w:rPr>
                <w:b w:val="0"/>
                <w:color w:val="000000"/>
                <w:sz w:val="18"/>
              </w:rPr>
              <w:t>0.9755</w:t>
            </w:r>
          </w:p>
        </w:tc>
        <w:tc>
          <w:tcPr>
            <w:tcW w:type="dxa" w:w="1531"/>
            <w:vAlign w:val="center"/>
            <w:shd w:fill="F0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jc w:val="center"/>
            </w:pPr>
            <w:r>
              <w:rPr>
                <w:b w:val="0"/>
                <w:color w:val="000000"/>
                <w:sz w:val="18"/>
              </w:rPr>
              <w:t>0.7333</w:t>
            </w:r>
          </w:p>
        </w:tc>
        <w:tc>
          <w:tcPr>
            <w:tcW w:type="dxa" w:w="1644"/>
            <w:vAlign w:val="center"/>
            <w:shd w:fill="F0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jc w:val="center"/>
            </w:pPr>
            <w:r>
              <w:rPr>
                <w:b w:val="0"/>
                <w:color w:val="000000"/>
                <w:sz w:val="18"/>
              </w:rPr>
              <w:t>0.0725</w:t>
            </w:r>
          </w:p>
        </w:tc>
        <w:tc>
          <w:tcPr>
            <w:tcW w:type="dxa" w:w="1644"/>
            <w:vAlign w:val="center"/>
            <w:shd w:fill="F0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jc w:val="center"/>
            </w:pPr>
            <w:r>
              <w:rPr>
                <w:b w:val="0"/>
                <w:color w:val="000000"/>
                <w:sz w:val="18"/>
              </w:rPr>
              <w:t>0.2558</w:t>
            </w:r>
          </w:p>
        </w:tc>
      </w:tr>
      <w:tr>
        <w:trPr>
          <w:cantSplit/>
        </w:trPr>
        <w:tc>
          <w:tcPr>
            <w:tcW w:type="dxa" w:w="215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jc w:val="left"/>
            </w:pPr>
            <w:r>
              <w:rPr>
                <w:b w:val="0"/>
                <w:color w:val="000000"/>
                <w:sz w:val="18"/>
              </w:rPr>
              <w:t>α = 0.50</w:t>
            </w:r>
          </w:p>
        </w:tc>
        <w:tc>
          <w:tcPr>
            <w:tcW w:type="dxa" w:w="130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jc w:val="center"/>
            </w:pPr>
            <w:r>
              <w:rPr>
                <w:b w:val="0"/>
                <w:color w:val="000000"/>
                <w:sz w:val="18"/>
              </w:rPr>
              <w:t>0.6048</w:t>
            </w:r>
          </w:p>
        </w:tc>
        <w:tc>
          <w:tcPr>
            <w:tcW w:type="dxa" w:w="1361"/>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jc w:val="center"/>
            </w:pPr>
            <w:r>
              <w:rPr>
                <w:b w:val="0"/>
                <w:color w:val="000000"/>
                <w:sz w:val="18"/>
              </w:rPr>
              <w:t>0.9381</w:t>
            </w:r>
          </w:p>
        </w:tc>
        <w:tc>
          <w:tcPr>
            <w:tcW w:type="dxa" w:w="1531"/>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jc w:val="center"/>
            </w:pPr>
            <w:r>
              <w:rPr>
                <w:b w:val="0"/>
                <w:color w:val="000000"/>
                <w:sz w:val="18"/>
              </w:rPr>
              <w:t>0.7743</w:t>
            </w:r>
          </w:p>
        </w:tc>
        <w:tc>
          <w:tcPr>
            <w:tcW w:type="dxa" w:w="164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jc w:val="center"/>
            </w:pPr>
            <w:r>
              <w:rPr>
                <w:b w:val="0"/>
                <w:color w:val="000000"/>
                <w:sz w:val="18"/>
              </w:rPr>
              <w:t>0.1938</w:t>
            </w:r>
          </w:p>
        </w:tc>
        <w:tc>
          <w:tcPr>
            <w:tcW w:type="dxa" w:w="164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jc w:val="center"/>
            </w:pPr>
            <w:r>
              <w:rPr>
                <w:b w:val="0"/>
                <w:color w:val="000000"/>
                <w:sz w:val="18"/>
              </w:rPr>
              <w:t>0.2000</w:t>
            </w:r>
          </w:p>
        </w:tc>
      </w:tr>
      <w:tr>
        <w:trPr>
          <w:cantSplit/>
        </w:trPr>
        <w:tc>
          <w:tcPr>
            <w:tcW w:type="dxa" w:w="2154"/>
            <w:vAlign w:val="center"/>
            <w:shd w:fill="F0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jc w:val="left"/>
            </w:pPr>
            <w:r>
              <w:rPr>
                <w:b w:val="0"/>
                <w:color w:val="000000"/>
                <w:sz w:val="18"/>
              </w:rPr>
              <w:t>α = 0.75</w:t>
            </w:r>
          </w:p>
        </w:tc>
        <w:tc>
          <w:tcPr>
            <w:tcW w:type="dxa" w:w="1304"/>
            <w:vAlign w:val="center"/>
            <w:shd w:fill="F0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jc w:val="center"/>
            </w:pPr>
            <w:r>
              <w:rPr>
                <w:b w:val="0"/>
                <w:color w:val="000000"/>
                <w:sz w:val="18"/>
              </w:rPr>
              <w:t>0.5863</w:t>
            </w:r>
          </w:p>
        </w:tc>
        <w:tc>
          <w:tcPr>
            <w:tcW w:type="dxa" w:w="1361"/>
            <w:vAlign w:val="center"/>
            <w:shd w:fill="F0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jc w:val="center"/>
            </w:pPr>
            <w:r>
              <w:rPr>
                <w:b w:val="0"/>
                <w:color w:val="000000"/>
                <w:sz w:val="18"/>
              </w:rPr>
              <w:t>0.8443</w:t>
            </w:r>
          </w:p>
        </w:tc>
        <w:tc>
          <w:tcPr>
            <w:tcW w:type="dxa" w:w="1531"/>
            <w:vAlign w:val="center"/>
            <w:shd w:fill="F0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jc w:val="center"/>
            </w:pPr>
            <w:r>
              <w:rPr>
                <w:b w:val="0"/>
                <w:color w:val="000000"/>
                <w:sz w:val="18"/>
              </w:rPr>
              <w:t>0.8157</w:t>
            </w:r>
          </w:p>
        </w:tc>
        <w:tc>
          <w:tcPr>
            <w:tcW w:type="dxa" w:w="1644"/>
            <w:vAlign w:val="center"/>
            <w:shd w:fill="F0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jc w:val="center"/>
            </w:pPr>
            <w:r>
              <w:rPr>
                <w:b w:val="0"/>
                <w:color w:val="000000"/>
                <w:sz w:val="18"/>
              </w:rPr>
              <w:t>0.4289</w:t>
            </w:r>
          </w:p>
        </w:tc>
        <w:tc>
          <w:tcPr>
            <w:tcW w:type="dxa" w:w="1644"/>
            <w:vAlign w:val="center"/>
            <w:shd w:fill="F0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jc w:val="center"/>
            </w:pPr>
            <w:r>
              <w:rPr>
                <w:b w:val="0"/>
                <w:color w:val="000000"/>
                <w:sz w:val="18"/>
              </w:rPr>
              <w:t>0.1479</w:t>
            </w:r>
          </w:p>
        </w:tc>
      </w:tr>
      <w:tr>
        <w:trPr>
          <w:cantSplit/>
        </w:trPr>
        <w:tc>
          <w:tcPr>
            <w:tcW w:type="dxa" w:w="215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jc w:val="left"/>
            </w:pPr>
            <w:r>
              <w:rPr>
                <w:b w:val="0"/>
                <w:color w:val="000000"/>
                <w:sz w:val="18"/>
              </w:rPr>
              <w:t>Balanced or α = 1</w:t>
            </w:r>
          </w:p>
        </w:tc>
        <w:tc>
          <w:tcPr>
            <w:tcW w:type="dxa" w:w="130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jc w:val="center"/>
            </w:pPr>
            <w:r>
              <w:rPr>
                <w:b w:val="0"/>
                <w:color w:val="000000"/>
                <w:sz w:val="18"/>
              </w:rPr>
              <w:t>0.5170</w:t>
            </w:r>
          </w:p>
        </w:tc>
        <w:tc>
          <w:tcPr>
            <w:tcW w:type="dxa" w:w="1361"/>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jc w:val="center"/>
            </w:pPr>
            <w:r>
              <w:rPr>
                <w:b w:val="0"/>
                <w:color w:val="000000"/>
                <w:sz w:val="18"/>
              </w:rPr>
              <w:t>0.7015</w:t>
            </w:r>
          </w:p>
        </w:tc>
        <w:tc>
          <w:tcPr>
            <w:tcW w:type="dxa" w:w="1531"/>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jc w:val="center"/>
            </w:pPr>
            <w:r>
              <w:rPr>
                <w:b w:val="0"/>
                <w:color w:val="000000"/>
                <w:sz w:val="18"/>
              </w:rPr>
              <w:t>0.8307</w:t>
            </w:r>
          </w:p>
        </w:tc>
        <w:tc>
          <w:tcPr>
            <w:tcW w:type="dxa" w:w="164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jc w:val="center"/>
            </w:pPr>
            <w:r>
              <w:rPr>
                <w:b w:val="0"/>
                <w:color w:val="000000"/>
                <w:sz w:val="18"/>
              </w:rPr>
              <w:t>0.4883</w:t>
            </w:r>
          </w:p>
        </w:tc>
        <w:tc>
          <w:tcPr>
            <w:tcW w:type="dxa" w:w="164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jc w:val="center"/>
            </w:pPr>
            <w:r>
              <w:rPr>
                <w:b w:val="0"/>
                <w:color w:val="000000"/>
                <w:sz w:val="18"/>
              </w:rPr>
              <w:t>0.0845</w:t>
            </w:r>
          </w:p>
        </w:tc>
      </w:tr>
    </w:tbl>
    <w:p>
      <w:pPr>
        <w:spacing w:after="0"/>
      </w:pPr>
      <w:r>
        <w:rPr>
          <w:b w:val="0"/>
        </w:rPr>
      </w:r>
    </w:p>
    <w:p>
      <w:r>
        <w:rPr>
          <w:b w:val="0"/>
        </w:rPr>
        <w:t>The grid included α values 0.25, 0.50, 0.75, and 1.00, plus unweighted and balanced references. α=0.50 was selected by the highest mean macro F1 among tested candidates, with SD 0.0652. Greater compensation increased minority recall but also increased false positives and reduced DI recall. No known clinical costs support a uniquely optimal trade-off.</w:t>
      </w:r>
    </w:p>
    <w:p>
      <w:r>
        <w:rPr>
          <w:b w:val="0"/>
        </w:rPr>
        <w:t>Weights are recalculated within every fold and final refit. For all training patients at α=0.50, normalised weights are 0.7566 for DI, 3.0467 for HT_HY, and 3.4855 for DI_HT_HY. Preliminary exploration and reuse of CV make this an empirical choice rather than independent validation or a global optimum.</w:t>
      </w:r>
    </w:p>
    <w:p>
      <w:r>
        <w:br w:type="page"/>
      </w:r>
    </w:p>
    <w:p>
      <w:pPr>
        <w:pStyle w:val="Heading1"/>
      </w:pPr>
      <w:r>
        <w:t>7 Regularisation and automatic feature selection</w:t>
      </w:r>
    </w:p>
    <w:p>
      <w:r>
        <w:rPr>
          <w:b w:val="0"/>
        </w:rPr>
        <w:t>Regularisation restores all 30 original candidate features, producing 40 encoded columns. Both L1 and L2 logistic regression use nominal C=1, α=0.50 weights, identical folds, and standardisation of every encoded column, including dummies. This scaling differs from previous experiments; cross-section differences do not isolate penalisation.</w:t>
      </w:r>
    </w:p>
    <w:p>
      <w:pPr>
        <w:pStyle w:val="Heading2"/>
      </w:pPr>
      <w:r>
        <w:t>Controlled comparison of procedures</w:t>
      </w:r>
    </w:p>
    <w:p>
      <w:r>
        <w:rPr>
          <w:b w:val="0"/>
        </w:rPr>
        <w:t>L1 can set coefficients to zero, while L2 does not automatically select a reduced set [4]. A column is active if at least one of its three class coefficients has absolute value above 0.0001. This avoids relying on a single class coefficient in a multiclass problem.</w:t>
      </w:r>
    </w:p>
    <w:p>
      <w:pPr>
        <w:pStyle w:val="Caption"/>
      </w:pPr>
      <w:r>
        <w:rPr>
          <w:b w:val="0"/>
        </w:rPr>
        <w:t>Table 5  Repeated CV5 comparison with the same scaling, weights, and nominal final C=1.</w:t>
      </w:r>
    </w:p>
    <w:tbl>
      <w:tblPr>
        <w:tblW w:type="auto" w:w="0"/>
        <w:jc w:val="center"/>
        <w:tblLayout w:type="fixed"/>
        <w:tblLook w:firstColumn="1" w:firstRow="1" w:lastColumn="0" w:lastRow="0" w:noHBand="0" w:noVBand="1" w:val="04A0"/>
      </w:tblPr>
      <w:tblGrid>
        <w:gridCol w:w="3402"/>
        <w:gridCol w:w="1417"/>
        <w:gridCol w:w="1417"/>
        <w:gridCol w:w="1701"/>
        <w:gridCol w:w="1701"/>
      </w:tblGrid>
      <w:tr>
        <w:trPr>
          <w:cantSplit/>
          <w:tblHeader/>
        </w:trPr>
        <w:tc>
          <w:tcPr>
            <w:tcW w:type="dxa" w:w="3402"/>
            <w:vAlign w:val="center"/>
            <w:shd w:fill="183A5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jc w:val="left"/>
            </w:pPr>
            <w:r>
              <w:rPr>
                <w:b/>
                <w:color w:val="FFFFFF"/>
                <w:sz w:val="18"/>
              </w:rPr>
              <w:t>Procedure</w:t>
            </w:r>
          </w:p>
        </w:tc>
        <w:tc>
          <w:tcPr>
            <w:tcW w:type="dxa" w:w="1417"/>
            <w:vAlign w:val="center"/>
            <w:shd w:fill="183A5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jc w:val="center"/>
            </w:pPr>
            <w:r>
              <w:rPr>
                <w:b/>
                <w:color w:val="FFFFFF"/>
                <w:sz w:val="18"/>
              </w:rPr>
              <w:t>Macro F1</w:t>
            </w:r>
          </w:p>
        </w:tc>
        <w:tc>
          <w:tcPr>
            <w:tcW w:type="dxa" w:w="1417"/>
            <w:vAlign w:val="center"/>
            <w:shd w:fill="183A5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jc w:val="center"/>
            </w:pPr>
            <w:r>
              <w:rPr>
                <w:b/>
                <w:color w:val="FFFFFF"/>
                <w:sz w:val="18"/>
              </w:rPr>
              <w:t>F1 SD</w:t>
            </w:r>
          </w:p>
        </w:tc>
        <w:tc>
          <w:tcPr>
            <w:tcW w:type="dxa" w:w="1701"/>
            <w:vAlign w:val="center"/>
            <w:shd w:fill="183A5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jc w:val="center"/>
            </w:pPr>
            <w:r>
              <w:rPr>
                <w:b/>
                <w:color w:val="FFFFFF"/>
                <w:sz w:val="18"/>
              </w:rPr>
              <w:t>Mean input columns</w:t>
            </w:r>
          </w:p>
        </w:tc>
        <w:tc>
          <w:tcPr>
            <w:tcW w:type="dxa" w:w="1701"/>
            <w:vAlign w:val="center"/>
            <w:shd w:fill="183A5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jc w:val="center"/>
            </w:pPr>
            <w:r>
              <w:rPr>
                <w:b/>
                <w:color w:val="FFFFFF"/>
                <w:sz w:val="18"/>
              </w:rPr>
              <w:t>Recall DI_HT_HY</w:t>
            </w:r>
          </w:p>
        </w:tc>
      </w:tr>
      <w:tr>
        <w:trPr>
          <w:cantSplit/>
        </w:trPr>
        <w:tc>
          <w:tcPr>
            <w:tcW w:type="dxa" w:w="340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jc w:val="left"/>
            </w:pPr>
            <w:r>
              <w:rPr>
                <w:b w:val="0"/>
                <w:color w:val="000000"/>
                <w:sz w:val="18"/>
              </w:rPr>
              <w:t>Full L2</w:t>
            </w:r>
          </w:p>
        </w:tc>
        <w:tc>
          <w:tcPr>
            <w:tcW w:type="dxa" w:w="1417"/>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jc w:val="center"/>
            </w:pPr>
            <w:r>
              <w:rPr>
                <w:b w:val="0"/>
                <w:color w:val="000000"/>
                <w:sz w:val="18"/>
              </w:rPr>
              <w:t>0.6073</w:t>
            </w:r>
          </w:p>
        </w:tc>
        <w:tc>
          <w:tcPr>
            <w:tcW w:type="dxa" w:w="1417"/>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jc w:val="center"/>
            </w:pPr>
            <w:r>
              <w:rPr>
                <w:b w:val="0"/>
                <w:color w:val="000000"/>
                <w:sz w:val="18"/>
              </w:rPr>
              <w:t>0.0666</w:t>
            </w:r>
          </w:p>
        </w:tc>
        <w:tc>
          <w:tcPr>
            <w:tcW w:type="dxa" w:w="1701"/>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jc w:val="center"/>
            </w:pPr>
            <w:r>
              <w:rPr>
                <w:b w:val="0"/>
                <w:color w:val="000000"/>
                <w:sz w:val="18"/>
              </w:rPr>
              <w:t>40.0</w:t>
            </w:r>
          </w:p>
        </w:tc>
        <w:tc>
          <w:tcPr>
            <w:tcW w:type="dxa" w:w="1701"/>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jc w:val="center"/>
            </w:pPr>
            <w:r>
              <w:rPr>
                <w:b w:val="0"/>
                <w:color w:val="000000"/>
                <w:sz w:val="18"/>
              </w:rPr>
              <w:t>0.2381</w:t>
            </w:r>
          </w:p>
        </w:tc>
      </w:tr>
      <w:tr>
        <w:trPr>
          <w:cantSplit/>
        </w:trPr>
        <w:tc>
          <w:tcPr>
            <w:tcW w:type="dxa" w:w="3402"/>
            <w:vAlign w:val="center"/>
            <w:shd w:fill="F0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jc w:val="left"/>
            </w:pPr>
            <w:r>
              <w:rPr>
                <w:b w:val="0"/>
                <w:color w:val="000000"/>
                <w:sz w:val="18"/>
              </w:rPr>
              <w:t>Full L1</w:t>
            </w:r>
          </w:p>
        </w:tc>
        <w:tc>
          <w:tcPr>
            <w:tcW w:type="dxa" w:w="1417"/>
            <w:vAlign w:val="center"/>
            <w:shd w:fill="F0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jc w:val="center"/>
            </w:pPr>
            <w:r>
              <w:rPr>
                <w:b w:val="0"/>
                <w:color w:val="000000"/>
                <w:sz w:val="18"/>
              </w:rPr>
              <w:t>0.6057</w:t>
            </w:r>
          </w:p>
        </w:tc>
        <w:tc>
          <w:tcPr>
            <w:tcW w:type="dxa" w:w="1417"/>
            <w:vAlign w:val="center"/>
            <w:shd w:fill="F0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jc w:val="center"/>
            </w:pPr>
            <w:r>
              <w:rPr>
                <w:b w:val="0"/>
                <w:color w:val="000000"/>
                <w:sz w:val="18"/>
              </w:rPr>
              <w:t>0.0635</w:t>
            </w:r>
          </w:p>
        </w:tc>
        <w:tc>
          <w:tcPr>
            <w:tcW w:type="dxa" w:w="1701"/>
            <w:vAlign w:val="center"/>
            <w:shd w:fill="F0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jc w:val="center"/>
            </w:pPr>
            <w:r>
              <w:rPr>
                <w:b w:val="0"/>
                <w:color w:val="000000"/>
                <w:sz w:val="18"/>
              </w:rPr>
              <w:t>40.0</w:t>
            </w:r>
          </w:p>
        </w:tc>
        <w:tc>
          <w:tcPr>
            <w:tcW w:type="dxa" w:w="1701"/>
            <w:vAlign w:val="center"/>
            <w:shd w:fill="F0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jc w:val="center"/>
            </w:pPr>
            <w:r>
              <w:rPr>
                <w:b w:val="0"/>
                <w:color w:val="000000"/>
                <w:sz w:val="18"/>
              </w:rPr>
              <w:t>0.2282</w:t>
            </w:r>
          </w:p>
        </w:tc>
      </w:tr>
      <w:tr>
        <w:trPr>
          <w:cantSplit/>
        </w:trPr>
        <w:tc>
          <w:tcPr>
            <w:tcW w:type="dxa" w:w="340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jc w:val="left"/>
            </w:pPr>
            <w:r>
              <w:rPr>
                <w:b w:val="0"/>
                <w:color w:val="000000"/>
                <w:sz w:val="18"/>
              </w:rPr>
              <w:t>L1 selection then L2</w:t>
            </w:r>
          </w:p>
        </w:tc>
        <w:tc>
          <w:tcPr>
            <w:tcW w:type="dxa" w:w="1417"/>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jc w:val="center"/>
            </w:pPr>
            <w:r>
              <w:rPr>
                <w:b w:val="0"/>
                <w:color w:val="000000"/>
                <w:sz w:val="18"/>
              </w:rPr>
              <w:t>0.6163</w:t>
            </w:r>
          </w:p>
        </w:tc>
        <w:tc>
          <w:tcPr>
            <w:tcW w:type="dxa" w:w="1417"/>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jc w:val="center"/>
            </w:pPr>
            <w:r>
              <w:rPr>
                <w:b w:val="0"/>
                <w:color w:val="000000"/>
                <w:sz w:val="18"/>
              </w:rPr>
              <w:t>0.0590</w:t>
            </w:r>
          </w:p>
        </w:tc>
        <w:tc>
          <w:tcPr>
            <w:tcW w:type="dxa" w:w="1701"/>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jc w:val="center"/>
            </w:pPr>
            <w:r>
              <w:rPr>
                <w:b w:val="0"/>
                <w:color w:val="000000"/>
                <w:sz w:val="18"/>
              </w:rPr>
              <w:t>25.6</w:t>
            </w:r>
          </w:p>
        </w:tc>
        <w:tc>
          <w:tcPr>
            <w:tcW w:type="dxa" w:w="1701"/>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jc w:val="center"/>
            </w:pPr>
            <w:r>
              <w:rPr>
                <w:b w:val="0"/>
                <w:color w:val="000000"/>
                <w:sz w:val="18"/>
              </w:rPr>
              <w:t>0.2432</w:t>
            </w:r>
          </w:p>
        </w:tc>
      </w:tr>
      <w:tr>
        <w:trPr>
          <w:cantSplit/>
        </w:trPr>
        <w:tc>
          <w:tcPr>
            <w:tcW w:type="dxa" w:w="3402"/>
            <w:vAlign w:val="center"/>
            <w:shd w:fill="F0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jc w:val="left"/>
            </w:pPr>
            <w:r>
              <w:rPr>
                <w:b w:val="0"/>
                <w:color w:val="000000"/>
                <w:sz w:val="18"/>
              </w:rPr>
              <w:t>L2 top50% then L2</w:t>
            </w:r>
          </w:p>
        </w:tc>
        <w:tc>
          <w:tcPr>
            <w:tcW w:type="dxa" w:w="1417"/>
            <w:vAlign w:val="center"/>
            <w:shd w:fill="F0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jc w:val="center"/>
            </w:pPr>
            <w:r>
              <w:rPr>
                <w:b w:val="0"/>
                <w:color w:val="000000"/>
                <w:sz w:val="18"/>
              </w:rPr>
              <w:t>0.5982</w:t>
            </w:r>
          </w:p>
        </w:tc>
        <w:tc>
          <w:tcPr>
            <w:tcW w:type="dxa" w:w="1417"/>
            <w:vAlign w:val="center"/>
            <w:shd w:fill="F0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jc w:val="center"/>
            </w:pPr>
            <w:r>
              <w:rPr>
                <w:b w:val="0"/>
                <w:color w:val="000000"/>
                <w:sz w:val="18"/>
              </w:rPr>
              <w:t>0.0581</w:t>
            </w:r>
          </w:p>
        </w:tc>
        <w:tc>
          <w:tcPr>
            <w:tcW w:type="dxa" w:w="1701"/>
            <w:vAlign w:val="center"/>
            <w:shd w:fill="F0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jc w:val="center"/>
            </w:pPr>
            <w:r>
              <w:rPr>
                <w:b w:val="0"/>
                <w:color w:val="000000"/>
                <w:sz w:val="18"/>
              </w:rPr>
              <w:t>20.0</w:t>
            </w:r>
          </w:p>
        </w:tc>
        <w:tc>
          <w:tcPr>
            <w:tcW w:type="dxa" w:w="1701"/>
            <w:vAlign w:val="center"/>
            <w:shd w:fill="F0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jc w:val="center"/>
            </w:pPr>
            <w:r>
              <w:rPr>
                <w:b w:val="0"/>
                <w:color w:val="000000"/>
                <w:sz w:val="18"/>
              </w:rPr>
              <w:t>0.1788</w:t>
            </w:r>
          </w:p>
        </w:tc>
      </w:tr>
    </w:tbl>
    <w:p>
      <w:pPr>
        <w:spacing w:after="0"/>
      </w:pPr>
      <w:r>
        <w:rPr>
          <w:b w:val="0"/>
        </w:rPr>
      </w:r>
    </w:p>
    <w:p>
      <w:r>
        <w:rPr>
          <w:b w:val="0"/>
        </w:rPr>
        <w:t>At C=1, full L1 retained 39.13 active columns on average, so its sparsity benefit was small. A stronger L1 selector with C=0.1, chosen after preliminary exploration, was therefore assessed before L2 refitting with C=1. It selected 24–30 columns across folds, with a mean of 25.6.</w:t>
      </w:r>
    </w:p>
    <w:p>
      <w:r>
        <w:rPr>
          <w:b w:val="0"/>
        </w:rPr>
        <w:t>The L2-based alternative retained the top 50% of columns ranked by the norm of coefficients across all classes, then refitted L2. This is an explicit exploratory selection rule added to Ridge, not an automatic sparsity property of L2.</w:t>
      </w:r>
    </w:p>
    <w:p>
      <w:pPr>
        <w:pStyle w:val="Heading2"/>
      </w:pPr>
      <w:r>
        <w:t>Interpretation and implementation</w:t>
      </w:r>
    </w:p>
    <w:p>
      <w:r>
        <w:rPr>
          <w:b w:val="0"/>
        </w:rPr>
        <w:t>L1 selection followed by L2 had the highest mean macro F1, improving on full L2 by 0.0091 and in eight of 15 evaluations. The advantage was not consistent across folds and does not demonstrate statistical superiority. Its DI, HT_HY, and DI_HT_HY precision/recall values were 0.9560/0.9307, 0.6129/0.7861, and 0.2088/0.2432.</w:t>
      </w:r>
    </w:p>
    <w:p>
      <w:r>
        <w:rPr>
          <w:b w:val="0"/>
        </w:rPr>
        <w:t>Categories, scale, weights, and selection were fitted inside each fold. Final columns are relearned on all training patients, not obtained from a union of fold selections. SAGA uses tol=0.0001 and max_iter=50000; convergence warnings stop fitting. Dividing all weights by their maximum k and multiplying internal C by k preserves the nominal penalised objective while improving numerical stability.</w:t>
      </w:r>
    </w:p>
    <w:p>
      <w:r>
        <w:rPr>
          <w:b w:val="0"/>
        </w:rPr>
        <w:t>A dummy can be selected independently of other categories. Zero coefficients are conditional on the remaining features, scaling, penalty, and sample; they do not prove clinical irrelevance. Previous selection of α and selector C on the same data limits assessment of the complete procedure.</w:t>
      </w:r>
    </w:p>
    <w:p>
      <w:r>
        <w:br w:type="page"/>
      </w:r>
    </w:p>
    <w:p>
      <w:pPr>
        <w:pStyle w:val="Heading1"/>
      </w:pPr>
      <w:r>
        <w:t>8 Classification on the original test set</w:t>
      </w:r>
    </w:p>
    <w:p>
      <w:r>
        <w:rPr>
          <w:b w:val="0"/>
        </w:rPr>
        <w:t>All candidates were refitted on the same 1,600 training patients and evaluated on 400 test patients. No configuration was revised using these test scores. The two logistic models share nominal C=1, normalised α=0.50 weights, and all-column scaling; only the feature-selection procedure differs. LDA retains manual exclusions and numerical-only scaling without class weights.</w:t>
      </w:r>
    </w:p>
    <w:p>
      <w:pPr>
        <w:pStyle w:val="Caption"/>
      </w:pPr>
      <w:r>
        <w:rPr>
          <w:b w:val="0"/>
        </w:rPr>
        <w:t>Table 6  Classification test results. The logistic comparison controls weights, scaling, and final C.</w:t>
      </w:r>
    </w:p>
    <w:tbl>
      <w:tblPr>
        <w:tblW w:type="auto" w:w="0"/>
        <w:jc w:val="center"/>
        <w:tblLayout w:type="fixed"/>
        <w:tblLook w:firstColumn="1" w:firstRow="1" w:lastColumn="0" w:lastRow="0" w:noHBand="0" w:noVBand="1" w:val="04A0"/>
      </w:tblPr>
      <w:tblGrid>
        <w:gridCol w:w="2721"/>
        <w:gridCol w:w="964"/>
        <w:gridCol w:w="1361"/>
        <w:gridCol w:w="1361"/>
        <w:gridCol w:w="1644"/>
        <w:gridCol w:w="1587"/>
      </w:tblGrid>
      <w:tr>
        <w:trPr>
          <w:cantSplit/>
          <w:tblHeader/>
        </w:trPr>
        <w:tc>
          <w:tcPr>
            <w:tcW w:type="dxa" w:w="2721"/>
            <w:vAlign w:val="center"/>
            <w:shd w:fill="183A5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jc w:val="left"/>
            </w:pPr>
            <w:r>
              <w:rPr>
                <w:b/>
                <w:color w:val="FFFFFF"/>
                <w:sz w:val="18"/>
              </w:rPr>
              <w:t>Model</w:t>
            </w:r>
          </w:p>
        </w:tc>
        <w:tc>
          <w:tcPr>
            <w:tcW w:type="dxa" w:w="964"/>
            <w:vAlign w:val="center"/>
            <w:shd w:fill="183A5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jc w:val="center"/>
            </w:pPr>
            <w:r>
              <w:rPr>
                <w:b/>
                <w:color w:val="FFFFFF"/>
                <w:sz w:val="18"/>
              </w:rPr>
              <w:t>Columns</w:t>
            </w:r>
          </w:p>
        </w:tc>
        <w:tc>
          <w:tcPr>
            <w:tcW w:type="dxa" w:w="1361"/>
            <w:vAlign w:val="center"/>
            <w:shd w:fill="183A5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jc w:val="center"/>
            </w:pPr>
            <w:r>
              <w:rPr>
                <w:b/>
                <w:color w:val="FFFFFF"/>
                <w:sz w:val="18"/>
              </w:rPr>
              <w:t>Accuracy</w:t>
            </w:r>
          </w:p>
        </w:tc>
        <w:tc>
          <w:tcPr>
            <w:tcW w:type="dxa" w:w="1361"/>
            <w:vAlign w:val="center"/>
            <w:shd w:fill="183A5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jc w:val="center"/>
            </w:pPr>
            <w:r>
              <w:rPr>
                <w:b/>
                <w:color w:val="FFFFFF"/>
                <w:sz w:val="18"/>
              </w:rPr>
              <w:t>Macro F1</w:t>
            </w:r>
          </w:p>
        </w:tc>
        <w:tc>
          <w:tcPr>
            <w:tcW w:type="dxa" w:w="1644"/>
            <w:vAlign w:val="center"/>
            <w:shd w:fill="183A5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jc w:val="center"/>
            </w:pPr>
            <w:r>
              <w:rPr>
                <w:b/>
                <w:color w:val="FFFFFF"/>
                <w:sz w:val="18"/>
              </w:rPr>
              <w:t>Precision DI_HT_HY</w:t>
            </w:r>
          </w:p>
        </w:tc>
        <w:tc>
          <w:tcPr>
            <w:tcW w:type="dxa" w:w="1587"/>
            <w:vAlign w:val="center"/>
            <w:shd w:fill="183A5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jc w:val="center"/>
            </w:pPr>
            <w:r>
              <w:rPr>
                <w:b/>
                <w:color w:val="FFFFFF"/>
                <w:sz w:val="18"/>
              </w:rPr>
              <w:t>Recall DI_HT_HY</w:t>
            </w:r>
          </w:p>
        </w:tc>
      </w:tr>
      <w:tr>
        <w:trPr>
          <w:cantSplit/>
        </w:trPr>
        <w:tc>
          <w:tcPr>
            <w:tcW w:type="dxa" w:w="2721"/>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jc w:val="left"/>
            </w:pPr>
            <w:r>
              <w:rPr>
                <w:b w:val="0"/>
                <w:color w:val="000000"/>
                <w:sz w:val="18"/>
              </w:rPr>
              <w:t>Majority baseline</w:t>
            </w:r>
          </w:p>
        </w:tc>
        <w:tc>
          <w:tcPr>
            <w:tcW w:type="dxa" w:w="96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jc w:val="center"/>
            </w:pPr>
            <w:r>
              <w:rPr>
                <w:b w:val="0"/>
                <w:color w:val="000000"/>
                <w:sz w:val="18"/>
              </w:rPr>
              <w:t>0</w:t>
            </w:r>
          </w:p>
        </w:tc>
        <w:tc>
          <w:tcPr>
            <w:tcW w:type="dxa" w:w="1361"/>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jc w:val="center"/>
            </w:pPr>
            <w:r>
              <w:rPr>
                <w:b w:val="0"/>
                <w:color w:val="000000"/>
                <w:sz w:val="18"/>
              </w:rPr>
              <w:t>0.8950</w:t>
            </w:r>
          </w:p>
        </w:tc>
        <w:tc>
          <w:tcPr>
            <w:tcW w:type="dxa" w:w="1361"/>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jc w:val="center"/>
            </w:pPr>
            <w:r>
              <w:rPr>
                <w:b w:val="0"/>
                <w:color w:val="000000"/>
                <w:sz w:val="18"/>
              </w:rPr>
              <w:t>0.3149</w:t>
            </w:r>
          </w:p>
        </w:tc>
        <w:tc>
          <w:tcPr>
            <w:tcW w:type="dxa" w:w="164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jc w:val="center"/>
            </w:pPr>
            <w:r>
              <w:rPr>
                <w:b w:val="0"/>
                <w:color w:val="000000"/>
                <w:sz w:val="18"/>
              </w:rPr>
              <w:t>0.0000</w:t>
            </w:r>
          </w:p>
        </w:tc>
        <w:tc>
          <w:tcPr>
            <w:tcW w:type="dxa" w:w="1587"/>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jc w:val="center"/>
            </w:pPr>
            <w:r>
              <w:rPr>
                <w:b w:val="0"/>
                <w:color w:val="000000"/>
                <w:sz w:val="18"/>
              </w:rPr>
              <w:t>0.0000</w:t>
            </w:r>
          </w:p>
        </w:tc>
      </w:tr>
      <w:tr>
        <w:trPr>
          <w:cantSplit/>
        </w:trPr>
        <w:tc>
          <w:tcPr>
            <w:tcW w:type="dxa" w:w="2721"/>
            <w:vAlign w:val="center"/>
            <w:shd w:fill="F0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jc w:val="left"/>
            </w:pPr>
            <w:r>
              <w:rPr>
                <w:b w:val="0"/>
                <w:color w:val="000000"/>
                <w:sz w:val="18"/>
              </w:rPr>
              <w:t>Reduced LDA</w:t>
            </w:r>
          </w:p>
        </w:tc>
        <w:tc>
          <w:tcPr>
            <w:tcW w:type="dxa" w:w="964"/>
            <w:vAlign w:val="center"/>
            <w:shd w:fill="F0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jc w:val="center"/>
            </w:pPr>
            <w:r>
              <w:rPr>
                <w:b w:val="0"/>
                <w:color w:val="000000"/>
                <w:sz w:val="18"/>
              </w:rPr>
              <w:t>37</w:t>
            </w:r>
          </w:p>
        </w:tc>
        <w:tc>
          <w:tcPr>
            <w:tcW w:type="dxa" w:w="1361"/>
            <w:vAlign w:val="center"/>
            <w:shd w:fill="F0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jc w:val="center"/>
            </w:pPr>
            <w:r>
              <w:rPr>
                <w:b w:val="0"/>
                <w:color w:val="000000"/>
                <w:sz w:val="18"/>
              </w:rPr>
              <w:t>0.9150</w:t>
            </w:r>
          </w:p>
        </w:tc>
        <w:tc>
          <w:tcPr>
            <w:tcW w:type="dxa" w:w="1361"/>
            <w:vAlign w:val="center"/>
            <w:shd w:fill="F0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jc w:val="center"/>
            </w:pPr>
            <w:r>
              <w:rPr>
                <w:b w:val="0"/>
                <w:color w:val="000000"/>
                <w:sz w:val="18"/>
              </w:rPr>
              <w:t>0.5859</w:t>
            </w:r>
          </w:p>
        </w:tc>
        <w:tc>
          <w:tcPr>
            <w:tcW w:type="dxa" w:w="1644"/>
            <w:vAlign w:val="center"/>
            <w:shd w:fill="F0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jc w:val="center"/>
            </w:pPr>
            <w:r>
              <w:rPr>
                <w:b w:val="0"/>
                <w:color w:val="000000"/>
                <w:sz w:val="18"/>
              </w:rPr>
              <w:t>0.3333</w:t>
            </w:r>
          </w:p>
        </w:tc>
        <w:tc>
          <w:tcPr>
            <w:tcW w:type="dxa" w:w="1587"/>
            <w:vAlign w:val="center"/>
            <w:shd w:fill="F0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jc w:val="center"/>
            </w:pPr>
            <w:r>
              <w:rPr>
                <w:b w:val="0"/>
                <w:color w:val="000000"/>
                <w:sz w:val="18"/>
              </w:rPr>
              <w:t>0.0385</w:t>
            </w:r>
          </w:p>
        </w:tc>
      </w:tr>
      <w:tr>
        <w:trPr>
          <w:cantSplit/>
        </w:trPr>
        <w:tc>
          <w:tcPr>
            <w:tcW w:type="dxa" w:w="2721"/>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jc w:val="left"/>
            </w:pPr>
            <w:r>
              <w:rPr>
                <w:b w:val="0"/>
                <w:color w:val="000000"/>
                <w:sz w:val="18"/>
              </w:rPr>
              <w:t>Full L2</w:t>
            </w:r>
          </w:p>
        </w:tc>
        <w:tc>
          <w:tcPr>
            <w:tcW w:type="dxa" w:w="96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jc w:val="center"/>
            </w:pPr>
            <w:r>
              <w:rPr>
                <w:b w:val="0"/>
                <w:color w:val="000000"/>
                <w:sz w:val="18"/>
              </w:rPr>
              <w:t>40</w:t>
            </w:r>
          </w:p>
        </w:tc>
        <w:tc>
          <w:tcPr>
            <w:tcW w:type="dxa" w:w="1361"/>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jc w:val="center"/>
            </w:pPr>
            <w:r>
              <w:rPr>
                <w:b w:val="0"/>
                <w:color w:val="000000"/>
                <w:sz w:val="18"/>
              </w:rPr>
              <w:t>0.8725</w:t>
            </w:r>
          </w:p>
        </w:tc>
        <w:tc>
          <w:tcPr>
            <w:tcW w:type="dxa" w:w="1361"/>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jc w:val="center"/>
            </w:pPr>
            <w:r>
              <w:rPr>
                <w:b w:val="0"/>
                <w:color w:val="000000"/>
                <w:sz w:val="18"/>
              </w:rPr>
              <w:t>0.5981</w:t>
            </w:r>
          </w:p>
        </w:tc>
        <w:tc>
          <w:tcPr>
            <w:tcW w:type="dxa" w:w="164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jc w:val="center"/>
            </w:pPr>
            <w:r>
              <w:rPr>
                <w:b w:val="0"/>
                <w:color w:val="000000"/>
                <w:sz w:val="18"/>
              </w:rPr>
              <w:t>0.1600</w:t>
            </w:r>
          </w:p>
        </w:tc>
        <w:tc>
          <w:tcPr>
            <w:tcW w:type="dxa" w:w="1587"/>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jc w:val="center"/>
            </w:pPr>
            <w:r>
              <w:rPr>
                <w:b w:val="0"/>
                <w:color w:val="000000"/>
                <w:sz w:val="18"/>
              </w:rPr>
              <w:t>0.1538</w:t>
            </w:r>
          </w:p>
        </w:tc>
      </w:tr>
      <w:tr>
        <w:trPr>
          <w:cantSplit/>
        </w:trPr>
        <w:tc>
          <w:tcPr>
            <w:tcW w:type="dxa" w:w="2721"/>
            <w:vAlign w:val="center"/>
            <w:shd w:fill="F0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jc w:val="left"/>
            </w:pPr>
            <w:r>
              <w:rPr>
                <w:b w:val="0"/>
                <w:color w:val="000000"/>
                <w:sz w:val="18"/>
              </w:rPr>
              <w:t>L1 selection then L2</w:t>
            </w:r>
          </w:p>
        </w:tc>
        <w:tc>
          <w:tcPr>
            <w:tcW w:type="dxa" w:w="964"/>
            <w:vAlign w:val="center"/>
            <w:shd w:fill="F0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jc w:val="center"/>
            </w:pPr>
            <w:r>
              <w:rPr>
                <w:b w:val="0"/>
                <w:color w:val="000000"/>
                <w:sz w:val="18"/>
              </w:rPr>
              <w:t>26</w:t>
            </w:r>
          </w:p>
        </w:tc>
        <w:tc>
          <w:tcPr>
            <w:tcW w:type="dxa" w:w="1361"/>
            <w:vAlign w:val="center"/>
            <w:shd w:fill="F0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jc w:val="center"/>
            </w:pPr>
            <w:r>
              <w:rPr>
                <w:b w:val="0"/>
                <w:color w:val="000000"/>
                <w:sz w:val="18"/>
              </w:rPr>
              <w:t>0.8750</w:t>
            </w:r>
          </w:p>
        </w:tc>
        <w:tc>
          <w:tcPr>
            <w:tcW w:type="dxa" w:w="1361"/>
            <w:vAlign w:val="center"/>
            <w:shd w:fill="F0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jc w:val="center"/>
            </w:pPr>
            <w:r>
              <w:rPr>
                <w:b w:val="0"/>
                <w:color w:val="000000"/>
                <w:sz w:val="18"/>
              </w:rPr>
              <w:t>0.5996</w:t>
            </w:r>
          </w:p>
        </w:tc>
        <w:tc>
          <w:tcPr>
            <w:tcW w:type="dxa" w:w="1644"/>
            <w:vAlign w:val="center"/>
            <w:shd w:fill="F0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jc w:val="center"/>
            </w:pPr>
            <w:r>
              <w:rPr>
                <w:b w:val="0"/>
                <w:color w:val="000000"/>
                <w:sz w:val="18"/>
              </w:rPr>
              <w:t>0.1667</w:t>
            </w:r>
          </w:p>
        </w:tc>
        <w:tc>
          <w:tcPr>
            <w:tcW w:type="dxa" w:w="1587"/>
            <w:vAlign w:val="center"/>
            <w:shd w:fill="F0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line="252" w:lineRule="auto"/>
              <w:jc w:val="center"/>
            </w:pPr>
            <w:r>
              <w:rPr>
                <w:b w:val="0"/>
                <w:color w:val="000000"/>
                <w:sz w:val="18"/>
              </w:rPr>
              <w:t>0.1538</w:t>
            </w:r>
          </w:p>
        </w:tc>
      </w:tr>
    </w:tbl>
    <w:p>
      <w:pPr>
        <w:spacing w:after="0"/>
      </w:pPr>
      <w:r>
        <w:rPr>
          <w:b w:val="0"/>
        </w:rPr>
      </w:r>
    </w:p>
    <w:p>
      <w:pPr>
        <w:spacing w:after="60"/>
        <w:jc w:val="center"/>
      </w:pPr>
      <w:r>
        <w:drawing>
          <wp:inline xmlns:a="http://schemas.openxmlformats.org/drawingml/2006/main" xmlns:pic="http://schemas.openxmlformats.org/drawingml/2006/picture">
            <wp:extent cx="5943600" cy="2311400"/>
            <wp:docPr id="2" name="Picture 2" descr="Test recall comparison between manually reduced LDA and selected logistic regression"/>
            <wp:cNvGraphicFramePr>
              <a:graphicFrameLocks noChangeAspect="1"/>
            </wp:cNvGraphicFramePr>
            <a:graphic>
              <a:graphicData uri="http://schemas.openxmlformats.org/drawingml/2006/picture">
                <pic:pic>
                  <pic:nvPicPr>
                    <pic:cNvPr id="0" name="test_recall.png"/>
                    <pic:cNvPicPr/>
                  </pic:nvPicPr>
                  <pic:blipFill>
                    <a:blip r:embed="rId12"/>
                    <a:stretch>
                      <a:fillRect/>
                    </a:stretch>
                  </pic:blipFill>
                  <pic:spPr>
                    <a:xfrm>
                      <a:off x="0" y="0"/>
                      <a:ext cx="5943600" cy="2311400"/>
                    </a:xfrm>
                    <a:prstGeom prst="rect"/>
                  </pic:spPr>
                </pic:pic>
              </a:graphicData>
            </a:graphic>
          </wp:inline>
        </w:drawing>
      </w:r>
    </w:p>
    <w:p>
      <w:pPr>
        <w:pStyle w:val="Caption"/>
      </w:pPr>
      <w:r>
        <w:rPr>
          <w:b w:val="0"/>
        </w:rPr>
        <w:t>Figure 2  Test recall by class. LDA and the selected logistic procedure differ in more than feature selection.</w:t>
      </w:r>
    </w:p>
    <w:p>
      <w:r>
        <w:rPr>
          <w:b w:val="0"/>
        </w:rPr>
        <w:t>The selected logistic model correctly identified 334/358 DI, 12/16 HT_HY, and 4/26 DI_HT_HY patients. For DI_HT_HY, four of 24 positive predictions were correct; 20 of the actual cases were predicted as DI and two as HT_HY. Its 0.1538 recall and 0.1667 precision remain inadequate for a clinical decision claim.</w:t>
      </w:r>
    </w:p>
    <w:p>
      <w:r>
        <w:rPr>
          <w:b w:val="0"/>
        </w:rPr>
        <w:t>Compared with full L2, feature selection added only one correct DI prediction, with unchanged minority correct counts. The concrete gain is reducing encoded columns from 40 to 26, or 35%, with close observed scores. A macro F1 difference of 0.0015 proves neither meaningful improvement nor statistical equivalence.</w:t>
      </w:r>
    </w:p>
    <w:p>
      <w:r>
        <w:rPr>
          <w:b w:val="0"/>
        </w:rPr>
        <w:t>The selected procedure had lower test macro F1 than mean CV macro F1 (0.5996 versus 0.6163). Only 16 HT_HY and 26 DI_HT_HY cases are available: one additional correct case changes recall by 6.25 and approximately 3.85 percentage points, respectively. Prior test inspection prevents treating this as an independent final validation.</w:t>
      </w:r>
    </w:p>
    <w:p>
      <w:r>
        <w:br w:type="page"/>
      </w:r>
    </w:p>
    <w:p>
      <w:pPr>
        <w:pStyle w:val="Heading1"/>
      </w:pPr>
      <w:r>
        <w:t>9 Discussion and conclusions</w:t>
      </w:r>
    </w:p>
    <w:p>
      <w:pPr>
        <w:pStyle w:val="Heading2"/>
      </w:pPr>
      <w:r>
        <w:t>What the experiments support</w:t>
      </w:r>
    </w:p>
    <w:p>
      <w:r>
        <w:rPr>
          <w:b w:val="0"/>
        </w:rPr>
        <w:t>Regression provides only modest improvement over predicting the training mean. Weak numerical associations, overlapping categorical distributions, and low evaluated R² are consistent with limited linear signal, but they do not identify a unique cause of poor prediction. The multiple model is preferred by internal RMSE selection; its slightly higher MAE than simple regression demonstrates that this choice depends on the error measure.</w:t>
      </w:r>
    </w:p>
    <w:p>
      <w:r>
        <w:rPr>
          <w:b w:val="0"/>
        </w:rPr>
        <w:t>For classification, accuracy is dominated by DI. The test majority baseline already achieves 0.8950 accuracy, while LDA reaches 0.9150 but identifies only one DI_HT_HY patient. Class weighting increases minority recall at the cost of additional false positives and reduced DI recall. Without specified clinical error costs, these are empirical performance trade-offs rather than a validated operating policy.</w:t>
      </w:r>
    </w:p>
    <w:p>
      <w:r>
        <w:rPr>
          <w:b w:val="0"/>
        </w:rPr>
        <w:t>The selected final classifier is L2 logistic regression with nominal C=1, normalised frequency weights with α=0.50, and L1 selection with C=0.1. Its selection follows the highest mean macro F1 among the final internal procedures. The clearest benefit is reducing encoded dimension by 35% on final refitting; test performance remains close to full L2. Neither L1 exclusions nor large coefficients imply causal effects or clinical relevance in isolation.</w:t>
      </w:r>
    </w:p>
    <w:p>
      <w:pPr>
        <w:pStyle w:val="Heading2"/>
      </w:pPr>
      <w:r>
        <w:t>Methodological limitations</w:t>
      </w:r>
    </w:p>
    <w:p>
      <w:pPr>
        <w:pStyle w:val="ListBullet"/>
        <w:spacing w:after="100"/>
      </w:pPr>
      <w:r>
        <w:t>Global EDA and historical test consultation limit independence. Retaining the original split ensures comparability but does not restore an untouched test set.</w:t>
      </w:r>
    </w:p>
    <w:p>
      <w:pPr>
        <w:pStyle w:val="ListBullet"/>
        <w:spacing w:after="100"/>
      </w:pPr>
      <w:r>
        <w:t>Feature exclusions, weighting intensity, and selector settings were developed through successive exploration of the same training data and CV. Reported selected scores may be optimistic [2].</w:t>
      </w:r>
    </w:p>
    <w:p>
      <w:pPr>
        <w:pStyle w:val="ListBullet"/>
        <w:spacing w:after="100"/>
      </w:pPr>
      <w:r>
        <w:t>Resampling evaluations overlap and use different effective training and validation sizes. Fold SDs are descriptive, not independent confidence intervals or proofs of significance.</w:t>
      </w:r>
    </w:p>
    <w:p>
      <w:pPr>
        <w:pStyle w:val="ListBullet"/>
        <w:spacing w:after="100"/>
      </w:pPr>
      <w:r>
        <w:t>Minority test counts are small. Selected logistic regression misses 22 of 26 DI_HT_HY patients and produces 20 false positives for that class.</w:t>
      </w:r>
    </w:p>
    <w:p>
      <w:pPr>
        <w:pStyle w:val="ListBullet"/>
        <w:spacing w:after="100"/>
      </w:pPr>
      <w:r>
        <w:t>Some measurement definitions and units remain incomplete. Consistency alerts were documented without reconstruction or patient exclusions; the physiological checks do not establish universal cleaning rules.</w:t>
      </w:r>
    </w:p>
    <w:p>
      <w:pPr>
        <w:pStyle w:val="Heading2"/>
      </w:pPr>
      <w:r>
        <w:t>Further work</w:t>
      </w:r>
    </w:p>
    <w:p>
      <w:r>
        <w:rPr>
          <w:b w:val="0"/>
        </w:rPr>
        <w:t>A more independent assessment would evaluate the complete selection procedure within nested cross-validation or on new data. Selection stability could be examined across resampled training sets, particularly for correlated measurements and individual dummy columns. These extensions should assess reproducibility and uncertainty before any claim of clinical usefulness.</w:t>
      </w:r>
    </w:p>
    <w:p>
      <w:r>
        <w:br w:type="page"/>
      </w:r>
    </w:p>
    <w:p>
      <w:pPr>
        <w:pStyle w:val="Heading1"/>
      </w:pPr>
      <w:r>
        <w:t>References and acknowledgements</w:t>
      </w:r>
    </w:p>
    <w:p>
      <w:pPr>
        <w:spacing w:after="140"/>
      </w:pPr>
      <w:r>
        <w:rPr>
          <w:b w:val="0"/>
          <w:sz w:val="18"/>
        </w:rPr>
        <w:t xml:space="preserve">[1] James, G., Witten, D., Hastie, T., Tibshirani, R., and Taylor, J. (2023). An Introduction to Statistical Learning with Applications in Python. Springer. </w:t>
      </w:r>
      <w:hyperlink r:id="rId13">
        <w:r>
          <w:rPr>
            <w:color w:val="217A80"/>
          </w:rPr>
          <w:t>Book website</w:t>
        </w:r>
      </w:hyperlink>
    </w:p>
    <w:p>
      <w:pPr>
        <w:spacing w:after="140"/>
      </w:pPr>
      <w:r>
        <w:rPr>
          <w:b w:val="0"/>
          <w:sz w:val="18"/>
        </w:rPr>
        <w:t xml:space="preserve">[2] Cawley, G. C., and Talbot, N. L. C. (2010). On Over-fitting in Model Selection and Subsequent Selection Bias in Performance Evaluation. Journal of Machine Learning Research, 11, 2079–2107. </w:t>
      </w:r>
      <w:hyperlink r:id="rId14">
        <w:r>
          <w:rPr>
            <w:color w:val="217A80"/>
          </w:rPr>
          <w:t>Article</w:t>
        </w:r>
      </w:hyperlink>
    </w:p>
    <w:p>
      <w:pPr>
        <w:spacing w:after="140"/>
      </w:pPr>
      <w:r>
        <w:rPr>
          <w:b w:val="0"/>
          <w:sz w:val="18"/>
        </w:rPr>
        <w:t xml:space="preserve">[3] scikit-learn developers. Metrics and scoring: quantifying the quality of predictions. Version 1.8 documentation. </w:t>
      </w:r>
      <w:hyperlink r:id="rId15">
        <w:r>
          <w:rPr>
            <w:color w:val="217A80"/>
          </w:rPr>
          <w:t>Documentation</w:t>
        </w:r>
      </w:hyperlink>
    </w:p>
    <w:p>
      <w:pPr>
        <w:spacing w:after="140"/>
      </w:pPr>
      <w:r>
        <w:rPr>
          <w:b w:val="0"/>
          <w:sz w:val="18"/>
        </w:rPr>
        <w:t xml:space="preserve">[4] scikit-learn developers. Linear Models. Version 1.8 documentation. </w:t>
      </w:r>
      <w:hyperlink r:id="rId16">
        <w:r>
          <w:rPr>
            <w:color w:val="217A80"/>
          </w:rPr>
          <w:t>Documentation</w:t>
        </w:r>
      </w:hyperlink>
    </w:p>
    <w:p>
      <w:pPr>
        <w:spacing w:after="140"/>
      </w:pPr>
      <w:r>
        <w:rPr>
          <w:b w:val="0"/>
          <w:sz w:val="18"/>
        </w:rPr>
        <w:t xml:space="preserve">[5] scikit-learn developers. Cross-validation: evaluating estimator performance. Version 1.8 documentation. </w:t>
      </w:r>
      <w:hyperlink r:id="rId17">
        <w:r>
          <w:rPr>
            <w:color w:val="217A80"/>
          </w:rPr>
          <w:t>Documentation</w:t>
        </w:r>
      </w:hyperlink>
    </w:p>
    <w:p>
      <w:pPr>
        <w:spacing w:after="140"/>
      </w:pPr>
      <w:r>
        <w:rPr>
          <w:b w:val="0"/>
          <w:sz w:val="18"/>
        </w:rPr>
        <w:t xml:space="preserve">[6] Pedregosa, F., et al. (2011). Scikit-learn: Machine Learning in Python. Journal of Machine Learning Research, 12, 2825–2830. </w:t>
      </w:r>
      <w:hyperlink r:id="rId18">
        <w:r>
          <w:rPr>
            <w:color w:val="217A80"/>
          </w:rPr>
          <w:t>Article</w:t>
        </w:r>
      </w:hyperlink>
    </w:p>
    <w:p>
      <w:pPr>
        <w:spacing w:after="140"/>
      </w:pPr>
      <w:r>
        <w:rPr>
          <w:b w:val="0"/>
          <w:sz w:val="18"/>
        </w:rPr>
        <w:t xml:space="preserve">[7] ISEP. APRAU 2026/2027 Assignment, version 1.0. Trabalho_APRAU_2026_27_step1 (1).pdf. Local course assignment. </w:t>
      </w:r>
    </w:p>
    <w:p>
      <w:pPr>
        <w:spacing w:after="140"/>
      </w:pPr>
      <w:r>
        <w:rPr>
          <w:b w:val="0"/>
          <w:sz w:val="18"/>
        </w:rPr>
        <w:t xml:space="preserve">[8] APRAU teaching materials, weeks 1–5. Data exploration and regression notebooks; TP3 and PL3 classification; T4_EvaluationResampling, TP4_Cross_validation_solutions and Bootstrap_by_Hand; T5_RidgeLasso and TP5_Ridge_Lasso_Elasticnet. Local course resources. </w:t>
      </w:r>
    </w:p>
    <w:p>
      <w:pPr>
        <w:spacing w:after="140"/>
      </w:pPr>
      <w:r>
        <w:rPr>
          <w:b w:val="0"/>
          <w:sz w:val="18"/>
        </w:rPr>
        <w:t xml:space="preserve">[9] Friedewald, W. T., Levy, R. I., and Fredrickson, D. S. (1972). Estimation of the concentration of low-density lipoprotein cholesterol in plasma, without use of the preparative ultracentrifuge. Clinical Chemistry, 18(6), 499–502. </w:t>
      </w:r>
      <w:hyperlink r:id="rId19">
        <w:r>
          <w:rPr>
            <w:color w:val="217A80"/>
          </w:rPr>
          <w:t>PubMed record</w:t>
        </w:r>
      </w:hyperlink>
    </w:p>
    <w:p>
      <w:pPr>
        <w:spacing w:after="140"/>
      </w:pPr>
      <w:r>
        <w:rPr>
          <w:b w:val="0"/>
          <w:sz w:val="18"/>
        </w:rPr>
        <w:t xml:space="preserve">[10] Chemla, D., et al. (2002). Empirical estimates of mean aortic pressure: advantages, drawbacks and implications for pressure redundancy. Clinical Science, 103(1), 7–13. </w:t>
      </w:r>
      <w:hyperlink r:id="rId20">
        <w:r>
          <w:rPr>
            <w:color w:val="217A80"/>
          </w:rPr>
          <w:t>PubMed record</w:t>
        </w:r>
      </w:hyperlink>
    </w:p>
    <w:p>
      <w:pPr>
        <w:pStyle w:val="Heading2"/>
      </w:pPr>
      <w:r>
        <w:t>Materials and AI assistance</w:t>
      </w:r>
    </w:p>
    <w:p>
      <w:r>
        <w:rPr>
          <w:b w:val="0"/>
        </w:rPr>
        <w:t>The analysis is implemented in projeto_genio.ipynb using Python and scikit-learn [6]. Course materials informed the methodological framework; adaptations for multiclass selection, partial frequency weights, weight normalisation, SAGA stabilisation, and L2 top50% selection are specific to this project. Additional exploratory clinical references retained in report_materials.md do not establish dataset-specific measurement definitions.</w:t>
      </w:r>
    </w:p>
    <w:p>
      <w:r>
        <w:rPr>
          <w:b w:val="0"/>
        </w:rPr>
        <w:t>AI assistance (Codex) was used for code development and review, notebook organisation, checks, and drafting and interpretation. Francisco Primavera and Pedro Fonseca remain responsible for understanding, reviewing, and validating the methodology, results, and limitations.</w:t>
      </w:r>
    </w:p>
    <w:sectPr w:rsidR="00FC693F" w:rsidRPr="0006063C" w:rsidSect="00034616">
      <w:headerReference w:type="default" r:id="rId9"/>
      <w:footerReference w:type="default" r:id="rId10"/>
      <w:pgSz w:w="11906" w:h="16838"/>
      <w:pgMar w:top="1020" w:right="1134" w:bottom="964" w:left="1134" w:header="397" w:footer="39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APRAU 2026/2027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sz w:val="16"/>
      </w:rPr>
      <w:t>APRAU  |  GROUP 17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color w:val="000000"/>
      <w:sz w:val="21"/>
      <w:lang w:val="en-GB"/>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80"/>
      <w:outlineLvl w:val="0"/>
    </w:pPr>
    <w:rPr>
      <w:rFonts w:asciiTheme="majorHAnsi" w:eastAsiaTheme="majorEastAsia" w:hAnsiTheme="majorHAnsi" w:cstheme="majorBidi" w:ascii="Cambria" w:hAnsi="Cambria"/>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40" w:after="180"/>
      <w:outlineLvl w:val="1"/>
    </w:pPr>
    <w:rPr>
      <w:rFonts w:asciiTheme="majorHAnsi" w:eastAsiaTheme="majorEastAsia" w:hAnsiTheme="majorHAnsi" w:cstheme="majorBidi" w:ascii="Cambria" w:hAnsi="Cambria"/>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40" w:after="180"/>
      <w:outlineLvl w:val="2"/>
    </w:pPr>
    <w:rPr>
      <w:rFonts w:asciiTheme="majorHAnsi" w:eastAsiaTheme="majorEastAsia" w:hAnsiTheme="majorHAnsi" w:cstheme="majorBidi" w:ascii="Cambria" w:hAnsi="Cambria"/>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80" w:line="240" w:lineRule="auto" w:before="0"/>
      <w:contextualSpacing/>
    </w:pPr>
    <w:rPr>
      <w:rFonts w:asciiTheme="majorHAnsi" w:eastAsiaTheme="majorEastAsia" w:hAnsiTheme="majorHAnsi" w:cstheme="majorBidi" w:ascii="Cambria" w:hAnsi="Cambria"/>
      <w:b/>
      <w:color w:val="000000"/>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40"/>
    </w:pPr>
    <w:rPr>
      <w:rFonts w:ascii="Calibri" w:hAnsi="Calibri"/>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40"/>
    </w:pPr>
    <w:rPr>
      <w:rFonts w:ascii="Calibri" w:hAnsi="Calibri"/>
      <w:b/>
      <w:bCs/>
      <w:i/>
      <w:color w:val="5B647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hyperlink" Target="https://www.statlearning.com/" TargetMode="External"/><Relationship Id="rId14" Type="http://schemas.openxmlformats.org/officeDocument/2006/relationships/hyperlink" Target="https://www.jmlr.org/papers/v11/cawley10a.html" TargetMode="External"/><Relationship Id="rId15" Type="http://schemas.openxmlformats.org/officeDocument/2006/relationships/hyperlink" Target="https://scikit-learn.org/1.8/modules/model_evaluation.html" TargetMode="External"/><Relationship Id="rId16" Type="http://schemas.openxmlformats.org/officeDocument/2006/relationships/hyperlink" Target="https://scikit-learn.org/1.8/modules/linear_model.html" TargetMode="External"/><Relationship Id="rId17" Type="http://schemas.openxmlformats.org/officeDocument/2006/relationships/hyperlink" Target="https://scikit-learn.org/1.8/modules/cross_validation.html" TargetMode="External"/><Relationship Id="rId18" Type="http://schemas.openxmlformats.org/officeDocument/2006/relationships/hyperlink" Target="https://www.jmlr.org/papers/v12/pedregosa11a.html" TargetMode="External"/><Relationship Id="rId19" Type="http://schemas.openxmlformats.org/officeDocument/2006/relationships/hyperlink" Target="https://pubmed.ncbi.nlm.nih.gov/4337382/" TargetMode="External"/><Relationship Id="rId20" Type="http://schemas.openxmlformats.org/officeDocument/2006/relationships/hyperlink" Target="https://pubmed.ncbi.nlm.nih.gov/1209539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Machine Learning on a Clinical Dataset</dc:title>
  <dc:subject>APRAU Group 17 project report</dc:subject>
  <dc:creator>Francisco Primavera; Pedro Fonseca</dc:creator>
  <cp:keywords>APRAU, regression, classification, regularisation, clinical dataset</cp:keywords>
  <dc:description>generated by python-docx</dc:description>
  <cp:lastModifiedBy/>
  <cp:revision>1</cp:revision>
  <dcterms:created xsi:type="dcterms:W3CDTF">2013-12-23T23:15:00Z</dcterms:created>
  <dcterms:modified xsi:type="dcterms:W3CDTF">2013-12-23T23:15:00Z</dcterms:modified>
  <cp:category/>
</cp:coreProperties>
</file>