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Arial" w:cs="Arial" w:eastAsia="Arial" w:hAnsi="Arial"/>
          <w:b/>
          <w:bCs/>
          <w:color w:val="1B5E3A"/>
          <w:sz w:val="44"/>
          <w:szCs w:val="44"/>
        </w:rPr>
        <w:t xml:space="preserve">ECOVERSE</w:t>
      </w:r>
    </w:p>
    <w:p>
      <w:pPr>
        <w:spacing w:after="500"/>
        <w:jc w:val="center"/>
      </w:pPr>
      <w:r>
        <w:rPr>
          <w:rFonts w:ascii="Arial" w:cs="Arial" w:eastAsia="Arial" w:hAnsi="Arial"/>
          <w:color w:val="5A5A5A"/>
          <w:sz w:val="22"/>
          <w:szCs w:val="22"/>
        </w:rPr>
        <w:t xml:space="preserve">Plataforma educacional sobre resíduos e sustentabilidade</w:t>
      </w:r>
    </w:p>
    <w:p>
      <w:pPr>
        <w:spacing w:after="120"/>
        <w:jc w:val="center"/>
      </w:pPr>
      <w:r>
        <w:rPr>
          <w:rFonts w:ascii="Arial" w:cs="Arial" w:eastAsia="Arial" w:hAnsi="Arial"/>
          <w:b/>
          <w:bCs/>
          <w:sz w:val="34"/>
          <w:szCs w:val="34"/>
        </w:rPr>
        <w:t xml:space="preserve">Transferência do projeto</w:t>
      </w:r>
    </w:p>
    <w:p>
      <w:pPr>
        <w:spacing w:after="700"/>
        <w:jc w:val="center"/>
      </w:pPr>
      <w:r>
        <w:rPr>
          <w:rFonts w:ascii="Arial" w:cs="Arial" w:eastAsia="Arial" w:hAnsi="Arial"/>
          <w:color w:val="5A5A5A"/>
          <w:sz w:val="22"/>
          <w:szCs w:val="22"/>
        </w:rPr>
        <w:t xml:space="preserve">Guia de cessão da plataforma e de sua manutenção</w:t>
      </w:r>
    </w:p>
    <w:p>
      <w:pPr>
        <w:spacing w:after="40"/>
        <w:jc w:val="center"/>
      </w:pPr>
      <w:r>
        <w:rPr>
          <w:rFonts w:ascii="Arial" w:cs="Arial" w:eastAsia="Arial" w:hAnsi="Arial"/>
          <w:color w:val="5A5A5A"/>
          <w:sz w:val="20"/>
          <w:szCs w:val="20"/>
        </w:rPr>
        <w:t xml:space="preserve">Universidade de Ribeirão Preto · UNAERP</w:t>
      </w:r>
    </w:p>
    <w:p>
      <w:pPr>
        <w:spacing w:after="40"/>
        <w:jc w:val="center"/>
      </w:pPr>
      <w:r>
        <w:rPr>
          <w:rFonts w:ascii="Arial" w:cs="Arial" w:eastAsia="Arial" w:hAnsi="Arial"/>
          <w:color w:val="5A5A5A"/>
          <w:sz w:val="20"/>
          <w:szCs w:val="20"/>
        </w:rPr>
        <w:t xml:space="preserve">Sustentabilidade Ambiental · 2026</w:t>
      </w:r>
    </w:p>
    <w:p>
      <w:pPr>
        <w:spacing w:after="200"/>
        <w:jc w:val="center"/>
      </w:pPr>
      <w:r>
        <w:rPr>
          <w:rFonts w:ascii="Arial" w:cs="Arial" w:eastAsia="Arial" w:hAnsi="Arial"/>
          <w:color w:val="5A5A5A"/>
          <w:sz w:val="20"/>
          <w:szCs w:val="20"/>
        </w:rPr>
        <w:t xml:space="preserve">Documento revisado em 9 de agosto de 2026</w:t>
      </w:r>
    </w:p>
    <w:p>
      <w:pPr>
        <w:pStyle w:val="Heading1"/>
        <w:spacing w:after="160" w:before="360"/>
      </w:pPr>
      <w:r>
        <w:rPr>
          <w:rFonts w:ascii="Arial" w:cs="Arial" w:eastAsia="Arial" w:hAnsi="Arial"/>
          <w:b/>
          <w:bCs/>
          <w:color w:val="1B5E3A"/>
          <w:sz w:val="30"/>
          <w:szCs w:val="30"/>
        </w:rPr>
        <w:t xml:space="preserve">O que este documento cobre</w:t>
      </w:r>
    </w:p>
    <w:p>
      <w:pPr>
        <w:spacing w:after="140" w:before="60"/>
      </w:pPr>
      <w:r>
        <w:rPr>
          <w:rFonts w:ascii="Arial" w:cs="Arial" w:eastAsia="Arial" w:hAnsi="Arial"/>
          <w:sz w:val="22"/>
          <w:szCs w:val="22"/>
        </w:rPr>
        <w:t xml:space="preserve">O Ecoverse foi desenvolvido por cinco alunos como trabalho final da disciplina de Sustentabilidade Ambiental. Este documento descreve tudo que precisa mudar de mãos para que outra entidade passe a ser responsável pela plataforma, e o que precisa ser feito depois para mantê-la no ar.</w:t>
      </w:r>
    </w:p>
    <w:p>
      <w:pPr>
        <w:spacing w:after="140" w:before="60"/>
      </w:pPr>
      <w:r>
        <w:rPr>
          <w:rFonts w:ascii="Arial" w:cs="Arial" w:eastAsia="Arial" w:hAnsi="Arial"/>
          <w:sz w:val="22"/>
          <w:szCs w:val="22"/>
        </w:rPr>
        <w:t xml:space="preserve">Ele foi escrito para ser lido por quem vai assumir, não por quem desenvolveu. Onde existe uma limitação conhecida, ela está registrada de forma direta, sem rodeio, porque descobrir depois é pior.</w:t>
      </w:r>
    </w:p>
    <w:p>
      <w:pPr>
        <w:pStyle w:val="Heading1"/>
        <w:spacing w:after="160" w:before="360"/>
      </w:pPr>
      <w:r>
        <w:rPr>
          <w:rFonts w:ascii="Arial" w:cs="Arial" w:eastAsia="Arial" w:hAnsi="Arial"/>
          <w:b/>
          <w:bCs/>
          <w:color w:val="1B5E3A"/>
          <w:sz w:val="30"/>
          <w:szCs w:val="30"/>
        </w:rPr>
        <w:t xml:space="preserve">1. Autoria</w:t>
      </w:r>
    </w:p>
    <w:p>
      <w:pPr>
        <w:spacing w:after="140" w:before="60"/>
      </w:pPr>
      <w:r>
        <w:rPr>
          <w:rFonts w:ascii="Arial" w:cs="Arial" w:eastAsia="Arial" w:hAnsi="Arial"/>
          <w:sz w:val="22"/>
          <w:szCs w:val="22"/>
        </w:rPr>
        <w:t xml:space="preserve">A plataforma foi desenvolvida por cinco alunos, em ordem alfabética: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Autor</w:t>
            </w:r>
          </w:p>
        </w:tc>
        <w:tc>
          <w:tcPr>
            <w:tcW w:type="dxa" w:w="59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Contribuição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André Fernando Machado</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1 e 2</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Felipe de Sousa Pegoraro</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3 e 4, e a biblioteca interna de jogo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Borges Casaroti</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5 e 6</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Cunha</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Arquitetura, banco de dados, sincronização e integração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Thiago Salata Siena</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7 e 8</w:t>
            </w:r>
          </w:p>
        </w:tc>
      </w:tr>
    </w:tbl>
    <w:p>
      <w:pPr>
        <w:spacing w:after="140" w:before="160"/>
      </w:pPr>
      <w:r>
        <w:rPr>
          <w:rFonts w:ascii="Arial" w:cs="Arial" w:eastAsia="Arial" w:hAnsi="Arial"/>
          <w:sz w:val="22"/>
          <w:szCs w:val="22"/>
        </w:rPr>
        <w:t xml:space="preserve">O código é distribuído sob licença MIT. O arquivo NOTICE.md, na raiz do repositório, registra a autoria e as bibliotecas de terceiros utilizadas. Ele deve ser preservado em qualquer redistribuição.</w:t>
      </w:r>
    </w:p>
    <w:p>
      <w:pPr>
        <w:pStyle w:val="Heading1"/>
        <w:spacing w:after="160" w:before="360"/>
      </w:pPr>
      <w:r>
        <w:rPr>
          <w:rFonts w:ascii="Arial" w:cs="Arial" w:eastAsia="Arial" w:hAnsi="Arial"/>
          <w:b/>
          <w:bCs/>
          <w:color w:val="1B5E3A"/>
          <w:sz w:val="30"/>
          <w:szCs w:val="30"/>
        </w:rPr>
        <w:t xml:space="preserve">2. Inventário do que está sendo transferido</w:t>
      </w:r>
    </w:p>
    <w:p>
      <w:pPr>
        <w:spacing w:after="140" w:before="60"/>
      </w:pPr>
      <w:r>
        <w:rPr>
          <w:rFonts w:ascii="Arial" w:cs="Arial" w:eastAsia="Arial" w:hAnsi="Arial"/>
          <w:sz w:val="22"/>
          <w:szCs w:val="22"/>
        </w:rPr>
        <w:t xml:space="preserve">São cinco ativos digitais, cada um em um serviço diferente. Todos estão hoje em planos gratuitos, com exceção da renovação anual do domínio.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1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Ativo</w:t>
            </w:r>
          </w:p>
        </w:tc>
        <w:tc>
          <w:tcPr>
            <w:tcW w:type="dxa" w:w="43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está</w:t>
            </w:r>
          </w:p>
        </w:tc>
        <w:tc>
          <w:tcPr>
            <w:tcW w:type="dxa" w:w="21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Plano atual</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GitHub, repositório público PedroFurtadoC/Ecoverse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Vercel, projeto 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Hobby, gratuito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 e autenticação</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 projeto 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Free</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e com DNS gerenciado pela Vercel</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 paga</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Resend, subdomínio auth.ecoverse.dev verificado</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 até 3.000/mês</w:t>
            </w:r>
          </w:p>
        </w:tc>
      </w:tr>
    </w:tbl>
    <w:p>
      <w:pPr>
        <w:spacing w:after="140" w:before="160"/>
      </w:pPr>
      <w:r>
        <w:rPr>
          <w:rFonts w:ascii="Arial" w:cs="Arial" w:eastAsia="Arial" w:hAnsi="Arial"/>
          <w:sz w:val="22"/>
          <w:szCs w:val="22"/>
        </w:rPr>
        <w:t xml:space="preserve">Além disso, existe o material de origem das ilustrações, guardado na pasta design do repositório. São os arquivos usados para reeditar os sprites dos minigames caso a arte precise mudar no futuro.</w:t>
      </w:r>
    </w:p>
    <w:p>
      <w:pPr>
        <w:pStyle w:val="Heading1"/>
        <w:spacing w:after="160" w:before="360"/>
      </w:pPr>
      <w:r>
        <w:rPr>
          <w:rFonts w:ascii="Arial" w:cs="Arial" w:eastAsia="Arial" w:hAnsi="Arial"/>
          <w:b/>
          <w:bCs/>
          <w:color w:val="1B5E3A"/>
          <w:sz w:val="30"/>
          <w:szCs w:val="30"/>
        </w:rPr>
        <w:t xml:space="preserve">3. O que a entidade receptora precisa providenciar antes</w:t>
      </w:r>
    </w:p>
    <w:p>
      <w:pPr>
        <w:spacing w:after="140" w:before="60"/>
      </w:pPr>
      <w:r>
        <w:rPr>
          <w:rFonts w:ascii="Arial" w:cs="Arial" w:eastAsia="Arial" w:hAnsi="Arial"/>
          <w:sz w:val="22"/>
          <w:szCs w:val="22"/>
        </w:rPr>
        <w:t xml:space="preserve">Antes de iniciar a transferência, é preciso decidir quem serão os responsáveis e criar as contas correspondentes:</w:t>
      </w:r>
    </w:p>
    <w:p>
      <w:pPr>
        <w:pStyle w:val="ListParagraph"/>
        <w:numPr>
          <w:ilvl w:val="0"/>
          <w:numId w:val="1"/>
        </w:numPr>
        <w:spacing w:after="60" w:before="40"/>
      </w:pPr>
      <w:r>
        <w:rPr>
          <w:rFonts w:ascii="Arial" w:cs="Arial" w:eastAsia="Arial" w:hAnsi="Arial"/>
          <w:sz w:val="22"/>
          <w:szCs w:val="22"/>
        </w:rPr>
        <w:t xml:space="preserve">Uma conta ou organização no GitHub que vá abrigar o repositório.</w:t>
      </w:r>
    </w:p>
    <w:p>
      <w:pPr>
        <w:pStyle w:val="ListParagraph"/>
        <w:numPr>
          <w:ilvl w:val="0"/>
          <w:numId w:val="1"/>
        </w:numPr>
        <w:spacing w:after="60" w:before="40"/>
      </w:pPr>
      <w:r>
        <w:rPr>
          <w:rFonts w:ascii="Arial" w:cs="Arial" w:eastAsia="Arial" w:hAnsi="Arial"/>
          <w:sz w:val="22"/>
          <w:szCs w:val="22"/>
        </w:rPr>
        <w:t xml:space="preserve">Uma conta na Vercel, usando preferencialmente um email institucional.</w:t>
      </w:r>
    </w:p>
    <w:p>
      <w:pPr>
        <w:pStyle w:val="ListParagraph"/>
        <w:numPr>
          <w:ilvl w:val="0"/>
          <w:numId w:val="1"/>
        </w:numPr>
        <w:spacing w:after="60" w:before="40"/>
      </w:pPr>
      <w:r>
        <w:rPr>
          <w:rFonts w:ascii="Arial" w:cs="Arial" w:eastAsia="Arial" w:hAnsi="Arial"/>
          <w:sz w:val="22"/>
          <w:szCs w:val="22"/>
        </w:rPr>
        <w:t xml:space="preserve">Uma conta no Supabase, também institucional.</w:t>
      </w:r>
    </w:p>
    <w:p>
      <w:pPr>
        <w:pStyle w:val="ListParagraph"/>
        <w:numPr>
          <w:ilvl w:val="0"/>
          <w:numId w:val="1"/>
        </w:numPr>
        <w:spacing w:after="60" w:before="40"/>
      </w:pPr>
      <w:r>
        <w:rPr>
          <w:rFonts w:ascii="Arial" w:cs="Arial" w:eastAsia="Arial" w:hAnsi="Arial"/>
          <w:sz w:val="22"/>
          <w:szCs w:val="22"/>
        </w:rPr>
        <w:t xml:space="preserve">Acesso ao registrador do domínio, ou a decisão de manter o domínio onde está.</w:t>
      </w:r>
    </w:p>
    <w:p>
      <w:pPr>
        <w:pStyle w:val="ListParagraph"/>
        <w:numPr>
          <w:ilvl w:val="0"/>
          <w:numId w:val="1"/>
        </w:numPr>
        <w:spacing w:after="60" w:before="40"/>
      </w:pPr>
      <w:r>
        <w:rPr>
          <w:rFonts w:ascii="Arial" w:cs="Arial" w:eastAsia="Arial" w:hAnsi="Arial"/>
          <w:sz w:val="22"/>
          <w:szCs w:val="22"/>
        </w:rPr>
        <w:t xml:space="preserve">Uma conta no serviço de envio de email, ou a transferência da conta atual.</w:t>
      </w:r>
    </w:p>
    <w:p>
      <w:pPr>
        <w:spacing w:after="140" w:before="120"/>
        <w:ind w:left="280"/>
      </w:pPr>
      <w:r>
        <w:rPr>
          <w:rFonts w:ascii="Arial" w:cs="Arial" w:eastAsia="Arial" w:hAnsi="Arial"/>
          <w:b/>
          <w:bCs/>
          <w:sz w:val="22"/>
          <w:szCs w:val="22"/>
        </w:rPr>
        <w:t xml:space="preserve">Recomendação: </w:t>
      </w:r>
      <w:r>
        <w:rPr>
          <w:rFonts w:ascii="Arial" w:cs="Arial" w:eastAsia="Arial" w:hAnsi="Arial"/>
          <w:sz w:val="22"/>
          <w:szCs w:val="22"/>
        </w:rPr>
        <w:t xml:space="preserve">use um email institucional que não dependa de uma pessoa específica, do tipo uma caixa compartilhada de um setor. Contas ligadas ao email pessoal de um servidor ou de um aluno viram problema quando essa pessoa sai.</w:t>
      </w:r>
    </w:p>
    <w:p>
      <w:pPr>
        <w:pStyle w:val="Heading1"/>
        <w:spacing w:after="160" w:before="360"/>
      </w:pPr>
      <w:r>
        <w:rPr>
          <w:rFonts w:ascii="Arial" w:cs="Arial" w:eastAsia="Arial" w:hAnsi="Arial"/>
          <w:b/>
          <w:bCs/>
          <w:color w:val="1B5E3A"/>
          <w:sz w:val="30"/>
          <w:szCs w:val="30"/>
        </w:rPr>
        <w:t xml:space="preserve">4. Transferência do repositório</w:t>
      </w:r>
    </w:p>
    <w:p>
      <w:pPr>
        <w:spacing w:after="140" w:before="60"/>
      </w:pPr>
      <w:r>
        <w:rPr>
          <w:rFonts w:ascii="Arial" w:cs="Arial" w:eastAsia="Arial" w:hAnsi="Arial"/>
          <w:sz w:val="22"/>
          <w:szCs w:val="22"/>
        </w:rPr>
        <w:t xml:space="preserve">O GitHub permite transferir a propriedade de um repositório preservando todo o histórico, as issues e as configurações.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Entre no repositório com a conta atual e vá em Settings.</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Role até o fim, na seção de zona de perigo, e escolha transferir a propriedade.</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Informe o nome da conta ou organização de destino e confirme.</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A conta de destino recebe um convite e precisa aceitar. Enquanto não aceitar, nada muda.</w:t>
      </w:r>
    </w:p>
    <w:p>
      <w:pPr>
        <w:spacing w:after="140" w:before="60"/>
      </w:pPr>
      <w:r>
        <w:rPr>
          <w:rFonts w:ascii="Arial" w:cs="Arial" w:eastAsia="Arial" w:hAnsi="Arial"/>
          <w:sz w:val="22"/>
          <w:szCs w:val="22"/>
        </w:rPr>
        <w:t xml:space="preserve">Depois que a transferência for aceita, o endereço antigo passa a redirecionar automaticamente para o novo, então links antigos continuam funcionando.</w:t>
      </w:r>
    </w:p>
    <w:p>
      <w:pPr>
        <w:spacing w:after="140" w:before="120"/>
        <w:ind w:left="280"/>
      </w:pPr>
      <w:r>
        <w:rPr>
          <w:rFonts w:ascii="Arial" w:cs="Arial" w:eastAsia="Arial" w:hAnsi="Arial"/>
          <w:b/>
          <w:bCs/>
          <w:sz w:val="22"/>
          <w:szCs w:val="22"/>
        </w:rPr>
        <w:t xml:space="preserve">Atenção: </w:t>
      </w:r>
      <w:r>
        <w:rPr>
          <w:rFonts w:ascii="Arial" w:cs="Arial" w:eastAsia="Arial" w:hAnsi="Arial"/>
          <w:sz w:val="22"/>
          <w:szCs w:val="22"/>
        </w:rPr>
        <w:t xml:space="preserve">os segredos configurados nas ações automatizadas do repositório não são transferidos junto. Depois de aceitar, é preciso recadastrá-los. São dois, e estão descritos na seção 8.</w:t>
      </w:r>
    </w:p>
    <w:p>
      <w:pPr>
        <w:pStyle w:val="Heading1"/>
        <w:spacing w:after="160" w:before="360"/>
      </w:pPr>
      <w:r>
        <w:rPr>
          <w:rFonts w:ascii="Arial" w:cs="Arial" w:eastAsia="Arial" w:hAnsi="Arial"/>
          <w:b/>
          <w:bCs/>
          <w:color w:val="1B5E3A"/>
          <w:sz w:val="30"/>
          <w:szCs w:val="30"/>
        </w:rPr>
        <w:t xml:space="preserve">5. Transferência da hospedagem</w:t>
      </w:r>
    </w:p>
    <w:p>
      <w:pPr>
        <w:spacing w:after="140" w:before="60"/>
      </w:pPr>
      <w:r>
        <w:rPr>
          <w:rFonts w:ascii="Arial" w:cs="Arial" w:eastAsia="Arial" w:hAnsi="Arial"/>
          <w:sz w:val="22"/>
          <w:szCs w:val="22"/>
        </w:rPr>
        <w:t xml:space="preserve">O site é publicado automaticamente a cada alteração enviada para o ramo principal do repositório. Existem dois caminhos para transferir.</w:t>
      </w:r>
    </w:p>
    <w:p>
      <w:pPr>
        <w:pStyle w:val="Heading2"/>
        <w:spacing w:after="120" w:before="260"/>
      </w:pPr>
      <w:r>
        <w:rPr>
          <w:rFonts w:ascii="Arial" w:cs="Arial" w:eastAsia="Arial" w:hAnsi="Arial"/>
          <w:b/>
          <w:bCs/>
          <w:color w:val="1B5E3A"/>
          <w:sz w:val="24"/>
          <w:szCs w:val="24"/>
        </w:rPr>
        <w:t xml:space="preserve">Caminho recomendado: criar um projeto novo</w:t>
      </w:r>
    </w:p>
    <w:p>
      <w:pPr>
        <w:spacing w:after="140" w:before="60"/>
      </w:pPr>
      <w:r>
        <w:rPr>
          <w:rFonts w:ascii="Arial" w:cs="Arial" w:eastAsia="Arial" w:hAnsi="Arial"/>
          <w:sz w:val="22"/>
          <w:szCs w:val="22"/>
        </w:rPr>
        <w:t xml:space="preserve">É mais simples e evita depender de convite entre contas.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Com a conta de destino já criada na Vercel, importe o repositório recém-transferido.</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Cadastre as duas variáveis de ambiente descritas na seção 8, marcando todos os ambientes.</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Publique e confira se o endereço temporário da Vercel abre corretamente.</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Só então mova o domínio, conforme a seção 7.</w:t>
      </w:r>
    </w:p>
    <w:p>
      <w:pPr>
        <w:pStyle w:val="Heading2"/>
        <w:spacing w:after="120" w:before="260"/>
      </w:pPr>
      <w:r>
        <w:rPr>
          <w:rFonts w:ascii="Arial" w:cs="Arial" w:eastAsia="Arial" w:hAnsi="Arial"/>
          <w:b/>
          <w:bCs/>
          <w:color w:val="1B5E3A"/>
          <w:sz w:val="24"/>
          <w:szCs w:val="24"/>
        </w:rPr>
        <w:t xml:space="preserve">Caminho alternativo: transferir o projeto existente</w:t>
      </w:r>
    </w:p>
    <w:p>
      <w:pPr>
        <w:spacing w:after="140" w:before="60"/>
      </w:pPr>
      <w:r>
        <w:rPr>
          <w:rFonts w:ascii="Arial" w:cs="Arial" w:eastAsia="Arial" w:hAnsi="Arial"/>
          <w:sz w:val="22"/>
          <w:szCs w:val="22"/>
        </w:rPr>
        <w:t xml:space="preserve">A Vercel permite transferir um projeto entre contas. Funciona, mas exige que as duas contas estejam ativas ao mesmo tempo e que a de origem inicie o processo. Se houver qualquer risco de a conta de origem ser desativada, prefira o caminho recomendado.</w:t>
      </w:r>
    </w:p>
    <w:p>
      <w:pPr>
        <w:pStyle w:val="Heading1"/>
        <w:spacing w:after="160" w:before="360"/>
      </w:pPr>
      <w:r>
        <w:rPr>
          <w:rFonts w:ascii="Arial" w:cs="Arial" w:eastAsia="Arial" w:hAnsi="Arial"/>
          <w:b/>
          <w:bCs/>
          <w:color w:val="1B5E3A"/>
          <w:sz w:val="30"/>
          <w:szCs w:val="30"/>
        </w:rPr>
        <w:t xml:space="preserve">6. Transferência do banco de dados</w:t>
      </w:r>
    </w:p>
    <w:p>
      <w:pPr>
        <w:spacing w:after="140" w:before="60"/>
      </w:pPr>
      <w:r>
        <w:rPr>
          <w:rFonts w:ascii="Arial" w:cs="Arial" w:eastAsia="Arial" w:hAnsi="Arial"/>
          <w:sz w:val="22"/>
          <w:szCs w:val="22"/>
        </w:rPr>
        <w:t xml:space="preserve">O Supabase permite mover um projeto entre organizações.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 conta de destino cria uma organização no Supabase.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Na conta atual, dentro das configurações gerais do projeto, escolha transferir o projeto e selecione a organização de destino.</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Confirme e aguarde. O endereço do banco e as chaves não mudam, então o site continua funcionando durante a transferência.</w:t>
      </w:r>
    </w:p>
    <w:p>
      <w:pPr>
        <w:spacing w:after="140" w:before="120"/>
        <w:ind w:left="280"/>
      </w:pPr>
      <w:r>
        <w:rPr>
          <w:rFonts w:ascii="Arial" w:cs="Arial" w:eastAsia="Arial" w:hAnsi="Arial"/>
          <w:b/>
          <w:bCs/>
          <w:sz w:val="22"/>
          <w:szCs w:val="22"/>
        </w:rPr>
        <w:t xml:space="preserve">Antes de transferir: </w:t>
      </w:r>
      <w:r>
        <w:rPr>
          <w:rFonts w:ascii="Arial" w:cs="Arial" w:eastAsia="Arial" w:hAnsi="Arial"/>
          <w:sz w:val="22"/>
          <w:szCs w:val="22"/>
        </w:rPr>
        <w:t xml:space="preserve">faça uma exportação manual dos dados. O plano gratuito não inclui backup automático, então essa cópia é a única rede de proteção caso algo saia errado. O procedimento está na seção 9.</w:t>
      </w:r>
    </w:p>
    <w:p>
      <w:pPr>
        <w:pStyle w:val="Heading1"/>
        <w:spacing w:after="160" w:before="360"/>
      </w:pPr>
      <w:r>
        <w:rPr>
          <w:rFonts w:ascii="Arial" w:cs="Arial" w:eastAsia="Arial" w:hAnsi="Arial"/>
          <w:b/>
          <w:bCs/>
          <w:color w:val="1B5E3A"/>
          <w:sz w:val="30"/>
          <w:szCs w:val="30"/>
        </w:rPr>
        <w:t xml:space="preserve">7. Transferência do domínio</w:t>
      </w:r>
    </w:p>
    <w:p>
      <w:pPr>
        <w:spacing w:after="140" w:before="60"/>
      </w:pPr>
      <w:r>
        <w:rPr>
          <w:rFonts w:ascii="Arial" w:cs="Arial" w:eastAsia="Arial" w:hAnsi="Arial"/>
          <w:sz w:val="22"/>
          <w:szCs w:val="22"/>
        </w:rPr>
        <w:t xml:space="preserve">O domínio ecoverse.dev está com o DNS gerenciado pela Vercel. Há duas decisões possíveis.</w:t>
      </w:r>
    </w:p>
    <w:p>
      <w:pPr>
        <w:spacing w:after="140" w:before="60"/>
      </w:pPr>
      <w:r>
        <w:rPr>
          <w:rFonts w:ascii="Arial" w:cs="Arial" w:eastAsia="Arial" w:hAnsi="Arial"/>
          <w:b/>
          <w:bCs/>
          <w:sz w:val="22"/>
          <w:szCs w:val="22"/>
        </w:rPr>
        <w:t xml:space="preserve">Manter onde está: </w:t>
      </w:r>
      <w:r>
        <w:rPr>
          <w:rFonts w:ascii="Arial" w:cs="Arial" w:eastAsia="Arial" w:hAnsi="Arial"/>
          <w:sz w:val="22"/>
          <w:szCs w:val="22"/>
        </w:rPr>
        <w:t xml:space="preserve">a entidade receptora assume a renovação anual junto ao registrador atual. É o caminho mais rápido e não gera nenhuma indisponibilidade.</w:t>
      </w:r>
    </w:p>
    <w:p>
      <w:pPr>
        <w:spacing w:after="140" w:before="60"/>
      </w:pPr>
      <w:r>
        <w:rPr>
          <w:rFonts w:ascii="Arial" w:cs="Arial" w:eastAsia="Arial" w:hAnsi="Arial"/>
          <w:b/>
          <w:bCs/>
          <w:sz w:val="22"/>
          <w:szCs w:val="22"/>
        </w:rPr>
        <w:t xml:space="preserve">Mover para o registrador da entidade receptora: </w:t>
      </w:r>
      <w:r>
        <w:rPr>
          <w:rFonts w:ascii="Arial" w:cs="Arial" w:eastAsia="Arial" w:hAnsi="Arial"/>
          <w:sz w:val="22"/>
          <w:szCs w:val="22"/>
        </w:rPr>
        <w:t xml:space="preserve">exige liberar o bloqueio de transferência, obter o código de autorização e iniciar o processo no registrador de destino. Costuma levar alguns dias e é a opção adequada se a instituição centraliza todos os domínios.</w:t>
      </w:r>
    </w:p>
    <w:p>
      <w:pPr>
        <w:spacing w:after="140" w:before="120"/>
        <w:ind w:left="280"/>
      </w:pPr>
      <w:r>
        <w:rPr>
          <w:rFonts w:ascii="Arial" w:cs="Arial" w:eastAsia="Arial" w:hAnsi="Arial"/>
          <w:b/>
          <w:bCs/>
          <w:sz w:val="22"/>
          <w:szCs w:val="22"/>
        </w:rPr>
        <w:t xml:space="preserve">Importante: </w:t>
      </w:r>
      <w:r>
        <w:rPr>
          <w:rFonts w:ascii="Arial" w:cs="Arial" w:eastAsia="Arial" w:hAnsi="Arial"/>
          <w:sz w:val="22"/>
          <w:szCs w:val="22"/>
        </w:rPr>
        <w:t xml:space="preserve">se o domínio expirar, o site sai do ar por inteiro e o endereço pode ser registrado por terceiros. Vale colocar a renovação no calendário institucional.</w:t>
      </w:r>
    </w:p>
    <w:p>
      <w:pPr>
        <w:pStyle w:val="Heading1"/>
        <w:spacing w:after="160" w:before="360"/>
      </w:pPr>
      <w:r>
        <w:rPr>
          <w:rFonts w:ascii="Arial" w:cs="Arial" w:eastAsia="Arial" w:hAnsi="Arial"/>
          <w:b/>
          <w:bCs/>
          <w:color w:val="1B5E3A"/>
          <w:sz w:val="30"/>
          <w:szCs w:val="30"/>
        </w:rPr>
        <w:t xml:space="preserve">8. Configuração depois de receber</w:t>
      </w:r>
    </w:p>
    <w:p>
      <w:pPr>
        <w:spacing w:after="140" w:before="60"/>
      </w:pPr>
      <w:r>
        <w:rPr>
          <w:rFonts w:ascii="Arial" w:cs="Arial" w:eastAsia="Arial" w:hAnsi="Arial"/>
          <w:sz w:val="22"/>
          <w:szCs w:val="22"/>
        </w:rPr>
        <w:t xml:space="preserve">Com os ativos já em nome da entidade receptora, estes são os passos para deixar tudo operante.</w:t>
      </w:r>
    </w:p>
    <w:p>
      <w:pPr>
        <w:pStyle w:val="Heading2"/>
        <w:spacing w:after="120" w:before="260"/>
      </w:pPr>
      <w:r>
        <w:rPr>
          <w:rFonts w:ascii="Arial" w:cs="Arial" w:eastAsia="Arial" w:hAnsi="Arial"/>
          <w:b/>
          <w:bCs/>
          <w:color w:val="1B5E3A"/>
          <w:sz w:val="24"/>
          <w:szCs w:val="24"/>
        </w:rPr>
        <w:t xml:space="preserve">8.1 Retomar o banco, se estiver pausado</w:t>
      </w:r>
    </w:p>
    <w:p>
      <w:pPr>
        <w:spacing w:after="140" w:before="60"/>
      </w:pPr>
      <w:r>
        <w:rPr>
          <w:rFonts w:ascii="Arial" w:cs="Arial" w:eastAsia="Arial" w:hAnsi="Arial"/>
          <w:sz w:val="22"/>
          <w:szCs w:val="22"/>
        </w:rPr>
        <w:t xml:space="preserve">O plano gratuito do Supabase pausa projetos que passam sete dias sem atividade no banco. Projeto pausado significa site fora do ar, porque o endereço do banco deixa de existir no DNS. A retomada é feita por um botão no painel e leva poucos minutos.</w:t>
      </w:r>
    </w:p>
    <w:p>
      <w:pPr>
        <w:pStyle w:val="Heading2"/>
        <w:spacing w:after="120" w:before="260"/>
      </w:pPr>
      <w:r>
        <w:rPr>
          <w:rFonts w:ascii="Arial" w:cs="Arial" w:eastAsia="Arial" w:hAnsi="Arial"/>
          <w:b/>
          <w:bCs/>
          <w:color w:val="1B5E3A"/>
          <w:sz w:val="24"/>
          <w:szCs w:val="24"/>
        </w:rPr>
        <w:t xml:space="preserve">8.2 Recriar o banco, se for um projeto novo</w:t>
      </w:r>
    </w:p>
    <w:p>
      <w:pPr>
        <w:spacing w:after="140" w:before="60"/>
      </w:pPr>
      <w:r>
        <w:rPr>
          <w:rFonts w:ascii="Arial" w:cs="Arial" w:eastAsia="Arial" w:hAnsi="Arial"/>
          <w:sz w:val="22"/>
          <w:szCs w:val="22"/>
        </w:rPr>
        <w:t xml:space="preserve">Caso a entidade receptora opte por criar um projeto do zero em vez de receber o existente, o repositório traz tudo o que é necessário. O passo a passo completo está no arquivo supabase/README.md. Em resumo, é rodar dois arquivos de SQL na ordem, configurar a autenticação por email e cadastrar os endereços de redirecionamento.</w:t>
      </w:r>
    </w:p>
    <w:p>
      <w:pPr>
        <w:pStyle w:val="Heading2"/>
        <w:spacing w:after="120" w:before="260"/>
      </w:pPr>
      <w:r>
        <w:rPr>
          <w:rFonts w:ascii="Arial" w:cs="Arial" w:eastAsia="Arial" w:hAnsi="Arial"/>
          <w:b/>
          <w:bCs/>
          <w:color w:val="1B5E3A"/>
          <w:sz w:val="24"/>
          <w:szCs w:val="24"/>
        </w:rPr>
        <w:t xml:space="preserve">8.3 Cadastrar as variáveis de ambiente</w:t>
      </w:r>
    </w:p>
    <w:p>
      <w:pPr>
        <w:spacing w:after="140" w:before="60"/>
      </w:pPr>
      <w:r>
        <w:rPr>
          <w:rFonts w:ascii="Arial" w:cs="Arial" w:eastAsia="Arial" w:hAnsi="Arial"/>
          <w:sz w:val="22"/>
          <w:szCs w:val="22"/>
        </w:rPr>
        <w:t xml:space="preserve">São duas, e as mesmas valem para a hospedagem e para as ações automatizadas do repositório: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800"/>
      </w:tblGrid>
      <w:tr>
        <w:trPr>
          <w:tblHeader/>
        </w:trPr>
        <w:tc>
          <w:tcPr>
            <w:tcW w:type="dxa" w:w="30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Nome</w:t>
            </w:r>
          </w:p>
        </w:tc>
        <w:tc>
          <w:tcPr>
            <w:tcW w:type="dxa" w:w="30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é</w:t>
            </w:r>
          </w:p>
        </w:tc>
        <w:tc>
          <w:tcPr>
            <w:tcW w:type="dxa" w:w="28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encontrar</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VITE_SUPABASE_URL</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Endereço do projeto no Supabase</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Painel do Supabase, em configurações de API</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VITE_SUPABASE_ANON_KEY</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Chave pública de acesso</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Mesma tela, campo da chave publicável</w:t>
            </w:r>
          </w:p>
        </w:tc>
      </w:tr>
    </w:tbl>
    <w:p>
      <w:pPr>
        <w:spacing w:after="140" w:before="160"/>
      </w:pPr>
      <w:r>
        <w:rPr>
          <w:rFonts w:ascii="Arial" w:cs="Arial" w:eastAsia="Arial" w:hAnsi="Arial"/>
          <w:sz w:val="22"/>
          <w:szCs w:val="22"/>
        </w:rPr>
        <w:t xml:space="preserve">Nas ações automatizadas do GitHub, as mesmas informações são cadastradas com os nomes SUPABASE_URL e SUPABASE_ANON_KEY.</w:t>
      </w:r>
    </w:p>
    <w:p>
      <w:pPr>
        <w:spacing w:after="140" w:before="120"/>
        <w:ind w:left="280"/>
      </w:pPr>
      <w:r>
        <w:rPr>
          <w:rFonts w:ascii="Arial" w:cs="Arial" w:eastAsia="Arial" w:hAnsi="Arial"/>
          <w:b/>
          <w:bCs/>
          <w:sz w:val="22"/>
          <w:szCs w:val="22"/>
        </w:rPr>
        <w:t xml:space="preserve">Sobre segurança: </w:t>
      </w:r>
      <w:r>
        <w:rPr>
          <w:rFonts w:ascii="Arial" w:cs="Arial" w:eastAsia="Arial" w:hAnsi="Arial"/>
          <w:sz w:val="22"/>
          <w:szCs w:val="22"/>
        </w:rPr>
        <w:t xml:space="preserve">a chave publicável é pública por natureza e fica visível no código que roda no navegador. Isso é esperado. Quem protege os dados são as regras de acesso configuradas dentro do banco, não o segredo da chave. A chave secreta do Supabase nunca deve ser usada no site.</w:t>
      </w:r>
    </w:p>
    <w:p>
      <w:pPr>
        <w:pStyle w:val="Heading2"/>
        <w:spacing w:after="120" w:before="260"/>
      </w:pPr>
      <w:r>
        <w:rPr>
          <w:rFonts w:ascii="Arial" w:cs="Arial" w:eastAsia="Arial" w:hAnsi="Arial"/>
          <w:b/>
          <w:bCs/>
          <w:color w:val="1B5E3A"/>
          <w:sz w:val="24"/>
          <w:szCs w:val="24"/>
        </w:rPr>
        <w:t xml:space="preserve">8.4 Conferir os endereços de redirecionamento</w:t>
      </w:r>
    </w:p>
    <w:p>
      <w:pPr>
        <w:spacing w:after="140" w:before="60"/>
      </w:pPr>
      <w:r>
        <w:rPr>
          <w:rFonts w:ascii="Arial" w:cs="Arial" w:eastAsia="Arial" w:hAnsi="Arial"/>
          <w:sz w:val="22"/>
          <w:szCs w:val="22"/>
        </w:rPr>
        <w:t xml:space="preserve">Na configuração de autenticação do Supabase, os endereços autorizados precisam incluir o domínio de produção e o endereço temporário da Vercel. Sem isso, o link enviado por email leva o usuário para uma página de erro.</w:t>
      </w:r>
    </w:p>
    <w:p>
      <w:pPr>
        <w:pStyle w:val="Heading1"/>
        <w:spacing w:after="160" w:before="360"/>
      </w:pPr>
      <w:r>
        <w:rPr>
          <w:rFonts w:ascii="Arial" w:cs="Arial" w:eastAsia="Arial" w:hAnsi="Arial"/>
          <w:b/>
          <w:bCs/>
          <w:color w:val="1B5E3A"/>
          <w:sz w:val="30"/>
          <w:szCs w:val="30"/>
        </w:rPr>
        <w:t xml:space="preserve">9. Manutenção</w:t>
      </w:r>
    </w:p>
    <w:p>
      <w:pPr>
        <w:pStyle w:val="Heading2"/>
        <w:spacing w:after="120" w:before="260"/>
      </w:pPr>
      <w:r>
        <w:rPr>
          <w:rFonts w:ascii="Arial" w:cs="Arial" w:eastAsia="Arial" w:hAnsi="Arial"/>
          <w:b/>
          <w:bCs/>
          <w:color w:val="1B5E3A"/>
          <w:sz w:val="24"/>
          <w:szCs w:val="24"/>
        </w:rPr>
        <w:t xml:space="preserve">9.1 O que roda sozinho</w:t>
      </w:r>
    </w:p>
    <w:p>
      <w:pPr>
        <w:spacing w:after="140" w:before="60"/>
      </w:pPr>
      <w:r>
        <w:rPr>
          <w:rFonts w:ascii="Arial" w:cs="Arial" w:eastAsia="Arial" w:hAnsi="Arial"/>
          <w:sz w:val="22"/>
          <w:szCs w:val="22"/>
        </w:rPr>
        <w:t xml:space="preserve">Duas rotinas diárias mantêm o banco acordado, fazendo uma consulta real de leitura. São independentes de propósito, para que a falha de uma não derrube a proteção:</w:t>
      </w:r>
    </w:p>
    <w:p>
      <w:pPr>
        <w:pStyle w:val="ListParagraph"/>
        <w:numPr>
          <w:ilvl w:val="0"/>
          <w:numId w:val="1"/>
        </w:numPr>
        <w:spacing w:after="60" w:before="40"/>
      </w:pPr>
      <w:r>
        <w:rPr>
          <w:rFonts w:ascii="Arial" w:cs="Arial" w:eastAsia="Arial" w:hAnsi="Arial"/>
          <w:sz w:val="22"/>
          <w:szCs w:val="22"/>
        </w:rPr>
        <w:t xml:space="preserve">Uma tarefa agendada na Vercel, que não depende de movimentação no repositório.</w:t>
      </w:r>
    </w:p>
    <w:p>
      <w:pPr>
        <w:pStyle w:val="ListParagraph"/>
        <w:numPr>
          <w:ilvl w:val="0"/>
          <w:numId w:val="1"/>
        </w:numPr>
        <w:spacing w:after="60" w:before="40"/>
      </w:pPr>
      <w:r>
        <w:rPr>
          <w:rFonts w:ascii="Arial" w:cs="Arial" w:eastAsia="Arial" w:hAnsi="Arial"/>
          <w:sz w:val="22"/>
          <w:szCs w:val="22"/>
        </w:rPr>
        <w:t xml:space="preserve">Um fluxo automatizado no GitHub, que serve de reserva.</w:t>
      </w:r>
    </w:p>
    <w:p>
      <w:pPr>
        <w:spacing w:after="140" w:before="60"/>
      </w:pPr>
      <w:r>
        <w:rPr>
          <w:rFonts w:ascii="Arial" w:cs="Arial" w:eastAsia="Arial" w:hAnsi="Arial"/>
          <w:sz w:val="22"/>
          <w:szCs w:val="22"/>
        </w:rPr>
        <w:t xml:space="preserve">Se a consulta falhar, o fluxo do GitHub abre automaticamente uma issue no repositório descrevendo o problema e onde procurar. Isso foi acrescentado depois de um episódio em que a rotina falhou em silêncio por seis semanas e o projeto acabou pausado.</w:t>
      </w:r>
    </w:p>
    <w:p>
      <w:pPr>
        <w:spacing w:after="140" w:before="120"/>
        <w:ind w:left="280"/>
      </w:pPr>
      <w:r>
        <w:rPr>
          <w:rFonts w:ascii="Arial" w:cs="Arial" w:eastAsia="Arial" w:hAnsi="Arial"/>
          <w:b/>
          <w:bCs/>
          <w:sz w:val="22"/>
          <w:szCs w:val="22"/>
        </w:rPr>
        <w:t xml:space="preserve">Limitação conhecida: </w:t>
      </w:r>
      <w:r>
        <w:rPr>
          <w:rFonts w:ascii="Arial" w:cs="Arial" w:eastAsia="Arial" w:hAnsi="Arial"/>
          <w:sz w:val="22"/>
          <w:szCs w:val="22"/>
        </w:rPr>
        <w:t xml:space="preserve">o GitHub desativa sozinho fluxos agendados em repositórios públicos que passam sessenta dias sem receber nenhum commit. É comportamento da plataforma e não há como desligar. Se o repositório ficar parado, o fluxo aparece como desativado e basta reativá-lo por um botão na própria tela. A camada da Vercel não sofre disso, por isso ela é a principal.</w:t>
      </w:r>
    </w:p>
    <w:p>
      <w:pPr>
        <w:pStyle w:val="Heading2"/>
        <w:spacing w:after="120" w:before="260"/>
      </w:pPr>
      <w:r>
        <w:rPr>
          <w:rFonts w:ascii="Arial" w:cs="Arial" w:eastAsia="Arial" w:hAnsi="Arial"/>
          <w:b/>
          <w:bCs/>
          <w:color w:val="1B5E3A"/>
          <w:sz w:val="24"/>
          <w:szCs w:val="24"/>
        </w:rPr>
        <w:t xml:space="preserve">9.2 O que precisa de gente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6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fazer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mês</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Abrir o site e confirmar que carrega. Conferir se há issue aberta pelo fluxo automatizado.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semestre</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Exportar uma cópia dos dados do banco e guardar fora da plataforma.</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ano</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Renovar o domínio. Revisar as dependências do projeto em busca de atualizações de segurança.</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entrar turma nova</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Rodar a bateria de testes, que está no documento correspondente.</w:t>
            </w:r>
          </w:p>
        </w:tc>
      </w:tr>
    </w:tbl>
    <w:p>
      <w:pPr>
        <w:pStyle w:val="Heading2"/>
        <w:spacing w:after="120" w:before="260"/>
      </w:pPr>
      <w:r>
        <w:rPr>
          <w:rFonts w:ascii="Arial" w:cs="Arial" w:eastAsia="Arial" w:hAnsi="Arial"/>
          <w:b/>
          <w:bCs/>
          <w:color w:val="1B5E3A"/>
          <w:sz w:val="24"/>
          <w:szCs w:val="24"/>
        </w:rPr>
        <w:t xml:space="preserve">9.3 Como fazer a cópia de segurança</w:t>
      </w:r>
    </w:p>
    <w:p>
      <w:pPr>
        <w:spacing w:after="140" w:before="60"/>
      </w:pPr>
      <w:r>
        <w:rPr>
          <w:rFonts w:ascii="Arial" w:cs="Arial" w:eastAsia="Arial" w:hAnsi="Arial"/>
          <w:sz w:val="22"/>
          <w:szCs w:val="22"/>
        </w:rPr>
        <w:t xml:space="preserve">No painel do Supabase existe a opção de exportar os dados do banco. Também é possível usar a ferramenta de linha de comando do Supabase, com o comando de dump, o que gera um arquivo único que pode ser guardado em qualquer lugar. Guarde essa cópia fora da própria plataforma.</w:t>
      </w:r>
    </w:p>
    <w:p>
      <w:pPr>
        <w:pStyle w:val="Heading1"/>
        <w:spacing w:after="160" w:before="360"/>
      </w:pPr>
      <w:r>
        <w:rPr>
          <w:rFonts w:ascii="Arial" w:cs="Arial" w:eastAsia="Arial" w:hAnsi="Arial"/>
          <w:b/>
          <w:bCs/>
          <w:color w:val="1B5E3A"/>
          <w:sz w:val="30"/>
          <w:szCs w:val="30"/>
        </w:rPr>
        <w:t xml:space="preserve">10. Custos</w:t>
      </w:r>
    </w:p>
    <w:p>
      <w:pPr>
        <w:spacing w:after="140" w:before="60"/>
      </w:pPr>
      <w:r>
        <w:rPr>
          <w:rFonts w:ascii="Arial" w:cs="Arial" w:eastAsia="Arial" w:hAnsi="Arial"/>
          <w:sz w:val="22"/>
          <w:szCs w:val="22"/>
        </w:rPr>
        <w:t xml:space="preserve">Hoje a plataforma inteira funciona sem custo mensal. O único gasto obrigatório é a renovação anual do domínio.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38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Item</w:t>
            </w:r>
          </w:p>
        </w:tc>
        <w:tc>
          <w:tcPr>
            <w:tcW w:type="dxa" w:w="2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Custo hoje</w:t>
            </w:r>
          </w:p>
        </w:tc>
        <w:tc>
          <w:tcPr>
            <w:tcW w:type="dxa" w:w="38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 passa a custar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Só com tráfego muito acima do uso acadêmico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Cerca de 25 dólares por mês se optar pelo plano pago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Repositório</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Não se aplica em repositório público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ano, junto ao registrador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emails</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Acima de três mil mensagens por mês</w:t>
            </w:r>
          </w:p>
        </w:tc>
      </w:tr>
    </w:tbl>
    <w:p>
      <w:pPr>
        <w:spacing w:after="140" w:before="160"/>
      </w:pPr>
      <w:r>
        <w:rPr>
          <w:rFonts w:ascii="Arial" w:cs="Arial" w:eastAsia="Arial" w:hAnsi="Arial"/>
          <w:sz w:val="22"/>
          <w:szCs w:val="22"/>
        </w:rPr>
        <w:t xml:space="preserve">Vale a pena avaliar o plano pago do banco em duas situações: se a instituição exigir backup diário automático, ou se não for aceitável que o projeto pause por inatividade durante as férias. Projeto em plano pago não pausa e passa a ter cópias diárias.</w:t>
      </w:r>
    </w:p>
    <w:p>
      <w:pPr>
        <w:pStyle w:val="Heading1"/>
        <w:spacing w:after="160" w:before="360"/>
      </w:pPr>
      <w:r>
        <w:rPr>
          <w:rFonts w:ascii="Arial" w:cs="Arial" w:eastAsia="Arial" w:hAnsi="Arial"/>
          <w:b/>
          <w:bCs/>
          <w:color w:val="1B5E3A"/>
          <w:sz w:val="30"/>
          <w:szCs w:val="30"/>
        </w:rPr>
        <w:t xml:space="preserve">11. Pontos de atenção</w:t>
      </w:r>
    </w:p>
    <w:p>
      <w:pPr>
        <w:spacing w:after="140" w:before="60"/>
      </w:pPr>
      <w:r>
        <w:rPr>
          <w:rFonts w:ascii="Arial" w:cs="Arial" w:eastAsia="Arial" w:hAnsi="Arial"/>
          <w:sz w:val="22"/>
          <w:szCs w:val="22"/>
        </w:rPr>
        <w:t xml:space="preserve">Esta seção existe para que nada seja descoberto por acidente. São limitações reais, verificadas, e cada uma tem um caminho de solução.</w:t>
      </w:r>
    </w:p>
    <w:p>
      <w:pPr>
        <w:pStyle w:val="Heading2"/>
        <w:spacing w:after="120" w:before="260"/>
      </w:pPr>
      <w:r>
        <w:rPr>
          <w:rFonts w:ascii="Arial" w:cs="Arial" w:eastAsia="Arial" w:hAnsi="Arial"/>
          <w:b/>
          <w:bCs/>
          <w:color w:val="1B5E3A"/>
          <w:sz w:val="24"/>
          <w:szCs w:val="24"/>
        </w:rPr>
        <w:t xml:space="preserve">11.1 Volume de emails</w:t>
      </w:r>
    </w:p>
    <w:p>
      <w:pPr>
        <w:spacing w:after="140" w:before="60"/>
      </w:pPr>
      <w:r>
        <w:rPr>
          <w:rFonts w:ascii="Arial" w:cs="Arial" w:eastAsia="Arial" w:hAnsi="Arial"/>
          <w:sz w:val="22"/>
          <w:szCs w:val="22"/>
        </w:rPr>
        <w:t xml:space="preserve">O login é feito por link enviado ao email, sem senha, e o envio passa por um serviço dedicado com domínio próprio verificado. O plano gratuito desse serviço cobre três mil mensagens por mês, o que atende com folga o uso de várias turmas.</w:t>
      </w:r>
    </w:p>
    <w:p>
      <w:pPr>
        <w:spacing w:after="140" w:before="60"/>
      </w:pPr>
      <w:r>
        <w:rPr>
          <w:rFonts w:ascii="Arial" w:cs="Arial" w:eastAsia="Arial" w:hAnsi="Arial"/>
          <w:sz w:val="22"/>
          <w:szCs w:val="22"/>
        </w:rPr>
        <w:t xml:space="preserve">O ponto de atenção é de titularidade, não de capacidade: essa conta também precisa ser transferida, ou recriada em nome da entidade receptora. Se ela expirar ou for desativada, ninguém mais consegue entrar na plataforma, porque o login depende inteiramente do email chegar. O procedimento está no arquivo supabase/README.md.</w:t>
      </w:r>
    </w:p>
    <w:p>
      <w:pPr>
        <w:pStyle w:val="Heading2"/>
        <w:spacing w:after="120" w:before="260"/>
      </w:pPr>
      <w:r>
        <w:rPr>
          <w:rFonts w:ascii="Arial" w:cs="Arial" w:eastAsia="Arial" w:hAnsi="Arial"/>
          <w:b/>
          <w:bCs/>
          <w:color w:val="1B5E3A"/>
          <w:sz w:val="24"/>
          <w:szCs w:val="24"/>
        </w:rPr>
        <w:t xml:space="preserve">11.2 Backup não automatizado</w:t>
      </w:r>
    </w:p>
    <w:p>
      <w:pPr>
        <w:spacing w:after="140" w:before="60"/>
      </w:pPr>
      <w:r>
        <w:rPr>
          <w:rFonts w:ascii="Arial" w:cs="Arial" w:eastAsia="Arial" w:hAnsi="Arial"/>
          <w:sz w:val="22"/>
          <w:szCs w:val="22"/>
        </w:rPr>
        <w:t xml:space="preserve">O plano gratuito não faz cópias automáticas. Enquanto assim for, a cópia depende de alguém executar a exportação. A rotina semestral da seção 9.2 cobre isso, mas é um processo manual e portanto sujeito a esquecimento.</w:t>
      </w:r>
    </w:p>
    <w:p>
      <w:pPr>
        <w:pStyle w:val="Heading2"/>
        <w:spacing w:after="120" w:before="260"/>
      </w:pPr>
      <w:r>
        <w:rPr>
          <w:rFonts w:ascii="Arial" w:cs="Arial" w:eastAsia="Arial" w:hAnsi="Arial"/>
          <w:b/>
          <w:bCs/>
          <w:color w:val="1B5E3A"/>
          <w:sz w:val="24"/>
          <w:szCs w:val="24"/>
        </w:rPr>
        <w:t xml:space="preserve">11.3 Responsividade fina de alguns minigames</w:t>
      </w:r>
    </w:p>
    <w:p>
      <w:pPr>
        <w:spacing w:after="140" w:before="60"/>
      </w:pPr>
      <w:r>
        <w:rPr>
          <w:rFonts w:ascii="Arial" w:cs="Arial" w:eastAsia="Arial" w:hAnsi="Arial"/>
          <w:sz w:val="22"/>
          <w:szCs w:val="22"/>
        </w:rPr>
        <w:t xml:space="preserve">Três minigames foram construídos com medidas fixas em pixels e podem ficar apertados em telas muito pequenas. O jogo continua funcionando, mas a experiência não é ideal. A correção envolve trocar medidas fixas por medidas relativas e é de baixa complexidade.</w:t>
      </w:r>
    </w:p>
    <w:p>
      <w:pPr>
        <w:pStyle w:val="Heading2"/>
        <w:spacing w:after="120" w:before="260"/>
      </w:pPr>
      <w:r>
        <w:rPr>
          <w:rFonts w:ascii="Arial" w:cs="Arial" w:eastAsia="Arial" w:hAnsi="Arial"/>
          <w:b/>
          <w:bCs/>
          <w:color w:val="1B5E3A"/>
          <w:sz w:val="24"/>
          <w:szCs w:val="24"/>
        </w:rPr>
        <w:t xml:space="preserve">11.4 Acessibilidade</w:t>
      </w:r>
    </w:p>
    <w:p>
      <w:pPr>
        <w:spacing w:after="140" w:before="60"/>
      </w:pPr>
      <w:r>
        <w:rPr>
          <w:rFonts w:ascii="Arial" w:cs="Arial" w:eastAsia="Arial" w:hAnsi="Arial"/>
          <w:sz w:val="22"/>
          <w:szCs w:val="22"/>
        </w:rPr>
        <w:t xml:space="preserve">A plataforma aplica boas práticas de acessibilidade, com rótulos descritivos, navegação por teclado, foco visível, respeito à preferência de redução de movimento e alvos de toque adequados. O que não foi feito é uma auditoria formal de conformidade. Se a entidade receptora precisar declarar conformidade com alguma norma específica, essa auditoria precisa ser contratada.</w:t>
      </w:r>
    </w:p>
    <w:p>
      <w:pPr>
        <w:pStyle w:val="Heading2"/>
        <w:spacing w:after="120" w:before="260"/>
      </w:pPr>
      <w:r>
        <w:rPr>
          <w:rFonts w:ascii="Arial" w:cs="Arial" w:eastAsia="Arial" w:hAnsi="Arial"/>
          <w:b/>
          <w:bCs/>
          <w:color w:val="1B5E3A"/>
          <w:sz w:val="24"/>
          <w:szCs w:val="24"/>
        </w:rPr>
        <w:t xml:space="preserve">11.5 Histórico do repositório</w:t>
      </w:r>
    </w:p>
    <w:p>
      <w:pPr>
        <w:spacing w:after="140" w:before="60"/>
      </w:pPr>
      <w:r>
        <w:rPr>
          <w:rFonts w:ascii="Arial" w:cs="Arial" w:eastAsia="Arial" w:hAnsi="Arial"/>
          <w:sz w:val="22"/>
          <w:szCs w:val="22"/>
        </w:rPr>
        <w:t xml:space="preserve">O histórico do repositório carrega arquivos grandes que foram commitados por engano em uma fase inicial e depois removidos. Eles não afetam o funcionamento, mas deixam o download inicial mais pesado do que precisaria. Limpar exige reescrever o histórico, operação que invalida cópias já baixadas por outras pessoas. Só vale fazer antes de distribuir o repositório mais amplamente.</w:t>
      </w:r>
    </w:p>
    <w:p>
      <w:pPr>
        <w:pStyle w:val="Heading1"/>
        <w:spacing w:after="160" w:before="360"/>
      </w:pPr>
      <w:r>
        <w:rPr>
          <w:rFonts w:ascii="Arial" w:cs="Arial" w:eastAsia="Arial" w:hAnsi="Arial"/>
          <w:b/>
          <w:bCs/>
          <w:color w:val="1B5E3A"/>
          <w:sz w:val="30"/>
          <w:szCs w:val="30"/>
        </w:rPr>
        <w:t xml:space="preserve">12. Checklist da transferência</w:t>
      </w:r>
    </w:p>
    <w:p>
      <w:pPr>
        <w:pStyle w:val="Heading2"/>
        <w:spacing w:after="120" w:before="260"/>
      </w:pPr>
      <w:r>
        <w:rPr>
          <w:rFonts w:ascii="Arial" w:cs="Arial" w:eastAsia="Arial" w:hAnsi="Arial"/>
          <w:b/>
          <w:bCs/>
          <w:color w:val="1B5E3A"/>
          <w:sz w:val="24"/>
          <w:szCs w:val="24"/>
        </w:rPr>
        <w:t xml:space="preserve">Antes</w:t>
      </w:r>
    </w:p>
    <w:p>
      <w:pPr>
        <w:pStyle w:val="ListParagraph"/>
        <w:numPr>
          <w:ilvl w:val="0"/>
          <w:numId w:val="1"/>
        </w:numPr>
        <w:spacing w:after="60" w:before="40"/>
      </w:pPr>
      <w:r>
        <w:rPr>
          <w:rFonts w:ascii="Arial" w:cs="Arial" w:eastAsia="Arial" w:hAnsi="Arial"/>
          <w:sz w:val="22"/>
          <w:szCs w:val="22"/>
        </w:rPr>
        <w:t xml:space="preserve">Definir quem serão os responsáveis institucionais</w:t>
      </w:r>
    </w:p>
    <w:p>
      <w:pPr>
        <w:pStyle w:val="ListParagraph"/>
        <w:numPr>
          <w:ilvl w:val="0"/>
          <w:numId w:val="1"/>
        </w:numPr>
        <w:spacing w:after="60" w:before="40"/>
      </w:pPr>
      <w:r>
        <w:rPr>
          <w:rFonts w:ascii="Arial" w:cs="Arial" w:eastAsia="Arial" w:hAnsi="Arial"/>
          <w:sz w:val="22"/>
          <w:szCs w:val="22"/>
        </w:rPr>
        <w:t xml:space="preserve">Criar as contas de destino nos três serviços</w:t>
      </w:r>
    </w:p>
    <w:p>
      <w:pPr>
        <w:pStyle w:val="ListParagraph"/>
        <w:numPr>
          <w:ilvl w:val="0"/>
          <w:numId w:val="1"/>
        </w:numPr>
        <w:spacing w:after="60" w:before="40"/>
      </w:pPr>
      <w:r>
        <w:rPr>
          <w:rFonts w:ascii="Arial" w:cs="Arial" w:eastAsia="Arial" w:hAnsi="Arial"/>
          <w:sz w:val="22"/>
          <w:szCs w:val="22"/>
        </w:rPr>
        <w:t xml:space="preserve">Exportar uma cópia dos dados do banco</w:t>
      </w:r>
    </w:p>
    <w:p>
      <w:pPr>
        <w:pStyle w:val="ListParagraph"/>
        <w:numPr>
          <w:ilvl w:val="0"/>
          <w:numId w:val="1"/>
        </w:numPr>
        <w:spacing w:after="60" w:before="40"/>
      </w:pPr>
      <w:r>
        <w:rPr>
          <w:rFonts w:ascii="Arial" w:cs="Arial" w:eastAsia="Arial" w:hAnsi="Arial"/>
          <w:sz w:val="22"/>
          <w:szCs w:val="22"/>
        </w:rPr>
        <w:t xml:space="preserve">Confirmar que o site está funcionando, rodando a bateria de testes</w:t>
      </w:r>
    </w:p>
    <w:p>
      <w:pPr>
        <w:pStyle w:val="Heading2"/>
        <w:spacing w:after="120" w:before="260"/>
      </w:pPr>
      <w:r>
        <w:rPr>
          <w:rFonts w:ascii="Arial" w:cs="Arial" w:eastAsia="Arial" w:hAnsi="Arial"/>
          <w:b/>
          <w:bCs/>
          <w:color w:val="1B5E3A"/>
          <w:sz w:val="24"/>
          <w:szCs w:val="24"/>
        </w:rPr>
        <w:t xml:space="preserve">Durante</w:t>
      </w:r>
    </w:p>
    <w:p>
      <w:pPr>
        <w:pStyle w:val="ListParagraph"/>
        <w:numPr>
          <w:ilvl w:val="0"/>
          <w:numId w:val="1"/>
        </w:numPr>
        <w:spacing w:after="60" w:before="40"/>
      </w:pPr>
      <w:r>
        <w:rPr>
          <w:rFonts w:ascii="Arial" w:cs="Arial" w:eastAsia="Arial" w:hAnsi="Arial"/>
          <w:sz w:val="22"/>
          <w:szCs w:val="22"/>
        </w:rPr>
        <w:t xml:space="preserve">Transferir o repositório e aceitar o convite</w:t>
      </w:r>
    </w:p>
    <w:p>
      <w:pPr>
        <w:pStyle w:val="ListParagraph"/>
        <w:numPr>
          <w:ilvl w:val="0"/>
          <w:numId w:val="1"/>
        </w:numPr>
        <w:spacing w:after="60" w:before="40"/>
      </w:pPr>
      <w:r>
        <w:rPr>
          <w:rFonts w:ascii="Arial" w:cs="Arial" w:eastAsia="Arial" w:hAnsi="Arial"/>
          <w:sz w:val="22"/>
          <w:szCs w:val="22"/>
        </w:rPr>
        <w:t xml:space="preserve">Publicar o site na conta de destino</w:t>
      </w:r>
    </w:p>
    <w:p>
      <w:pPr>
        <w:pStyle w:val="ListParagraph"/>
        <w:numPr>
          <w:ilvl w:val="0"/>
          <w:numId w:val="1"/>
        </w:numPr>
        <w:spacing w:after="60" w:before="40"/>
      </w:pPr>
      <w:r>
        <w:rPr>
          <w:rFonts w:ascii="Arial" w:cs="Arial" w:eastAsia="Arial" w:hAnsi="Arial"/>
          <w:sz w:val="22"/>
          <w:szCs w:val="22"/>
        </w:rPr>
        <w:t xml:space="preserve">Cadastrar as variáveis de ambiente em todos os ambientes</w:t>
      </w:r>
    </w:p>
    <w:p>
      <w:pPr>
        <w:pStyle w:val="ListParagraph"/>
        <w:numPr>
          <w:ilvl w:val="0"/>
          <w:numId w:val="1"/>
        </w:numPr>
        <w:spacing w:after="60" w:before="40"/>
      </w:pPr>
      <w:r>
        <w:rPr>
          <w:rFonts w:ascii="Arial" w:cs="Arial" w:eastAsia="Arial" w:hAnsi="Arial"/>
          <w:sz w:val="22"/>
          <w:szCs w:val="22"/>
        </w:rPr>
        <w:t xml:space="preserve">Recadastrar os segredos das ações automatizadas</w:t>
      </w:r>
    </w:p>
    <w:p>
      <w:pPr>
        <w:pStyle w:val="ListParagraph"/>
        <w:numPr>
          <w:ilvl w:val="0"/>
          <w:numId w:val="1"/>
        </w:numPr>
        <w:spacing w:after="60" w:before="40"/>
      </w:pPr>
      <w:r>
        <w:rPr>
          <w:rFonts w:ascii="Arial" w:cs="Arial" w:eastAsia="Arial" w:hAnsi="Arial"/>
          <w:sz w:val="22"/>
          <w:szCs w:val="22"/>
        </w:rPr>
        <w:t xml:space="preserve">Transferir o projeto do banco</w:t>
      </w:r>
    </w:p>
    <w:p>
      <w:pPr>
        <w:pStyle w:val="ListParagraph"/>
        <w:numPr>
          <w:ilvl w:val="0"/>
          <w:numId w:val="1"/>
        </w:numPr>
        <w:spacing w:after="60" w:before="40"/>
      </w:pPr>
      <w:r>
        <w:rPr>
          <w:rFonts w:ascii="Arial" w:cs="Arial" w:eastAsia="Arial" w:hAnsi="Arial"/>
          <w:sz w:val="22"/>
          <w:szCs w:val="22"/>
        </w:rPr>
        <w:t xml:space="preserve">Apontar o domínio para a nova publicação</w:t>
      </w:r>
    </w:p>
    <w:p>
      <w:pPr>
        <w:pStyle w:val="Heading2"/>
        <w:spacing w:after="120" w:before="260"/>
      </w:pPr>
      <w:r>
        <w:rPr>
          <w:rFonts w:ascii="Arial" w:cs="Arial" w:eastAsia="Arial" w:hAnsi="Arial"/>
          <w:b/>
          <w:bCs/>
          <w:color w:val="1B5E3A"/>
          <w:sz w:val="24"/>
          <w:szCs w:val="24"/>
        </w:rPr>
        <w:t xml:space="preserve">Depois</w:t>
      </w:r>
    </w:p>
    <w:p>
      <w:pPr>
        <w:pStyle w:val="ListParagraph"/>
        <w:numPr>
          <w:ilvl w:val="0"/>
          <w:numId w:val="1"/>
        </w:numPr>
        <w:spacing w:after="60" w:before="40"/>
      </w:pPr>
      <w:r>
        <w:rPr>
          <w:rFonts w:ascii="Arial" w:cs="Arial" w:eastAsia="Arial" w:hAnsi="Arial"/>
          <w:sz w:val="22"/>
          <w:szCs w:val="22"/>
        </w:rPr>
        <w:t xml:space="preserve">Confirmar que o domínio abre e que o cadeado de segurança aparece</w:t>
      </w:r>
    </w:p>
    <w:p>
      <w:pPr>
        <w:pStyle w:val="ListParagraph"/>
        <w:numPr>
          <w:ilvl w:val="0"/>
          <w:numId w:val="1"/>
        </w:numPr>
        <w:spacing w:after="60" w:before="40"/>
      </w:pPr>
      <w:r>
        <w:rPr>
          <w:rFonts w:ascii="Arial" w:cs="Arial" w:eastAsia="Arial" w:hAnsi="Arial"/>
          <w:sz w:val="22"/>
          <w:szCs w:val="22"/>
        </w:rPr>
        <w:t xml:space="preserve">Criar uma conta de teste e verificar que o link de acesso chega</w:t>
      </w:r>
    </w:p>
    <w:p>
      <w:pPr>
        <w:pStyle w:val="ListParagraph"/>
        <w:numPr>
          <w:ilvl w:val="0"/>
          <w:numId w:val="1"/>
        </w:numPr>
        <w:spacing w:after="60" w:before="40"/>
      </w:pPr>
      <w:r>
        <w:rPr>
          <w:rFonts w:ascii="Arial" w:cs="Arial" w:eastAsia="Arial" w:hAnsi="Arial"/>
          <w:sz w:val="22"/>
          <w:szCs w:val="22"/>
        </w:rPr>
        <w:t xml:space="preserve">Conferir que o ranking carrega</w:t>
      </w:r>
    </w:p>
    <w:p>
      <w:pPr>
        <w:pStyle w:val="ListParagraph"/>
        <w:numPr>
          <w:ilvl w:val="0"/>
          <w:numId w:val="1"/>
        </w:numPr>
        <w:spacing w:after="60" w:before="40"/>
      </w:pPr>
      <w:r>
        <w:rPr>
          <w:rFonts w:ascii="Arial" w:cs="Arial" w:eastAsia="Arial" w:hAnsi="Arial"/>
          <w:sz w:val="22"/>
          <w:szCs w:val="22"/>
        </w:rPr>
        <w:t xml:space="preserve">Confirmar que as duas rotinas de manutenção estão ativas</w:t>
      </w:r>
    </w:p>
    <w:p>
      <w:pPr>
        <w:pStyle w:val="ListParagraph"/>
        <w:numPr>
          <w:ilvl w:val="0"/>
          <w:numId w:val="1"/>
        </w:numPr>
        <w:spacing w:after="60" w:before="40"/>
      </w:pPr>
      <w:r>
        <w:rPr>
          <w:rFonts w:ascii="Arial" w:cs="Arial" w:eastAsia="Arial" w:hAnsi="Arial"/>
          <w:sz w:val="22"/>
          <w:szCs w:val="22"/>
        </w:rPr>
        <w:t xml:space="preserve">Registrar a renovação do domínio no calendário institucional</w:t>
      </w:r>
    </w:p>
    <w:p>
      <w:pPr>
        <w:pStyle w:val="ListParagraph"/>
        <w:numPr>
          <w:ilvl w:val="0"/>
          <w:numId w:val="1"/>
        </w:numPr>
        <w:spacing w:after="60" w:before="40"/>
      </w:pPr>
      <w:r>
        <w:rPr>
          <w:rFonts w:ascii="Arial" w:cs="Arial" w:eastAsia="Arial" w:hAnsi="Arial"/>
          <w:sz w:val="22"/>
          <w:szCs w:val="22"/>
        </w:rPr>
        <w:t xml:space="preserve">Definir quem responde pelo tratamento de dados pessoais e atualizar esse contato na política de privacidade do site</w:t>
      </w:r>
    </w:p>
    <w:p>
      <w:pPr>
        <w:pStyle w:val="Heading1"/>
        <w:spacing w:after="160" w:before="360"/>
      </w:pPr>
      <w:r>
        <w:rPr>
          <w:rFonts w:ascii="Arial" w:cs="Arial" w:eastAsia="Arial" w:hAnsi="Arial"/>
          <w:b/>
          <w:bCs/>
          <w:color w:val="1B5E3A"/>
          <w:sz w:val="30"/>
          <w:szCs w:val="30"/>
        </w:rPr>
        <w:t xml:space="preserve">13. Onde encontrar o resto</w:t>
      </w:r>
    </w:p>
    <w:p>
      <w:pPr>
        <w:spacing w:after="140" w:before="60"/>
      </w:pPr>
      <w:r>
        <w:rPr>
          <w:rFonts w:ascii="Arial" w:cs="Arial" w:eastAsia="Arial" w:hAnsi="Arial"/>
          <w:sz w:val="22"/>
          <w:szCs w:val="22"/>
        </w:rPr>
        <w:t xml:space="preserve">O repositório contém a documentação técnica que complementa este guia: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tblGrid>
      <w:tr>
        <w:trPr>
          <w:tblHeader/>
        </w:trPr>
        <w:tc>
          <w:tcPr>
            <w:tcW w:type="dxa" w:w="32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Arquivo</w:t>
            </w:r>
          </w:p>
        </w:tc>
        <w:tc>
          <w:tcPr>
            <w:tcW w:type="dxa" w:w="5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Conteúdo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Visão geral, como rodar localmente, como publicar</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NOTICE.md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Autoria, licença e bibliotecas de terceiros</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docs/arquitetura.md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Como o sistema é organizado por dentro e por que</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docs/contribuindo.md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Padrões para quem for alterar o código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Configuração completa do banco, passo a passo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src/js/modules/minigames/README.md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Contrato técnico dos minigames</w:t>
            </w:r>
          </w:p>
        </w:tc>
      </w:tr>
    </w:tbl>
    <w:p>
      <w:pPr>
        <w:spacing w:after="140" w:before="60"/>
      </w:pPr>
      <w:r>
        <w:rPr>
          <w:rFonts w:ascii="Arial" w:cs="Arial" w:eastAsia="Arial" w:hAnsi="Arial"/>
          <w:sz w:val="22"/>
          <w:szCs w:val="22"/>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2026-08-10T02:55:03.414Z</dcterms:created>
  <dcterms:modified xsi:type="dcterms:W3CDTF">2026-08-10T02:55:03.415Z</dcterms:modified>
</cp:coreProperties>
</file>

<file path=docProps/custom.xml><?xml version="1.0" encoding="utf-8"?>
<Properties xmlns="http://schemas.openxmlformats.org/officeDocument/2006/custom-properties" xmlns:vt="http://schemas.openxmlformats.org/officeDocument/2006/docPropsVTypes"/>
</file>