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3.png" ContentType="image/png"/>
  <Override PartName="/word/media/rId41.png" ContentType="image/png"/>
  <Override PartName="/word/media/rId46.png" ContentType="image/png"/>
  <Override PartName="/word/media/rId53.png" ContentType="image/png"/>
  <Override PartName="/word/footer_pag.xml" ContentType="application/vnd.openxmlformats-officedocument.wordprocessingml.footer+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lang w:val="es-AR"/>
            </w:rPr>
            <w:t xml:space="preserve">Índice</w:t>
          </w:r>
        </w:p>
        <w:p>
          <w:r>
            <w:fldChar w:fldCharType="begin" w:dirty="true"/>
            <w:instrText xml:space="preserve">TOC \o "1-3" \h \z \u</w:instrText>
            <w:fldChar w:fldCharType="separate"/>
            <w:fldChar w:fldCharType="end"/>
          </w:r>
        </w:p>
      </w:sdtContent>
    </w:sdt>
    <w:bookmarkStart w:id="13" w:name="introducción"/>
    <w:p>
      <w:pPr>
        <w:pStyle w:val="Heading1"/>
      </w:pPr>
      <w:r>
        <w:rPr>
          <w:lang w:val="es-AR"/>
        </w:rPr>
        <w:t xml:space="preserve">1. Introducción</w:t>
      </w:r>
    </w:p>
    <w:bookmarkStart w:id="9" w:name="objetivo-del-trabajo"/>
    <w:p>
      <w:pPr>
        <w:pStyle w:val="Heading2"/>
      </w:pPr>
      <w:r>
        <w:rPr>
          <w:lang w:val="es-AR"/>
        </w:rPr>
        <w:t xml:space="preserve">1.1. Objetivo del trabajo</w:t>
      </w:r>
    </w:p>
    <w:p>
      <w:pPr>
        <w:pStyle w:val="FirstParagraph"/>
      </w:pPr>
      <w:r>
        <w:rPr>
          <w:lang w:val="es-AR"/>
        </w:rPr>
        <w:t xml:space="preserve">El objetivo del presente trabajo es modelar, mediante métodos numéricos, la evolución de las reproducciones de la canción «Rosa Pastel» de la banda mexicana Belanova en Spotify México durante 2023, año en que el tema resurgió por efecto de una tendencia en la red social TikTok. A partir de los datos semanales reales se busca responder tres preguntas cuantitativas: qué función continua describe las reproducciones acumuladas, en qué momento se superaron los 100 millones de reproducciones acumuladas y en qué momento se alcanzó la máxima velocidad de crecimiento.</w:t>
      </w:r>
    </w:p>
    <w:p>
      <w:pPr>
        <w:pStyle w:val="BodyText"/>
      </w:pPr>
      <w:r>
        <w:rPr>
          <w:lang w:val="es-AR"/>
        </w:rPr>
        <w:t xml:space="preserve">El problema se plantea como un</w:t>
      </w:r>
      <w:r>
        <w:rPr>
          <w:lang w:val="es-AR"/>
        </w:rPr>
        <w:t xml:space="preserve"> </w:t>
      </w:r>
      <w:r>
        <w:rPr>
          <w:b/>
          <w:bCs/>
          <w:lang w:val="es-AR"/>
        </w:rPr>
        <w:t xml:space="preserve">pronóstico de demanda de un servicio informático</w:t>
      </w:r>
      <w:r>
        <w:rPr>
          <w:lang w:val="es-AR"/>
        </w:rPr>
        <w:t xml:space="preserve">: los resultados se traducen a ancho de banda, volumen de datos transferidos y ventana de saturación de una capacidad dada, magnitudes con las que se dimensiona la infraestructura de distribución.</w:t>
      </w:r>
    </w:p>
    <w:p>
      <w:pPr>
        <w:pStyle w:val="BodyText"/>
      </w:pPr>
      <w:r>
        <w:rPr>
          <w:lang w:val="es-AR"/>
        </w:rPr>
        <w:t xml:space="preserve">Como segundo objetivo, se generaliza el procedimiento para que pueda aplicarse a cualquier canción a partir de su serie semanal, y se lo contrasta con dos estrenos masivos: «Ella Baila Sola» (Eslabón Armado y Peso Pluma) y «Tití Me Preguntó» (Bad Bunny). Esta comparación permite evaluar en qué casos el modelo elegido es adecuado y en cuáles no.</w:t>
      </w:r>
    </w:p>
    <w:bookmarkEnd w:id="9"/>
    <w:bookmarkStart w:id="10" w:name="problema-abordado"/>
    <w:p>
      <w:pPr>
        <w:pStyle w:val="Heading2"/>
      </w:pPr>
      <w:r>
        <w:rPr>
          <w:lang w:val="es-AR"/>
        </w:rPr>
        <w:t xml:space="preserve">1.2. Problema abordado</w:t>
      </w:r>
    </w:p>
    <w:p>
      <w:pPr>
        <w:pStyle w:val="FirstParagraph"/>
      </w:pPr>
      <w:r>
        <w:rPr>
          <w:lang w:val="es-AR"/>
        </w:rPr>
        <w:t xml:space="preserve">Las plataformas de</w:t>
      </w:r>
      <w:r>
        <w:rPr>
          <w:lang w:val="es-AR"/>
        </w:rPr>
        <w:t xml:space="preserve"> </w:t>
      </w:r>
      <w:r>
        <w:rPr>
          <w:i/>
          <w:iCs/>
          <w:lang w:val="es-AR"/>
        </w:rPr>
        <w:t xml:space="preserve">streaming</w:t>
      </w:r>
      <w:r>
        <w:rPr>
          <w:lang w:val="es-AR"/>
        </w:rPr>
        <w:t xml:space="preserve"> </w:t>
      </w:r>
      <w:r>
        <w:rPr>
          <w:lang w:val="es-AR"/>
        </w:rPr>
        <w:t xml:space="preserve">registran el consumo como series discretas, por ejemplo la cantidad de reproducciones por semana. Una canción de catálogo que vuelve a popularizarse presenta un comportamiento característico: las reproducciones semanales crecen durante varios meses, alcanzan un máximo y luego se estabilizan, por lo que la serie acumulada adopta una forma de «S» suave. Un estreno masivo, en cambio, comienza con su máximo de reproducciones y decae a partir de allí.</w:t>
      </w:r>
    </w:p>
    <w:p>
      <w:pPr>
        <w:pStyle w:val="BodyText"/>
      </w:pPr>
      <w:r>
        <w:rPr>
          <w:lang w:val="es-AR"/>
        </w:rPr>
        <w:t xml:space="preserve">Desde la Ingeniería Informática, cada reproducción es una transferencia de datos desde los servidores de distribución de contenidos hacia el usuario. Por eso los resultados del modelo tienen una lectura directa en términos de infraestructura: la</w:t>
      </w:r>
      <w:r>
        <w:rPr>
          <w:lang w:val="es-AR"/>
        </w:rPr>
        <w:t xml:space="preserve"> </w:t>
      </w:r>
      <w:r>
        <w:rPr>
          <w:b/>
          <w:bCs/>
          <w:lang w:val="es-AR"/>
        </w:rPr>
        <w:t xml:space="preserve">tasa</w:t>
      </w:r>
      <w:r>
        <w:rPr>
          <w:lang w:val="es-AR"/>
        </w:rPr>
        <w:t xml:space="preserve"> </w:t>
      </w:r>
      <w:r>
        <w:rPr>
          <w:lang w:val="es-AR"/>
        </w:rPr>
        <w:t xml:space="preserve">de reproducciones</w:t>
      </w:r>
      <w:r>
        <w:rPr>
          <w:lang w:val="es-AR"/>
        </w:rPr>
        <w:t xml:space="preserve"> </w:t>
      </w:r>
      <m:oMath>
        <m:sSup>
          <m:e>
            <m:r>
              <m:t>S</m:t>
            </m:r>
          </m:e>
          <m:sup>
            <m:r>
              <m:rPr>
                <m:sty m:val="p"/>
              </m:rPr>
              <m:t>′</m:t>
            </m:r>
          </m:sup>
        </m:sSup>
        <m:r>
          <m:rPr>
            <m:sty m:val="p"/>
          </m:rPr>
          <m:t>(</m:t>
        </m:r>
        <m:r>
          <m:t>t</m:t>
        </m:r>
        <m:r>
          <m:rPr>
            <m:sty m:val="p"/>
          </m:rPr>
          <m:t>)</m:t>
        </m:r>
      </m:oMath>
      <w:r>
        <w:rPr>
          <w:lang w:val="es-AR"/>
        </w:rPr>
        <w:t xml:space="preserve"> </w:t>
      </w:r>
      <w:r>
        <w:rPr>
          <w:lang w:val="es-AR"/>
        </w:rPr>
        <w:t xml:space="preserve">determina el ancho de banda necesario y permite calcular cuándo la demanda supera una capacidad dada, mientras que el</w:t>
      </w:r>
      <w:r>
        <w:rPr>
          <w:lang w:val="es-AR"/>
        </w:rPr>
        <w:t xml:space="preserve"> </w:t>
      </w:r>
      <w:r>
        <w:rPr>
          <w:b/>
          <w:bCs/>
          <w:lang w:val="es-AR"/>
        </w:rPr>
        <w:t xml:space="preserve">acumulado</w:t>
      </w:r>
      <w:r>
        <w:rPr>
          <w:lang w:val="es-AR"/>
        </w:rPr>
        <w:t xml:space="preserve"> </w:t>
      </w:r>
      <m:oMath>
        <m:r>
          <m:t>S</m:t>
        </m:r>
        <m:r>
          <m:rPr>
            <m:sty m:val="p"/>
          </m:rPr>
          <m:t>(</m:t>
        </m:r>
        <m:r>
          <m:t>t</m:t>
        </m:r>
        <m:r>
          <m:rPr>
            <m:sty m:val="p"/>
          </m:rPr>
          <m:t>)</m:t>
        </m:r>
      </m:oMath>
      <w:r>
        <w:rPr>
          <w:lang w:val="es-AR"/>
        </w:rPr>
        <w:t xml:space="preserve"> </w:t>
      </w:r>
      <w:r>
        <w:rPr>
          <w:lang w:val="es-AR"/>
        </w:rPr>
        <w:t xml:space="preserve">determina el volumen total de datos transferidos, del que dependen los costos de red. El trabajo se plantea, entonces, como un problema de pronóstico de demanda para el dimensionamiento de un servicio informático, con la canción como caso de estudio.</w:t>
      </w:r>
    </w:p>
    <w:bookmarkEnd w:id="10"/>
    <w:bookmarkStart w:id="11" w:name="métodos-numéricos-involucrados"/>
    <w:p>
      <w:pPr>
        <w:pStyle w:val="Heading2"/>
      </w:pPr>
      <w:r>
        <w:rPr>
          <w:lang w:val="es-AR"/>
        </w:rPr>
        <w:t xml:space="preserve">1.3. Métodos numéricos involucrados</w:t>
      </w:r>
    </w:p>
    <w:p>
      <w:pPr>
        <w:pStyle w:val="FirstParagraph"/>
      </w:pPr>
      <w:r>
        <w:rPr>
          <w:lang w:val="es-AR"/>
        </w:rPr>
        <w:t xml:space="preserve">Para resolver el problema se emplean los siguientes métodos, desarrollados en los apuntes de la cátedra:</w:t>
      </w:r>
    </w:p>
    <w:p>
      <w:pPr>
        <w:pStyle w:val="Compact"/>
        <w:numPr>
          <w:ilvl w:val="0"/>
          <w:numId w:val="1001"/>
        </w:numPr>
      </w:pPr>
      <w:r>
        <w:rPr>
          <w:b/>
          <w:bCs/>
          <w:lang w:val="es-AR"/>
        </w:rPr>
        <w:t xml:space="preserve">Ajuste de curvas por mínimos cuadrados</w:t>
      </w:r>
      <w:r>
        <w:rPr>
          <w:lang w:val="es-AR"/>
        </w:rPr>
        <w:t xml:space="preserve"> </w:t>
      </w:r>
      <w:r>
        <w:rPr>
          <w:lang w:val="es-AR"/>
        </w:rPr>
        <w:t xml:space="preserve">(cap. 5.2), extendido a un polinomio de tercer grado, para obtener una función continua y derivable que aproxima la serie acumulada.</w:t>
      </w:r>
    </w:p>
    <w:p>
      <w:pPr>
        <w:pStyle w:val="Compact"/>
        <w:numPr>
          <w:ilvl w:val="0"/>
          <w:numId w:val="1001"/>
        </w:numPr>
      </w:pPr>
      <w:r>
        <w:rPr>
          <w:b/>
          <w:bCs/>
          <w:lang w:val="es-AR"/>
        </w:rPr>
        <w:t xml:space="preserve">Eliminación gaussiana</w:t>
      </w:r>
      <w:r>
        <w:rPr>
          <w:lang w:val="es-AR"/>
        </w:rPr>
        <w:t xml:space="preserve"> </w:t>
      </w:r>
      <w:r>
        <w:rPr>
          <w:lang w:val="es-AR"/>
        </w:rPr>
        <w:t xml:space="preserve">(cap. 4.2), para resolver el sistema de ecuaciones normales que surge del ajuste.</w:t>
      </w:r>
    </w:p>
    <w:p>
      <w:pPr>
        <w:pStyle w:val="Compact"/>
        <w:numPr>
          <w:ilvl w:val="0"/>
          <w:numId w:val="1001"/>
        </w:numPr>
      </w:pPr>
      <w:r>
        <w:rPr>
          <w:b/>
          <w:bCs/>
          <w:lang w:val="es-AR"/>
        </w:rPr>
        <w:t xml:space="preserve">Trazadora cúbica natural</w:t>
      </w:r>
      <w:r>
        <w:rPr>
          <w:lang w:val="es-AR"/>
        </w:rPr>
        <w:t xml:space="preserve"> </w:t>
      </w:r>
      <w:r>
        <w:rPr>
          <w:lang w:val="es-AR"/>
        </w:rPr>
        <w:t xml:space="preserve">(cap. 5.5), como modelo de contraste que pasa exactamente por todos los datos medidos.</w:t>
      </w:r>
    </w:p>
    <w:p>
      <w:pPr>
        <w:pStyle w:val="Compact"/>
        <w:numPr>
          <w:ilvl w:val="0"/>
          <w:numId w:val="1001"/>
        </w:numPr>
      </w:pPr>
      <w:r>
        <w:rPr>
          <w:b/>
          <w:bCs/>
          <w:lang w:val="es-AR"/>
        </w:rPr>
        <w:t xml:space="preserve">Métodos de Bisección y Newton-Raphson</w:t>
      </w:r>
      <w:r>
        <w:rPr>
          <w:lang w:val="es-AR"/>
        </w:rPr>
        <w:t xml:space="preserve"> </w:t>
      </w:r>
      <w:r>
        <w:rPr>
          <w:lang w:val="es-AR"/>
        </w:rPr>
        <w:t xml:space="preserve">(caps. 3.2 y 3.4), para resolver la ecuación no lineal que define el instante en que se alcanzan los 100 millones de reproducciones, comparándolos entre sí.</w:t>
      </w:r>
    </w:p>
    <w:p>
      <w:pPr>
        <w:pStyle w:val="Compact"/>
        <w:numPr>
          <w:ilvl w:val="0"/>
          <w:numId w:val="1001"/>
        </w:numPr>
      </w:pPr>
      <w:r>
        <w:rPr>
          <w:b/>
          <w:bCs/>
          <w:lang w:val="es-AR"/>
        </w:rPr>
        <w:t xml:space="preserve">Diferenciación numérica por diferencias finitas</w:t>
      </w:r>
      <w:r>
        <w:rPr>
          <w:lang w:val="es-AR"/>
        </w:rPr>
        <w:t xml:space="preserve"> </w:t>
      </w:r>
      <w:r>
        <w:rPr>
          <w:lang w:val="es-AR"/>
        </w:rPr>
        <w:t xml:space="preserve">(cap. 6), para estimar la velocidad de crecimiento de las reproducciones y ubicar su máximo.</w:t>
      </w:r>
    </w:p>
    <w:bookmarkEnd w:id="11"/>
    <w:bookmarkStart w:id="12" w:name="importancia-del-enfoque-numérico"/>
    <w:p>
      <w:pPr>
        <w:pStyle w:val="Heading2"/>
      </w:pPr>
      <w:r>
        <w:rPr>
          <w:lang w:val="es-AR"/>
        </w:rPr>
        <w:t xml:space="preserve">1.4. Importancia del enfoque numérico</w:t>
      </w:r>
    </w:p>
    <w:p>
      <w:pPr>
        <w:pStyle w:val="FirstParagraph"/>
      </w:pPr>
      <w:r>
        <w:rPr>
          <w:lang w:val="es-AR"/>
        </w:rPr>
        <w:t xml:space="preserve">Los datos son valores discretos, medidos una vez por semana, y no existe una expresión analítica conocida que los genere. Por lo tanto, no es posible derivar ni despejar raíces sobre la función «real» del fenómeno: primero es necesario construir una aproximación continua y luego resolver sobre ella las ecuaciones de interés. Los métodos numéricos proporcionan esa cadena de herramientas y permiten, además, cuantificar el error de cada etapa, lo que resulta indispensable para interpretar los resultados con la precisión que realmente admiten.</w:t>
      </w:r>
    </w:p>
    <w:bookmarkEnd w:id="12"/>
    <w:bookmarkEnd w:id="13"/>
    <w:bookmarkStart w:id="18" w:name="planteo-del-problema"/>
    <w:p>
      <w:pPr>
        <w:pStyle w:val="Heading1"/>
      </w:pPr>
      <w:r>
        <w:rPr>
          <w:lang w:val="es-AR"/>
        </w:rPr>
        <w:t xml:space="preserve">2. Planteo del problema</w:t>
      </w:r>
    </w:p>
    <w:bookmarkStart w:id="14" w:name="origen-y-contexto-del-problema"/>
    <w:p>
      <w:pPr>
        <w:pStyle w:val="Heading2"/>
      </w:pPr>
      <w:r>
        <w:rPr>
          <w:lang w:val="es-AR"/>
        </w:rPr>
        <w:t xml:space="preserve">2.1. Origen y contexto del problema</w:t>
      </w:r>
    </w:p>
    <w:p>
      <w:pPr>
        <w:pStyle w:val="FirstParagraph"/>
      </w:pPr>
      <w:r>
        <w:rPr>
          <w:lang w:val="es-AR"/>
        </w:rPr>
        <w:t xml:space="preserve">«Rosa Pastel» es un tema del álbum</w:t>
      </w:r>
      <w:r>
        <w:rPr>
          <w:lang w:val="es-AR"/>
        </w:rPr>
        <w:t xml:space="preserve"> </w:t>
      </w:r>
      <w:r>
        <w:rPr>
          <w:i/>
          <w:iCs/>
          <w:lang w:val="es-AR"/>
        </w:rPr>
        <w:t xml:space="preserve">Dulce Beat</w:t>
      </w:r>
      <w:r>
        <w:rPr>
          <w:lang w:val="es-AR"/>
        </w:rPr>
        <w:t xml:space="preserve"> </w:t>
      </w:r>
      <w:r>
        <w:rPr>
          <w:lang w:val="es-AR"/>
        </w:rPr>
        <w:t xml:space="preserve">de Belanova. En julio de 2023 se popularizó en TikTok como fondo de videos en los que los usuarios contrastaban los sueños que tenían en el pasado con su situación actual (Chilango, 2023). Esa difusión se reflejó en un aumento sostenido de sus reproducciones en Spotify México a lo largo de todo el año.</w:t>
      </w:r>
    </w:p>
    <w:p>
      <w:pPr>
        <w:pStyle w:val="BodyText"/>
      </w:pPr>
      <w:r>
        <w:rPr>
          <w:lang w:val="es-AR"/>
        </w:rPr>
        <w:t xml:space="preserve">El problema se inscribe en el área de la Ingeniería Informática vinculada al análisis de datos y a la planificación de capacidad de sistemas distribuidos: anticipar la trayectoria de la demanda de un contenido permite prever picos de tráfico y dimensionar los recursos de cómputo y de red.</w:t>
      </w:r>
    </w:p>
    <w:bookmarkEnd w:id="14"/>
    <w:bookmarkStart w:id="15" w:name="fuente-y-alcance-de-los-datos"/>
    <w:p>
      <w:pPr>
        <w:pStyle w:val="Heading2"/>
      </w:pPr>
      <w:r>
        <w:rPr>
          <w:lang w:val="es-AR"/>
        </w:rPr>
        <w:t xml:space="preserve">2.2. Fuente y alcance de los datos</w:t>
      </w:r>
    </w:p>
    <w:p>
      <w:pPr>
        <w:pStyle w:val="FirstParagraph"/>
      </w:pPr>
      <w:r>
        <w:rPr>
          <w:lang w:val="es-AR"/>
        </w:rPr>
        <w:t xml:space="preserve">Los datos corresponden a las reproducciones semanales registradas en el chart semanal Top 200 de Spotify México, recopiladas por el sitio Kworb a partir de los charts oficiales de Spotify (Kworb, 2026a). Deben tenerse en cuenta las siguientes condiciones:</w:t>
      </w:r>
    </w:p>
    <w:p>
      <w:pPr>
        <w:pStyle w:val="Compact"/>
        <w:numPr>
          <w:ilvl w:val="0"/>
          <w:numId w:val="1002"/>
        </w:numPr>
      </w:pPr>
      <w:r>
        <w:rPr>
          <w:lang w:val="es-AR"/>
        </w:rPr>
        <w:t xml:space="preserve">Solo se cuentan las reproducciones de Spotify en México y únicamente las semanas en que el tema figuró en el Top 200. No se incluyen otros países ni otras plataformas.</w:t>
      </w:r>
    </w:p>
    <w:p>
      <w:pPr>
        <w:pStyle w:val="Compact"/>
        <w:numPr>
          <w:ilvl w:val="0"/>
          <w:numId w:val="1002"/>
        </w:numPr>
      </w:pPr>
      <w:r>
        <w:rPr>
          <w:lang w:val="es-AR"/>
        </w:rPr>
        <w:t xml:space="preserve">La serie comienza el 26 de enero de 2023, porque la semana anterior (19 de enero) el tema no figuró en el chart; de este modo se trabaja con semanas consecutivas, sin huecos.</w:t>
      </w:r>
    </w:p>
    <w:p>
      <w:pPr>
        <w:pStyle w:val="Compact"/>
        <w:numPr>
          <w:ilvl w:val="0"/>
          <w:numId w:val="1002"/>
        </w:numPr>
      </w:pPr>
      <w:r>
        <w:rPr>
          <w:lang w:val="es-AR"/>
        </w:rPr>
        <w:t xml:space="preserve">Se analizan 47 semanas, hasta el 14 de diciembre de 2023. Por lo tanto, el acumulado de 100 millones se mide desde el 26 de enero de 2023 y no representa el total histórico del tema.</w:t>
      </w:r>
    </w:p>
    <w:p>
      <w:pPr>
        <w:pStyle w:val="FirstParagraph"/>
      </w:pPr>
      <w:r>
        <w:rPr>
          <w:lang w:val="es-AR"/>
        </w:rPr>
        <w:t xml:space="preserve">Se toma como origen de tiempos (</w:t>
      </w:r>
      <m:oMath>
        <m:r>
          <m:t>t</m:t>
        </m:r>
        <m:r>
          <m:rPr>
            <m:sty m:val="p"/>
          </m:rPr>
          <m:t>=</m:t>
        </m:r>
        <m:r>
          <m:t>0</m:t>
        </m:r>
      </m:oMath>
      <w:r>
        <w:rPr>
          <w:lang w:val="es-AR"/>
        </w:rPr>
        <w:t xml:space="preserve">) la semana con cierre el 26 de enero de 2023. Las reproducciones semanales</w:t>
      </w:r>
      <w:r>
        <w:rPr>
          <w:lang w:val="es-AR"/>
        </w:rPr>
        <w:t xml:space="preserve"> </w:t>
      </w:r>
      <m:oMath>
        <m:sSub>
          <m:e>
            <m:r>
              <m:t>r</m:t>
            </m:r>
          </m:e>
          <m:sub>
            <m:r>
              <m:t>i</m:t>
            </m:r>
          </m:sub>
        </m:sSub>
      </m:oMath>
      <w:r>
        <w:rPr>
          <w:lang w:val="es-AR"/>
        </w:rPr>
        <w:t xml:space="preserve"> </w:t>
      </w:r>
      <w:r>
        <w:rPr>
          <w:lang w:val="es-AR"/>
        </w:rPr>
        <w:t xml:space="preserve">se expresan en millones (M) y las acumuladas se obtienen como</w:t>
      </w:r>
    </w:p>
    <w:p>
      <w:pPr>
        <w:pStyle w:val="BodyText"/>
      </w:pPr>
      <m:oMathPara>
        <m:oMathParaPr>
          <m:jc m:val="center"/>
        </m:oMathParaPr>
        <m:oMath>
          <m:sSub>
            <m:e>
              <m:r>
                <m:t>S</m:t>
              </m:r>
            </m:e>
            <m:sub>
              <m:r>
                <m:t>i</m:t>
              </m:r>
            </m:sub>
          </m:sSub>
          <m:r>
            <m:rPr>
              <m:sty m:val="p"/>
            </m:rPr>
            <m:t>=</m:t>
          </m:r>
          <m:nary>
            <m:naryPr>
              <m:chr m:val="∑"/>
              <m:limLoc m:val="undOvr"/>
              <m:subHide m:val="off"/>
              <m:supHide m:val="off"/>
            </m:naryPr>
            <m:sub>
              <m:r>
                <m:t>j</m:t>
              </m:r>
              <m:r>
                <m:rPr>
                  <m:sty m:val="p"/>
                </m:rPr>
                <m:t>=</m:t>
              </m:r>
              <m:r>
                <m:t>0</m:t>
              </m:r>
            </m:sub>
            <m:sup>
              <m:r>
                <m:t>i</m:t>
              </m:r>
            </m:sup>
            <m:e>
              <m:sSub>
                <m:e>
                  <m:r>
                    <m:t>r</m:t>
                  </m:r>
                </m:e>
                <m:sub>
                  <m:r>
                    <m:t>j</m:t>
                  </m:r>
                </m:sub>
              </m:sSub>
            </m:e>
          </m:nary>
          <m:r>
            <m:rPr>
              <m:sty m:val="p"/>
            </m:rPr>
            <m:t>,</m:t>
          </m:r>
          <m:r>
            <m:t>  </m:t>
          </m:r>
          <m:r>
            <m:t>i</m:t>
          </m:r>
          <m:r>
            <m:rPr>
              <m:sty m:val="p"/>
            </m:rPr>
            <m:t>=</m:t>
          </m:r>
          <m:r>
            <m:t>0</m:t>
          </m:r>
          <m:r>
            <m:rPr>
              <m:sty m:val="p"/>
            </m:rPr>
            <m:t>,</m:t>
          </m:r>
          <m:r>
            <m:t>1</m:t>
          </m:r>
          <m:r>
            <m:rPr>
              <m:sty m:val="p"/>
            </m:rPr>
            <m:t>,</m:t>
          </m:r>
          <m:r>
            <m:rPr>
              <m:sty m:val="p"/>
            </m:rPr>
            <m:t>…</m:t>
          </m:r>
          <m:r>
            <m:rPr>
              <m:sty m:val="p"/>
            </m:rPr>
            <m:t>,</m:t>
          </m:r>
          <m:r>
            <m:t>46</m:t>
          </m:r>
        </m:oMath>
      </m:oMathPara>
    </w:p>
    <w:p>
      <w:pPr>
        <w:pStyle w:val="TableCaption"/>
      </w:pPr>
      <w:r>
        <w:rPr>
          <w:lang w:val="es-AR"/>
        </w:rPr>
        <w:t xml:space="preserve">Tabla 1. Reproducciones semanales y acumuladas de «Rosa Pastel» en Spotify México (fuente: Kworb).</w:t>
      </w:r>
    </w:p>
    <w:tbl>
      <w:tblPr>
        <w:tblStyle w:val="Table"/>
        <w:tblW w:type="dxa" w:w="5862"/>
        <w:tblLook w:firstRow="1" w:lastRow="0" w:firstColumn="0" w:lastColumn="0" w:noHBand="0" w:noVBand="0" w:val="0020"/>
        <w:tblCaption w:val="Tabla 1. Reproducciones semanales y acumuladas de «Rosa Pastel» en Spotify México (fuente: Kworb)."/>
      </w:tblPr>
      <w:tblGrid>
        <w:gridCol w:w="780"/>
        <w:gridCol w:w="1560"/>
        <w:gridCol w:w="2047"/>
        <w:gridCol w:w="1475"/>
      </w:tblGrid>
      <w:tr>
        <w:trPr>
          <w:tblHeader w:val="on"/>
        </w:trPr>
        <w:tc>
          <w:tcPr>
            <w:tcW w:type="dxa" w:w="780"/>
          </w:tcPr>
          <w:p>
            <w:pPr>
              <w:pStyle w:val="TableTextLong"/>
              <w:jc w:val="center"/>
            </w:pPr>
            <m:oMath>
              <m:sSub>
                <m:e>
                  <m:r>
                    <m:t>t</m:t>
                  </m:r>
                </m:e>
                <m:sub>
                  <m:r>
                    <m:t>i</m:t>
                  </m:r>
                </m:sub>
              </m:sSub>
            </m:oMath>
            <w:r>
              <w:rPr>
                <w:lang w:val="es-AR"/>
              </w:rPr>
              <w:t xml:space="preserve">​</w:t>
            </w:r>
          </w:p>
        </w:tc>
        <w:tc>
          <w:tcPr>
            <w:tcW w:type="dxa" w:w="1560"/>
          </w:tcPr>
          <w:p>
            <w:pPr>
              <w:pStyle w:val="TableTextLong"/>
              <w:jc w:val="center"/>
            </w:pPr>
            <w:r>
              <w:rPr>
                <w:lang w:val="es-AR"/>
              </w:rPr>
              <w:t xml:space="preserve">Cierre de semana</w:t>
            </w:r>
          </w:p>
        </w:tc>
        <w:tc>
          <w:tcPr>
            <w:tcW w:type="dxa" w:w="2047"/>
          </w:tcPr>
          <w:p>
            <w:pPr>
              <w:pStyle w:val="TableTextLong"/>
              <w:jc w:val="center"/>
            </w:pPr>
            <w:r>
              <w:rPr>
                <w:lang w:val="es-AR"/>
              </w:rPr>
              <w:t xml:space="preserve">Streams semanales</w:t>
            </w:r>
            <w:r>
              <w:rPr>
                <w:lang w:val="es-AR"/>
              </w:rPr>
              <w:t xml:space="preserve"> </w:t>
            </w:r>
            <m:oMath>
              <m:sSub>
                <m:e>
                  <m:r>
                    <m:t>r</m:t>
                  </m:r>
                </m:e>
                <m:sub>
                  <m:r>
                    <m:t>i</m:t>
                  </m:r>
                </m:sub>
              </m:sSub>
            </m:oMath>
            <w:r>
              <w:rPr>
                <w:lang w:val="es-AR"/>
              </w:rPr>
              <w:t xml:space="preserve"> </w:t>
            </w:r>
            <w:r>
              <w:rPr>
                <w:lang w:val="es-AR"/>
              </w:rPr>
              <w:t xml:space="preserve">(M)</w:t>
            </w:r>
          </w:p>
        </w:tc>
        <w:tc>
          <w:tcPr>
            <w:tcW w:type="dxa" w:w="1475"/>
          </w:tcPr>
          <w:p>
            <w:pPr>
              <w:pStyle w:val="TableTextLong"/>
              <w:jc w:val="center"/>
            </w:pPr>
            <w:r>
              <w:rPr>
                <w:lang w:val="es-AR"/>
              </w:rPr>
              <w:t xml:space="preserve">Acumulado</w:t>
            </w:r>
            <w:r>
              <w:rPr>
                <w:lang w:val="es-AR"/>
              </w:rPr>
              <w:t xml:space="preserve"> </w:t>
            </w:r>
            <m:oMath>
              <m:sSub>
                <m:e>
                  <m:r>
                    <m:t>S</m:t>
                  </m:r>
                </m:e>
                <m:sub>
                  <m:r>
                    <m:t>i</m:t>
                  </m:r>
                </m:sub>
              </m:sSub>
            </m:oMath>
            <w:r>
              <w:rPr>
                <w:lang w:val="es-AR"/>
              </w:rPr>
              <w:t xml:space="preserve"> </w:t>
            </w:r>
            <w:r>
              <w:rPr>
                <w:lang w:val="es-AR"/>
              </w:rPr>
              <w:t xml:space="preserve">(M)</w:t>
            </w:r>
          </w:p>
        </w:tc>
      </w:tr>
      <w:tr>
        <w:tc>
          <w:tcPr>
            <w:tcW w:type="dxa" w:w="780"/>
          </w:tcPr>
          <w:p>
            <w:pPr>
              <w:pStyle w:val="TableTextLong"/>
              <w:jc w:val="center"/>
            </w:pPr>
            <w:r>
              <w:rPr>
                <w:lang w:val="es-AR"/>
              </w:rPr>
              <w:t xml:space="preserve">0</w:t>
            </w:r>
          </w:p>
        </w:tc>
        <w:tc>
          <w:tcPr>
            <w:tcW w:type="dxa" w:w="1560"/>
          </w:tcPr>
          <w:p>
            <w:pPr>
              <w:pStyle w:val="TableTextLong"/>
              <w:jc w:val="center"/>
            </w:pPr>
            <w:r>
              <w:rPr>
                <w:lang w:val="es-AR"/>
              </w:rPr>
              <w:t xml:space="preserve">2023-01-26</w:t>
            </w:r>
          </w:p>
        </w:tc>
        <w:tc>
          <w:tcPr>
            <w:tcW w:type="dxa" w:w="2047"/>
          </w:tcPr>
          <w:p>
            <w:pPr>
              <w:pStyle w:val="TableTextLong"/>
              <w:jc w:val="center"/>
            </w:pPr>
            <w:r>
              <w:rPr>
                <w:lang w:val="es-AR"/>
              </w:rPr>
              <w:t xml:space="preserve">1,137</w:t>
            </w:r>
          </w:p>
        </w:tc>
        <w:tc>
          <w:tcPr>
            <w:tcW w:type="dxa" w:w="1475"/>
          </w:tcPr>
          <w:p>
            <w:pPr>
              <w:pStyle w:val="TableTextLong"/>
              <w:jc w:val="center"/>
            </w:pPr>
            <w:r>
              <w:rPr>
                <w:lang w:val="es-AR"/>
              </w:rPr>
              <w:t xml:space="preserve">1,137</w:t>
            </w:r>
          </w:p>
        </w:tc>
      </w:tr>
      <w:tr>
        <w:tc>
          <w:tcPr>
            <w:tcW w:type="dxa" w:w="780"/>
          </w:tcPr>
          <w:p>
            <w:pPr>
              <w:pStyle w:val="TableTextLong"/>
              <w:jc w:val="center"/>
            </w:pPr>
            <w:r>
              <w:rPr>
                <w:lang w:val="es-AR"/>
              </w:rPr>
              <w:t xml:space="preserve">1</w:t>
            </w:r>
          </w:p>
        </w:tc>
        <w:tc>
          <w:tcPr>
            <w:tcW w:type="dxa" w:w="1560"/>
          </w:tcPr>
          <w:p>
            <w:pPr>
              <w:pStyle w:val="TableTextLong"/>
              <w:jc w:val="center"/>
            </w:pPr>
            <w:r>
              <w:rPr>
                <w:lang w:val="es-AR"/>
              </w:rPr>
              <w:t xml:space="preserve">2023-02-02</w:t>
            </w:r>
          </w:p>
        </w:tc>
        <w:tc>
          <w:tcPr>
            <w:tcW w:type="dxa" w:w="2047"/>
          </w:tcPr>
          <w:p>
            <w:pPr>
              <w:pStyle w:val="TableTextLong"/>
              <w:jc w:val="center"/>
            </w:pPr>
            <w:r>
              <w:rPr>
                <w:lang w:val="es-AR"/>
              </w:rPr>
              <w:t xml:space="preserve">1,445</w:t>
            </w:r>
          </w:p>
        </w:tc>
        <w:tc>
          <w:tcPr>
            <w:tcW w:type="dxa" w:w="1475"/>
          </w:tcPr>
          <w:p>
            <w:pPr>
              <w:pStyle w:val="TableTextLong"/>
              <w:jc w:val="center"/>
            </w:pPr>
            <w:r>
              <w:rPr>
                <w:lang w:val="es-AR"/>
              </w:rPr>
              <w:t xml:space="preserve">2,583</w:t>
            </w:r>
          </w:p>
        </w:tc>
      </w:tr>
      <w:tr>
        <w:tc>
          <w:tcPr>
            <w:tcW w:type="dxa" w:w="780"/>
          </w:tcPr>
          <w:p>
            <w:pPr>
              <w:pStyle w:val="TableTextLong"/>
              <w:jc w:val="center"/>
            </w:pPr>
            <w:r>
              <w:rPr>
                <w:lang w:val="es-AR"/>
              </w:rPr>
              <w:t xml:space="preserve">2</w:t>
            </w:r>
          </w:p>
        </w:tc>
        <w:tc>
          <w:tcPr>
            <w:tcW w:type="dxa" w:w="1560"/>
          </w:tcPr>
          <w:p>
            <w:pPr>
              <w:pStyle w:val="TableTextLong"/>
              <w:jc w:val="center"/>
            </w:pPr>
            <w:r>
              <w:rPr>
                <w:lang w:val="es-AR"/>
              </w:rPr>
              <w:t xml:space="preserve">2023-02-09</w:t>
            </w:r>
          </w:p>
        </w:tc>
        <w:tc>
          <w:tcPr>
            <w:tcW w:type="dxa" w:w="2047"/>
          </w:tcPr>
          <w:p>
            <w:pPr>
              <w:pStyle w:val="TableTextLong"/>
              <w:jc w:val="center"/>
            </w:pPr>
            <w:r>
              <w:rPr>
                <w:lang w:val="es-AR"/>
              </w:rPr>
              <w:t xml:space="preserve">1,417</w:t>
            </w:r>
          </w:p>
        </w:tc>
        <w:tc>
          <w:tcPr>
            <w:tcW w:type="dxa" w:w="1475"/>
          </w:tcPr>
          <w:p>
            <w:pPr>
              <w:pStyle w:val="TableTextLong"/>
              <w:jc w:val="center"/>
            </w:pPr>
            <w:r>
              <w:rPr>
                <w:lang w:val="es-AR"/>
              </w:rPr>
              <w:t xml:space="preserve">4,000</w:t>
            </w:r>
          </w:p>
        </w:tc>
      </w:tr>
      <w:tr>
        <w:tc>
          <w:tcPr>
            <w:tcW w:type="dxa" w:w="780"/>
          </w:tcPr>
          <w:p>
            <w:pPr>
              <w:pStyle w:val="TableTextLong"/>
              <w:jc w:val="center"/>
            </w:pPr>
            <w:r>
              <w:rPr>
                <w:lang w:val="es-AR"/>
              </w:rPr>
              <w:t xml:space="preserve">3</w:t>
            </w:r>
          </w:p>
        </w:tc>
        <w:tc>
          <w:tcPr>
            <w:tcW w:type="dxa" w:w="1560"/>
          </w:tcPr>
          <w:p>
            <w:pPr>
              <w:pStyle w:val="TableTextLong"/>
              <w:jc w:val="center"/>
            </w:pPr>
            <w:r>
              <w:rPr>
                <w:lang w:val="es-AR"/>
              </w:rPr>
              <w:t xml:space="preserve">2023-02-16</w:t>
            </w:r>
          </w:p>
        </w:tc>
        <w:tc>
          <w:tcPr>
            <w:tcW w:type="dxa" w:w="2047"/>
          </w:tcPr>
          <w:p>
            <w:pPr>
              <w:pStyle w:val="TableTextLong"/>
              <w:jc w:val="center"/>
            </w:pPr>
            <w:r>
              <w:rPr>
                <w:lang w:val="es-AR"/>
              </w:rPr>
              <w:t xml:space="preserve">1,667</w:t>
            </w:r>
          </w:p>
        </w:tc>
        <w:tc>
          <w:tcPr>
            <w:tcW w:type="dxa" w:w="1475"/>
          </w:tcPr>
          <w:p>
            <w:pPr>
              <w:pStyle w:val="TableTextLong"/>
              <w:jc w:val="center"/>
            </w:pPr>
            <w:r>
              <w:rPr>
                <w:lang w:val="es-AR"/>
              </w:rPr>
              <w:t xml:space="preserve">5,667</w:t>
            </w:r>
          </w:p>
        </w:tc>
      </w:tr>
      <w:tr>
        <w:tc>
          <w:tcPr>
            <w:tcW w:type="dxa" w:w="780"/>
          </w:tcPr>
          <w:p>
            <w:pPr>
              <w:pStyle w:val="TableTextLong"/>
              <w:jc w:val="center"/>
            </w:pPr>
            <w:r>
              <w:rPr>
                <w:lang w:val="es-AR"/>
              </w:rPr>
              <w:t xml:space="preserve">4</w:t>
            </w:r>
          </w:p>
        </w:tc>
        <w:tc>
          <w:tcPr>
            <w:tcW w:type="dxa" w:w="1560"/>
          </w:tcPr>
          <w:p>
            <w:pPr>
              <w:pStyle w:val="TableTextLong"/>
              <w:jc w:val="center"/>
            </w:pPr>
            <w:r>
              <w:rPr>
                <w:lang w:val="es-AR"/>
              </w:rPr>
              <w:t xml:space="preserve">2023-02-23</w:t>
            </w:r>
          </w:p>
        </w:tc>
        <w:tc>
          <w:tcPr>
            <w:tcW w:type="dxa" w:w="2047"/>
          </w:tcPr>
          <w:p>
            <w:pPr>
              <w:pStyle w:val="TableTextLong"/>
              <w:jc w:val="center"/>
            </w:pPr>
            <w:r>
              <w:rPr>
                <w:lang w:val="es-AR"/>
              </w:rPr>
              <w:t xml:space="preserve">1,779</w:t>
            </w:r>
          </w:p>
        </w:tc>
        <w:tc>
          <w:tcPr>
            <w:tcW w:type="dxa" w:w="1475"/>
          </w:tcPr>
          <w:p>
            <w:pPr>
              <w:pStyle w:val="TableTextLong"/>
              <w:jc w:val="center"/>
            </w:pPr>
            <w:r>
              <w:rPr>
                <w:lang w:val="es-AR"/>
              </w:rPr>
              <w:t xml:space="preserve">7,446</w:t>
            </w:r>
          </w:p>
        </w:tc>
      </w:tr>
      <w:tr>
        <w:tc>
          <w:tcPr>
            <w:tcW w:type="dxa" w:w="780"/>
          </w:tcPr>
          <w:p>
            <w:pPr>
              <w:pStyle w:val="TableTextLong"/>
              <w:jc w:val="center"/>
            </w:pPr>
            <w:r>
              <w:rPr>
                <w:lang w:val="es-AR"/>
              </w:rPr>
              <w:t xml:space="preserve">5</w:t>
            </w:r>
          </w:p>
        </w:tc>
        <w:tc>
          <w:tcPr>
            <w:tcW w:type="dxa" w:w="1560"/>
          </w:tcPr>
          <w:p>
            <w:pPr>
              <w:pStyle w:val="TableTextLong"/>
              <w:jc w:val="center"/>
            </w:pPr>
            <w:r>
              <w:rPr>
                <w:lang w:val="es-AR"/>
              </w:rPr>
              <w:t xml:space="preserve">2023-03-02</w:t>
            </w:r>
          </w:p>
        </w:tc>
        <w:tc>
          <w:tcPr>
            <w:tcW w:type="dxa" w:w="2047"/>
          </w:tcPr>
          <w:p>
            <w:pPr>
              <w:pStyle w:val="TableTextLong"/>
              <w:jc w:val="center"/>
            </w:pPr>
            <w:r>
              <w:rPr>
                <w:lang w:val="es-AR"/>
              </w:rPr>
              <w:t xml:space="preserve">1,890</w:t>
            </w:r>
          </w:p>
        </w:tc>
        <w:tc>
          <w:tcPr>
            <w:tcW w:type="dxa" w:w="1475"/>
          </w:tcPr>
          <w:p>
            <w:pPr>
              <w:pStyle w:val="TableTextLong"/>
              <w:jc w:val="center"/>
            </w:pPr>
            <w:r>
              <w:rPr>
                <w:lang w:val="es-AR"/>
              </w:rPr>
              <w:t xml:space="preserve">9,336</w:t>
            </w:r>
          </w:p>
        </w:tc>
      </w:tr>
      <w:tr>
        <w:tc>
          <w:tcPr>
            <w:tcW w:type="dxa" w:w="780"/>
          </w:tcPr>
          <w:p>
            <w:pPr>
              <w:pStyle w:val="TableTextLong"/>
              <w:jc w:val="center"/>
            </w:pPr>
            <w:r>
              <w:rPr>
                <w:lang w:val="es-AR"/>
              </w:rPr>
              <w:t xml:space="preserve">6</w:t>
            </w:r>
          </w:p>
        </w:tc>
        <w:tc>
          <w:tcPr>
            <w:tcW w:type="dxa" w:w="1560"/>
          </w:tcPr>
          <w:p>
            <w:pPr>
              <w:pStyle w:val="TableTextLong"/>
              <w:jc w:val="center"/>
            </w:pPr>
            <w:r>
              <w:rPr>
                <w:lang w:val="es-AR"/>
              </w:rPr>
              <w:t xml:space="preserve">2023-03-09</w:t>
            </w:r>
          </w:p>
        </w:tc>
        <w:tc>
          <w:tcPr>
            <w:tcW w:type="dxa" w:w="2047"/>
          </w:tcPr>
          <w:p>
            <w:pPr>
              <w:pStyle w:val="TableTextLong"/>
              <w:jc w:val="center"/>
            </w:pPr>
            <w:r>
              <w:rPr>
                <w:lang w:val="es-AR"/>
              </w:rPr>
              <w:t xml:space="preserve">1,954</w:t>
            </w:r>
          </w:p>
        </w:tc>
        <w:tc>
          <w:tcPr>
            <w:tcW w:type="dxa" w:w="1475"/>
          </w:tcPr>
          <w:p>
            <w:pPr>
              <w:pStyle w:val="TableTextLong"/>
              <w:jc w:val="center"/>
            </w:pPr>
            <w:r>
              <w:rPr>
                <w:lang w:val="es-AR"/>
              </w:rPr>
              <w:t xml:space="preserve">11,290</w:t>
            </w:r>
          </w:p>
        </w:tc>
      </w:tr>
      <w:tr>
        <w:tc>
          <w:tcPr>
            <w:tcW w:type="dxa" w:w="780"/>
          </w:tcPr>
          <w:p>
            <w:pPr>
              <w:pStyle w:val="TableTextLong"/>
              <w:jc w:val="center"/>
            </w:pPr>
            <w:r>
              <w:rPr>
                <w:lang w:val="es-AR"/>
              </w:rPr>
              <w:t xml:space="preserve">7</w:t>
            </w:r>
          </w:p>
        </w:tc>
        <w:tc>
          <w:tcPr>
            <w:tcW w:type="dxa" w:w="1560"/>
          </w:tcPr>
          <w:p>
            <w:pPr>
              <w:pStyle w:val="TableTextLong"/>
              <w:jc w:val="center"/>
            </w:pPr>
            <w:r>
              <w:rPr>
                <w:lang w:val="es-AR"/>
              </w:rPr>
              <w:t xml:space="preserve">2023-03-16</w:t>
            </w:r>
          </w:p>
        </w:tc>
        <w:tc>
          <w:tcPr>
            <w:tcW w:type="dxa" w:w="2047"/>
          </w:tcPr>
          <w:p>
            <w:pPr>
              <w:pStyle w:val="TableTextLong"/>
              <w:jc w:val="center"/>
            </w:pPr>
            <w:r>
              <w:rPr>
                <w:lang w:val="es-AR"/>
              </w:rPr>
              <w:t xml:space="preserve">2,170</w:t>
            </w:r>
          </w:p>
        </w:tc>
        <w:tc>
          <w:tcPr>
            <w:tcW w:type="dxa" w:w="1475"/>
          </w:tcPr>
          <w:p>
            <w:pPr>
              <w:pStyle w:val="TableTextLong"/>
              <w:jc w:val="center"/>
            </w:pPr>
            <w:r>
              <w:rPr>
                <w:lang w:val="es-AR"/>
              </w:rPr>
              <w:t xml:space="preserve">13,460</w:t>
            </w:r>
          </w:p>
        </w:tc>
      </w:tr>
      <w:tr>
        <w:tc>
          <w:tcPr>
            <w:tcW w:type="dxa" w:w="780"/>
          </w:tcPr>
          <w:p>
            <w:pPr>
              <w:pStyle w:val="TableTextLong"/>
              <w:jc w:val="center"/>
            </w:pPr>
            <w:r>
              <w:rPr>
                <w:lang w:val="es-AR"/>
              </w:rPr>
              <w:t xml:space="preserve">8</w:t>
            </w:r>
          </w:p>
        </w:tc>
        <w:tc>
          <w:tcPr>
            <w:tcW w:type="dxa" w:w="1560"/>
          </w:tcPr>
          <w:p>
            <w:pPr>
              <w:pStyle w:val="TableTextLong"/>
              <w:jc w:val="center"/>
            </w:pPr>
            <w:r>
              <w:rPr>
                <w:lang w:val="es-AR"/>
              </w:rPr>
              <w:t xml:space="preserve">2023-03-23</w:t>
            </w:r>
          </w:p>
        </w:tc>
        <w:tc>
          <w:tcPr>
            <w:tcW w:type="dxa" w:w="2047"/>
          </w:tcPr>
          <w:p>
            <w:pPr>
              <w:pStyle w:val="TableTextLong"/>
              <w:jc w:val="center"/>
            </w:pPr>
            <w:r>
              <w:rPr>
                <w:lang w:val="es-AR"/>
              </w:rPr>
              <w:t xml:space="preserve">2,635</w:t>
            </w:r>
          </w:p>
        </w:tc>
        <w:tc>
          <w:tcPr>
            <w:tcW w:type="dxa" w:w="1475"/>
          </w:tcPr>
          <w:p>
            <w:pPr>
              <w:pStyle w:val="TableTextLong"/>
              <w:jc w:val="center"/>
            </w:pPr>
            <w:r>
              <w:rPr>
                <w:lang w:val="es-AR"/>
              </w:rPr>
              <w:t xml:space="preserve">16,095</w:t>
            </w:r>
          </w:p>
        </w:tc>
      </w:tr>
      <w:tr>
        <w:tc>
          <w:tcPr>
            <w:tcW w:type="dxa" w:w="780"/>
          </w:tcPr>
          <w:p>
            <w:pPr>
              <w:pStyle w:val="TableTextLong"/>
              <w:jc w:val="center"/>
            </w:pPr>
            <w:r>
              <w:rPr>
                <w:lang w:val="es-AR"/>
              </w:rPr>
              <w:t xml:space="preserve">9</w:t>
            </w:r>
          </w:p>
        </w:tc>
        <w:tc>
          <w:tcPr>
            <w:tcW w:type="dxa" w:w="1560"/>
          </w:tcPr>
          <w:p>
            <w:pPr>
              <w:pStyle w:val="TableTextLong"/>
              <w:jc w:val="center"/>
            </w:pPr>
            <w:r>
              <w:rPr>
                <w:lang w:val="es-AR"/>
              </w:rPr>
              <w:t xml:space="preserve">2023-03-30</w:t>
            </w:r>
          </w:p>
        </w:tc>
        <w:tc>
          <w:tcPr>
            <w:tcW w:type="dxa" w:w="2047"/>
          </w:tcPr>
          <w:p>
            <w:pPr>
              <w:pStyle w:val="TableTextLong"/>
              <w:jc w:val="center"/>
            </w:pPr>
            <w:r>
              <w:rPr>
                <w:lang w:val="es-AR"/>
              </w:rPr>
              <w:t xml:space="preserve">2,789</w:t>
            </w:r>
          </w:p>
        </w:tc>
        <w:tc>
          <w:tcPr>
            <w:tcW w:type="dxa" w:w="1475"/>
          </w:tcPr>
          <w:p>
            <w:pPr>
              <w:pStyle w:val="TableTextLong"/>
              <w:jc w:val="center"/>
            </w:pPr>
            <w:r>
              <w:rPr>
                <w:lang w:val="es-AR"/>
              </w:rPr>
              <w:t xml:space="preserve">18,884</w:t>
            </w:r>
          </w:p>
        </w:tc>
      </w:tr>
      <w:tr>
        <w:tc>
          <w:tcPr>
            <w:tcW w:type="dxa" w:w="780"/>
          </w:tcPr>
          <w:p>
            <w:pPr>
              <w:pStyle w:val="TableTextLong"/>
              <w:jc w:val="center"/>
            </w:pPr>
            <w:r>
              <w:rPr>
                <w:lang w:val="es-AR"/>
              </w:rPr>
              <w:t xml:space="preserve">10</w:t>
            </w:r>
          </w:p>
        </w:tc>
        <w:tc>
          <w:tcPr>
            <w:tcW w:type="dxa" w:w="1560"/>
          </w:tcPr>
          <w:p>
            <w:pPr>
              <w:pStyle w:val="TableTextLong"/>
              <w:jc w:val="center"/>
            </w:pPr>
            <w:r>
              <w:rPr>
                <w:lang w:val="es-AR"/>
              </w:rPr>
              <w:t xml:space="preserve">2023-04-06</w:t>
            </w:r>
          </w:p>
        </w:tc>
        <w:tc>
          <w:tcPr>
            <w:tcW w:type="dxa" w:w="2047"/>
          </w:tcPr>
          <w:p>
            <w:pPr>
              <w:pStyle w:val="TableTextLong"/>
              <w:jc w:val="center"/>
            </w:pPr>
            <w:r>
              <w:rPr>
                <w:lang w:val="es-AR"/>
              </w:rPr>
              <w:t xml:space="preserve">2,565</w:t>
            </w:r>
          </w:p>
        </w:tc>
        <w:tc>
          <w:tcPr>
            <w:tcW w:type="dxa" w:w="1475"/>
          </w:tcPr>
          <w:p>
            <w:pPr>
              <w:pStyle w:val="TableTextLong"/>
              <w:jc w:val="center"/>
            </w:pPr>
            <w:r>
              <w:rPr>
                <w:lang w:val="es-AR"/>
              </w:rPr>
              <w:t xml:space="preserve">21,448</w:t>
            </w:r>
          </w:p>
        </w:tc>
      </w:tr>
      <w:tr>
        <w:tc>
          <w:tcPr>
            <w:tcW w:type="dxa" w:w="780"/>
          </w:tcPr>
          <w:p>
            <w:pPr>
              <w:pStyle w:val="TableTextLong"/>
              <w:jc w:val="center"/>
            </w:pPr>
            <w:r>
              <w:rPr>
                <w:lang w:val="es-AR"/>
              </w:rPr>
              <w:t xml:space="preserve">11</w:t>
            </w:r>
          </w:p>
        </w:tc>
        <w:tc>
          <w:tcPr>
            <w:tcW w:type="dxa" w:w="1560"/>
          </w:tcPr>
          <w:p>
            <w:pPr>
              <w:pStyle w:val="TableTextLong"/>
              <w:jc w:val="center"/>
            </w:pPr>
            <w:r>
              <w:rPr>
                <w:lang w:val="es-AR"/>
              </w:rPr>
              <w:t xml:space="preserve">2023-04-13</w:t>
            </w:r>
          </w:p>
        </w:tc>
        <w:tc>
          <w:tcPr>
            <w:tcW w:type="dxa" w:w="2047"/>
          </w:tcPr>
          <w:p>
            <w:pPr>
              <w:pStyle w:val="TableTextLong"/>
              <w:jc w:val="center"/>
            </w:pPr>
            <w:r>
              <w:rPr>
                <w:lang w:val="es-AR"/>
              </w:rPr>
              <w:t xml:space="preserve">2,149</w:t>
            </w:r>
          </w:p>
        </w:tc>
        <w:tc>
          <w:tcPr>
            <w:tcW w:type="dxa" w:w="1475"/>
          </w:tcPr>
          <w:p>
            <w:pPr>
              <w:pStyle w:val="TableTextLong"/>
              <w:jc w:val="center"/>
            </w:pPr>
            <w:r>
              <w:rPr>
                <w:lang w:val="es-AR"/>
              </w:rPr>
              <w:t xml:space="preserve">23,597</w:t>
            </w:r>
          </w:p>
        </w:tc>
      </w:tr>
      <w:tr>
        <w:tc>
          <w:tcPr>
            <w:tcW w:type="dxa" w:w="780"/>
          </w:tcPr>
          <w:p>
            <w:pPr>
              <w:pStyle w:val="TableTextLong"/>
              <w:jc w:val="center"/>
            </w:pPr>
            <w:r>
              <w:rPr>
                <w:lang w:val="es-AR"/>
              </w:rPr>
              <w:t xml:space="preserve">12</w:t>
            </w:r>
          </w:p>
        </w:tc>
        <w:tc>
          <w:tcPr>
            <w:tcW w:type="dxa" w:w="1560"/>
          </w:tcPr>
          <w:p>
            <w:pPr>
              <w:pStyle w:val="TableTextLong"/>
              <w:jc w:val="center"/>
            </w:pPr>
            <w:r>
              <w:rPr>
                <w:lang w:val="es-AR"/>
              </w:rPr>
              <w:t xml:space="preserve">2023-04-20</w:t>
            </w:r>
          </w:p>
        </w:tc>
        <w:tc>
          <w:tcPr>
            <w:tcW w:type="dxa" w:w="2047"/>
          </w:tcPr>
          <w:p>
            <w:pPr>
              <w:pStyle w:val="TableTextLong"/>
              <w:jc w:val="center"/>
            </w:pPr>
            <w:r>
              <w:rPr>
                <w:lang w:val="es-AR"/>
              </w:rPr>
              <w:t xml:space="preserve">2,221</w:t>
            </w:r>
          </w:p>
        </w:tc>
        <w:tc>
          <w:tcPr>
            <w:tcW w:type="dxa" w:w="1475"/>
          </w:tcPr>
          <w:p>
            <w:pPr>
              <w:pStyle w:val="TableTextLong"/>
              <w:jc w:val="center"/>
            </w:pPr>
            <w:r>
              <w:rPr>
                <w:lang w:val="es-AR"/>
              </w:rPr>
              <w:t xml:space="preserve">25,819</w:t>
            </w:r>
          </w:p>
        </w:tc>
      </w:tr>
      <w:tr>
        <w:tc>
          <w:tcPr>
            <w:tcW w:type="dxa" w:w="780"/>
          </w:tcPr>
          <w:p>
            <w:pPr>
              <w:pStyle w:val="TableTextLong"/>
              <w:jc w:val="center"/>
            </w:pPr>
            <w:r>
              <w:rPr>
                <w:lang w:val="es-AR"/>
              </w:rPr>
              <w:t xml:space="preserve">13</w:t>
            </w:r>
          </w:p>
        </w:tc>
        <w:tc>
          <w:tcPr>
            <w:tcW w:type="dxa" w:w="1560"/>
          </w:tcPr>
          <w:p>
            <w:pPr>
              <w:pStyle w:val="TableTextLong"/>
              <w:jc w:val="center"/>
            </w:pPr>
            <w:r>
              <w:rPr>
                <w:lang w:val="es-AR"/>
              </w:rPr>
              <w:t xml:space="preserve">2023-04-27</w:t>
            </w:r>
          </w:p>
        </w:tc>
        <w:tc>
          <w:tcPr>
            <w:tcW w:type="dxa" w:w="2047"/>
          </w:tcPr>
          <w:p>
            <w:pPr>
              <w:pStyle w:val="TableTextLong"/>
              <w:jc w:val="center"/>
            </w:pPr>
            <w:r>
              <w:rPr>
                <w:lang w:val="es-AR"/>
              </w:rPr>
              <w:t xml:space="preserve">2,368</w:t>
            </w:r>
          </w:p>
        </w:tc>
        <w:tc>
          <w:tcPr>
            <w:tcW w:type="dxa" w:w="1475"/>
          </w:tcPr>
          <w:p>
            <w:pPr>
              <w:pStyle w:val="TableTextLong"/>
              <w:jc w:val="center"/>
            </w:pPr>
            <w:r>
              <w:rPr>
                <w:lang w:val="es-AR"/>
              </w:rPr>
              <w:t xml:space="preserve">28,187</w:t>
            </w:r>
          </w:p>
        </w:tc>
      </w:tr>
      <w:tr>
        <w:tc>
          <w:tcPr>
            <w:tcW w:type="dxa" w:w="780"/>
          </w:tcPr>
          <w:p>
            <w:pPr>
              <w:pStyle w:val="TableTextLong"/>
              <w:jc w:val="center"/>
            </w:pPr>
            <w:r>
              <w:rPr>
                <w:lang w:val="es-AR"/>
              </w:rPr>
              <w:t xml:space="preserve">14</w:t>
            </w:r>
          </w:p>
        </w:tc>
        <w:tc>
          <w:tcPr>
            <w:tcW w:type="dxa" w:w="1560"/>
          </w:tcPr>
          <w:p>
            <w:pPr>
              <w:pStyle w:val="TableTextLong"/>
              <w:jc w:val="center"/>
            </w:pPr>
            <w:r>
              <w:rPr>
                <w:lang w:val="es-AR"/>
              </w:rPr>
              <w:t xml:space="preserve">2023-05-04</w:t>
            </w:r>
          </w:p>
        </w:tc>
        <w:tc>
          <w:tcPr>
            <w:tcW w:type="dxa" w:w="2047"/>
          </w:tcPr>
          <w:p>
            <w:pPr>
              <w:pStyle w:val="TableTextLong"/>
              <w:jc w:val="center"/>
            </w:pPr>
            <w:r>
              <w:rPr>
                <w:lang w:val="es-AR"/>
              </w:rPr>
              <w:t xml:space="preserve">2,218</w:t>
            </w:r>
          </w:p>
        </w:tc>
        <w:tc>
          <w:tcPr>
            <w:tcW w:type="dxa" w:w="1475"/>
          </w:tcPr>
          <w:p>
            <w:pPr>
              <w:pStyle w:val="TableTextLong"/>
              <w:jc w:val="center"/>
            </w:pPr>
            <w:r>
              <w:rPr>
                <w:lang w:val="es-AR"/>
              </w:rPr>
              <w:t xml:space="preserve">30,404</w:t>
            </w:r>
          </w:p>
        </w:tc>
      </w:tr>
      <w:tr>
        <w:tc>
          <w:tcPr>
            <w:tcW w:type="dxa" w:w="780"/>
          </w:tcPr>
          <w:p>
            <w:pPr>
              <w:pStyle w:val="TableTextLong"/>
              <w:jc w:val="center"/>
            </w:pPr>
            <w:r>
              <w:rPr>
                <w:lang w:val="es-AR"/>
              </w:rPr>
              <w:t xml:space="preserve">15</w:t>
            </w:r>
          </w:p>
        </w:tc>
        <w:tc>
          <w:tcPr>
            <w:tcW w:type="dxa" w:w="1560"/>
          </w:tcPr>
          <w:p>
            <w:pPr>
              <w:pStyle w:val="TableTextLong"/>
              <w:jc w:val="center"/>
            </w:pPr>
            <w:r>
              <w:rPr>
                <w:lang w:val="es-AR"/>
              </w:rPr>
              <w:t xml:space="preserve">2023-05-11</w:t>
            </w:r>
          </w:p>
        </w:tc>
        <w:tc>
          <w:tcPr>
            <w:tcW w:type="dxa" w:w="2047"/>
          </w:tcPr>
          <w:p>
            <w:pPr>
              <w:pStyle w:val="TableTextLong"/>
              <w:jc w:val="center"/>
            </w:pPr>
            <w:r>
              <w:rPr>
                <w:lang w:val="es-AR"/>
              </w:rPr>
              <w:t xml:space="preserve">2,277</w:t>
            </w:r>
          </w:p>
        </w:tc>
        <w:tc>
          <w:tcPr>
            <w:tcW w:type="dxa" w:w="1475"/>
          </w:tcPr>
          <w:p>
            <w:pPr>
              <w:pStyle w:val="TableTextLong"/>
              <w:jc w:val="center"/>
            </w:pPr>
            <w:r>
              <w:rPr>
                <w:lang w:val="es-AR"/>
              </w:rPr>
              <w:t xml:space="preserve">32,682</w:t>
            </w:r>
          </w:p>
        </w:tc>
      </w:tr>
      <w:tr>
        <w:tc>
          <w:tcPr>
            <w:tcW w:type="dxa" w:w="780"/>
          </w:tcPr>
          <w:p>
            <w:pPr>
              <w:pStyle w:val="TableTextLong"/>
              <w:jc w:val="center"/>
            </w:pPr>
            <w:r>
              <w:rPr>
                <w:lang w:val="es-AR"/>
              </w:rPr>
              <w:t xml:space="preserve">16</w:t>
            </w:r>
          </w:p>
        </w:tc>
        <w:tc>
          <w:tcPr>
            <w:tcW w:type="dxa" w:w="1560"/>
          </w:tcPr>
          <w:p>
            <w:pPr>
              <w:pStyle w:val="TableTextLong"/>
              <w:jc w:val="center"/>
            </w:pPr>
            <w:r>
              <w:rPr>
                <w:lang w:val="es-AR"/>
              </w:rPr>
              <w:t xml:space="preserve">2023-05-18</w:t>
            </w:r>
          </w:p>
        </w:tc>
        <w:tc>
          <w:tcPr>
            <w:tcW w:type="dxa" w:w="2047"/>
          </w:tcPr>
          <w:p>
            <w:pPr>
              <w:pStyle w:val="TableTextLong"/>
              <w:jc w:val="center"/>
            </w:pPr>
            <w:r>
              <w:rPr>
                <w:lang w:val="es-AR"/>
              </w:rPr>
              <w:t xml:space="preserve">2,647</w:t>
            </w:r>
          </w:p>
        </w:tc>
        <w:tc>
          <w:tcPr>
            <w:tcW w:type="dxa" w:w="1475"/>
          </w:tcPr>
          <w:p>
            <w:pPr>
              <w:pStyle w:val="TableTextLong"/>
              <w:jc w:val="center"/>
            </w:pPr>
            <w:r>
              <w:rPr>
                <w:lang w:val="es-AR"/>
              </w:rPr>
              <w:t xml:space="preserve">35,329</w:t>
            </w:r>
          </w:p>
        </w:tc>
      </w:tr>
      <w:tr>
        <w:tc>
          <w:tcPr>
            <w:tcW w:type="dxa" w:w="780"/>
          </w:tcPr>
          <w:p>
            <w:pPr>
              <w:pStyle w:val="TableTextLong"/>
              <w:jc w:val="center"/>
            </w:pPr>
            <w:r>
              <w:rPr>
                <w:lang w:val="es-AR"/>
              </w:rPr>
              <w:t xml:space="preserve">17</w:t>
            </w:r>
          </w:p>
        </w:tc>
        <w:tc>
          <w:tcPr>
            <w:tcW w:type="dxa" w:w="1560"/>
          </w:tcPr>
          <w:p>
            <w:pPr>
              <w:pStyle w:val="TableTextLong"/>
              <w:jc w:val="center"/>
            </w:pPr>
            <w:r>
              <w:rPr>
                <w:lang w:val="es-AR"/>
              </w:rPr>
              <w:t xml:space="preserve">2023-05-25</w:t>
            </w:r>
          </w:p>
        </w:tc>
        <w:tc>
          <w:tcPr>
            <w:tcW w:type="dxa" w:w="2047"/>
          </w:tcPr>
          <w:p>
            <w:pPr>
              <w:pStyle w:val="TableTextLong"/>
              <w:jc w:val="center"/>
            </w:pPr>
            <w:r>
              <w:rPr>
                <w:lang w:val="es-AR"/>
              </w:rPr>
              <w:t xml:space="preserve">2,618</w:t>
            </w:r>
          </w:p>
        </w:tc>
        <w:tc>
          <w:tcPr>
            <w:tcW w:type="dxa" w:w="1475"/>
          </w:tcPr>
          <w:p>
            <w:pPr>
              <w:pStyle w:val="TableTextLong"/>
              <w:jc w:val="center"/>
            </w:pPr>
            <w:r>
              <w:rPr>
                <w:lang w:val="es-AR"/>
              </w:rPr>
              <w:t xml:space="preserve">37,947</w:t>
            </w:r>
          </w:p>
        </w:tc>
      </w:tr>
      <w:tr>
        <w:tc>
          <w:tcPr>
            <w:tcW w:type="dxa" w:w="780"/>
          </w:tcPr>
          <w:p>
            <w:pPr>
              <w:pStyle w:val="TableTextLong"/>
              <w:jc w:val="center"/>
            </w:pPr>
            <w:r>
              <w:rPr>
                <w:lang w:val="es-AR"/>
              </w:rPr>
              <w:t xml:space="preserve">18</w:t>
            </w:r>
          </w:p>
        </w:tc>
        <w:tc>
          <w:tcPr>
            <w:tcW w:type="dxa" w:w="1560"/>
          </w:tcPr>
          <w:p>
            <w:pPr>
              <w:pStyle w:val="TableTextLong"/>
              <w:jc w:val="center"/>
            </w:pPr>
            <w:r>
              <w:rPr>
                <w:lang w:val="es-AR"/>
              </w:rPr>
              <w:t xml:space="preserve">2023-06-01</w:t>
            </w:r>
          </w:p>
        </w:tc>
        <w:tc>
          <w:tcPr>
            <w:tcW w:type="dxa" w:w="2047"/>
          </w:tcPr>
          <w:p>
            <w:pPr>
              <w:pStyle w:val="TableTextLong"/>
              <w:jc w:val="center"/>
            </w:pPr>
            <w:r>
              <w:rPr>
                <w:lang w:val="es-AR"/>
              </w:rPr>
              <w:t xml:space="preserve">2,842</w:t>
            </w:r>
          </w:p>
        </w:tc>
        <w:tc>
          <w:tcPr>
            <w:tcW w:type="dxa" w:w="1475"/>
          </w:tcPr>
          <w:p>
            <w:pPr>
              <w:pStyle w:val="TableTextLong"/>
              <w:jc w:val="center"/>
            </w:pPr>
            <w:r>
              <w:rPr>
                <w:lang w:val="es-AR"/>
              </w:rPr>
              <w:t xml:space="preserve">40,789</w:t>
            </w:r>
          </w:p>
        </w:tc>
      </w:tr>
      <w:tr>
        <w:tc>
          <w:tcPr>
            <w:tcW w:type="dxa" w:w="780"/>
          </w:tcPr>
          <w:p>
            <w:pPr>
              <w:pStyle w:val="TableTextLong"/>
              <w:jc w:val="center"/>
            </w:pPr>
            <w:r>
              <w:rPr>
                <w:lang w:val="es-AR"/>
              </w:rPr>
              <w:t xml:space="preserve">19</w:t>
            </w:r>
          </w:p>
        </w:tc>
        <w:tc>
          <w:tcPr>
            <w:tcW w:type="dxa" w:w="1560"/>
          </w:tcPr>
          <w:p>
            <w:pPr>
              <w:pStyle w:val="TableTextLong"/>
              <w:jc w:val="center"/>
            </w:pPr>
            <w:r>
              <w:rPr>
                <w:lang w:val="es-AR"/>
              </w:rPr>
              <w:t xml:space="preserve">2023-06-08</w:t>
            </w:r>
          </w:p>
        </w:tc>
        <w:tc>
          <w:tcPr>
            <w:tcW w:type="dxa" w:w="2047"/>
          </w:tcPr>
          <w:p>
            <w:pPr>
              <w:pStyle w:val="TableTextLong"/>
              <w:jc w:val="center"/>
            </w:pPr>
            <w:r>
              <w:rPr>
                <w:lang w:val="es-AR"/>
              </w:rPr>
              <w:t xml:space="preserve">2,899</w:t>
            </w:r>
          </w:p>
        </w:tc>
        <w:tc>
          <w:tcPr>
            <w:tcW w:type="dxa" w:w="1475"/>
          </w:tcPr>
          <w:p>
            <w:pPr>
              <w:pStyle w:val="TableTextLong"/>
              <w:jc w:val="center"/>
            </w:pPr>
            <w:r>
              <w:rPr>
                <w:lang w:val="es-AR"/>
              </w:rPr>
              <w:t xml:space="preserve">43,688</w:t>
            </w:r>
          </w:p>
        </w:tc>
      </w:tr>
      <w:tr>
        <w:tc>
          <w:tcPr>
            <w:tcW w:type="dxa" w:w="780"/>
          </w:tcPr>
          <w:p>
            <w:pPr>
              <w:pStyle w:val="TableTextLong"/>
              <w:jc w:val="center"/>
            </w:pPr>
            <w:r>
              <w:rPr>
                <w:lang w:val="es-AR"/>
              </w:rPr>
              <w:t xml:space="preserve">20</w:t>
            </w:r>
          </w:p>
        </w:tc>
        <w:tc>
          <w:tcPr>
            <w:tcW w:type="dxa" w:w="1560"/>
          </w:tcPr>
          <w:p>
            <w:pPr>
              <w:pStyle w:val="TableTextLong"/>
              <w:jc w:val="center"/>
            </w:pPr>
            <w:r>
              <w:rPr>
                <w:lang w:val="es-AR"/>
              </w:rPr>
              <w:t xml:space="preserve">2023-06-15</w:t>
            </w:r>
          </w:p>
        </w:tc>
        <w:tc>
          <w:tcPr>
            <w:tcW w:type="dxa" w:w="2047"/>
          </w:tcPr>
          <w:p>
            <w:pPr>
              <w:pStyle w:val="TableTextLong"/>
              <w:jc w:val="center"/>
            </w:pPr>
            <w:r>
              <w:rPr>
                <w:lang w:val="es-AR"/>
              </w:rPr>
              <w:t xml:space="preserve">3,024</w:t>
            </w:r>
          </w:p>
        </w:tc>
        <w:tc>
          <w:tcPr>
            <w:tcW w:type="dxa" w:w="1475"/>
          </w:tcPr>
          <w:p>
            <w:pPr>
              <w:pStyle w:val="TableTextLong"/>
              <w:jc w:val="center"/>
            </w:pPr>
            <w:r>
              <w:rPr>
                <w:lang w:val="es-AR"/>
              </w:rPr>
              <w:t xml:space="preserve">46,712</w:t>
            </w:r>
          </w:p>
        </w:tc>
      </w:tr>
      <w:tr>
        <w:tc>
          <w:tcPr>
            <w:tcW w:type="dxa" w:w="780"/>
          </w:tcPr>
          <w:p>
            <w:pPr>
              <w:pStyle w:val="TableTextLong"/>
              <w:jc w:val="center"/>
            </w:pPr>
            <w:r>
              <w:rPr>
                <w:lang w:val="es-AR"/>
              </w:rPr>
              <w:t xml:space="preserve">21</w:t>
            </w:r>
          </w:p>
        </w:tc>
        <w:tc>
          <w:tcPr>
            <w:tcW w:type="dxa" w:w="1560"/>
          </w:tcPr>
          <w:p>
            <w:pPr>
              <w:pStyle w:val="TableTextLong"/>
              <w:jc w:val="center"/>
            </w:pPr>
            <w:r>
              <w:rPr>
                <w:lang w:val="es-AR"/>
              </w:rPr>
              <w:t xml:space="preserve">2023-06-22</w:t>
            </w:r>
          </w:p>
        </w:tc>
        <w:tc>
          <w:tcPr>
            <w:tcW w:type="dxa" w:w="2047"/>
          </w:tcPr>
          <w:p>
            <w:pPr>
              <w:pStyle w:val="TableTextLong"/>
              <w:jc w:val="center"/>
            </w:pPr>
            <w:r>
              <w:rPr>
                <w:lang w:val="es-AR"/>
              </w:rPr>
              <w:t xml:space="preserve">3,093</w:t>
            </w:r>
          </w:p>
        </w:tc>
        <w:tc>
          <w:tcPr>
            <w:tcW w:type="dxa" w:w="1475"/>
          </w:tcPr>
          <w:p>
            <w:pPr>
              <w:pStyle w:val="TableTextLong"/>
              <w:jc w:val="center"/>
            </w:pPr>
            <w:r>
              <w:rPr>
                <w:lang w:val="es-AR"/>
              </w:rPr>
              <w:t xml:space="preserve">49,805</w:t>
            </w:r>
          </w:p>
        </w:tc>
      </w:tr>
      <w:tr>
        <w:tc>
          <w:tcPr>
            <w:tcW w:type="dxa" w:w="780"/>
          </w:tcPr>
          <w:p>
            <w:pPr>
              <w:pStyle w:val="TableTextLong"/>
              <w:jc w:val="center"/>
            </w:pPr>
            <w:r>
              <w:rPr>
                <w:lang w:val="es-AR"/>
              </w:rPr>
              <w:t xml:space="preserve">22</w:t>
            </w:r>
          </w:p>
        </w:tc>
        <w:tc>
          <w:tcPr>
            <w:tcW w:type="dxa" w:w="1560"/>
          </w:tcPr>
          <w:p>
            <w:pPr>
              <w:pStyle w:val="TableTextLong"/>
              <w:jc w:val="center"/>
            </w:pPr>
            <w:r>
              <w:rPr>
                <w:lang w:val="es-AR"/>
              </w:rPr>
              <w:t xml:space="preserve">2023-06-29</w:t>
            </w:r>
          </w:p>
        </w:tc>
        <w:tc>
          <w:tcPr>
            <w:tcW w:type="dxa" w:w="2047"/>
          </w:tcPr>
          <w:p>
            <w:pPr>
              <w:pStyle w:val="TableTextLong"/>
              <w:jc w:val="center"/>
            </w:pPr>
            <w:r>
              <w:rPr>
                <w:lang w:val="es-AR"/>
              </w:rPr>
              <w:t xml:space="preserve">3,161</w:t>
            </w:r>
          </w:p>
        </w:tc>
        <w:tc>
          <w:tcPr>
            <w:tcW w:type="dxa" w:w="1475"/>
          </w:tcPr>
          <w:p>
            <w:pPr>
              <w:pStyle w:val="TableTextLong"/>
              <w:jc w:val="center"/>
            </w:pPr>
            <w:r>
              <w:rPr>
                <w:lang w:val="es-AR"/>
              </w:rPr>
              <w:t xml:space="preserve">52,966</w:t>
            </w:r>
          </w:p>
        </w:tc>
      </w:tr>
      <w:tr>
        <w:tc>
          <w:tcPr>
            <w:tcW w:type="dxa" w:w="780"/>
          </w:tcPr>
          <w:p>
            <w:pPr>
              <w:pStyle w:val="TableTextLong"/>
              <w:jc w:val="center"/>
            </w:pPr>
            <w:r>
              <w:rPr>
                <w:lang w:val="es-AR"/>
              </w:rPr>
              <w:t xml:space="preserve">23</w:t>
            </w:r>
          </w:p>
        </w:tc>
        <w:tc>
          <w:tcPr>
            <w:tcW w:type="dxa" w:w="1560"/>
          </w:tcPr>
          <w:p>
            <w:pPr>
              <w:pStyle w:val="TableTextLong"/>
              <w:jc w:val="center"/>
            </w:pPr>
            <w:r>
              <w:rPr>
                <w:lang w:val="es-AR"/>
              </w:rPr>
              <w:t xml:space="preserve">2023-07-06</w:t>
            </w:r>
          </w:p>
        </w:tc>
        <w:tc>
          <w:tcPr>
            <w:tcW w:type="dxa" w:w="2047"/>
          </w:tcPr>
          <w:p>
            <w:pPr>
              <w:pStyle w:val="TableTextLong"/>
              <w:jc w:val="center"/>
            </w:pPr>
            <w:r>
              <w:rPr>
                <w:lang w:val="es-AR"/>
              </w:rPr>
              <w:t xml:space="preserve">3,102</w:t>
            </w:r>
          </w:p>
        </w:tc>
        <w:tc>
          <w:tcPr>
            <w:tcW w:type="dxa" w:w="1475"/>
          </w:tcPr>
          <w:p>
            <w:pPr>
              <w:pStyle w:val="TableTextLong"/>
              <w:jc w:val="center"/>
            </w:pPr>
            <w:r>
              <w:rPr>
                <w:lang w:val="es-AR"/>
              </w:rPr>
              <w:t xml:space="preserve">56,068</w:t>
            </w:r>
          </w:p>
        </w:tc>
      </w:tr>
      <w:tr>
        <w:tc>
          <w:tcPr>
            <w:tcW w:type="dxa" w:w="780"/>
          </w:tcPr>
          <w:p>
            <w:pPr>
              <w:pStyle w:val="TableTextLong"/>
              <w:jc w:val="center"/>
            </w:pPr>
            <w:r>
              <w:rPr>
                <w:lang w:val="es-AR"/>
              </w:rPr>
              <w:t xml:space="preserve">24</w:t>
            </w:r>
          </w:p>
        </w:tc>
        <w:tc>
          <w:tcPr>
            <w:tcW w:type="dxa" w:w="1560"/>
          </w:tcPr>
          <w:p>
            <w:pPr>
              <w:pStyle w:val="TableTextLong"/>
              <w:jc w:val="center"/>
            </w:pPr>
            <w:r>
              <w:rPr>
                <w:lang w:val="es-AR"/>
              </w:rPr>
              <w:t xml:space="preserve">2023-07-13</w:t>
            </w:r>
          </w:p>
        </w:tc>
        <w:tc>
          <w:tcPr>
            <w:tcW w:type="dxa" w:w="2047"/>
          </w:tcPr>
          <w:p>
            <w:pPr>
              <w:pStyle w:val="TableTextLong"/>
              <w:jc w:val="center"/>
            </w:pPr>
            <w:r>
              <w:rPr>
                <w:lang w:val="es-AR"/>
              </w:rPr>
              <w:t xml:space="preserve">3,084</w:t>
            </w:r>
          </w:p>
        </w:tc>
        <w:tc>
          <w:tcPr>
            <w:tcW w:type="dxa" w:w="1475"/>
          </w:tcPr>
          <w:p>
            <w:pPr>
              <w:pStyle w:val="TableTextLong"/>
              <w:jc w:val="center"/>
            </w:pPr>
            <w:r>
              <w:rPr>
                <w:lang w:val="es-AR"/>
              </w:rPr>
              <w:t xml:space="preserve">59,152</w:t>
            </w:r>
          </w:p>
        </w:tc>
      </w:tr>
      <w:tr>
        <w:tc>
          <w:tcPr>
            <w:tcW w:type="dxa" w:w="780"/>
          </w:tcPr>
          <w:p>
            <w:pPr>
              <w:pStyle w:val="TableTextLong"/>
              <w:jc w:val="center"/>
            </w:pPr>
            <w:r>
              <w:rPr>
                <w:lang w:val="es-AR"/>
              </w:rPr>
              <w:t xml:space="preserve">25</w:t>
            </w:r>
          </w:p>
        </w:tc>
        <w:tc>
          <w:tcPr>
            <w:tcW w:type="dxa" w:w="1560"/>
          </w:tcPr>
          <w:p>
            <w:pPr>
              <w:pStyle w:val="TableTextLong"/>
              <w:jc w:val="center"/>
            </w:pPr>
            <w:r>
              <w:rPr>
                <w:lang w:val="es-AR"/>
              </w:rPr>
              <w:t xml:space="preserve">2023-07-20</w:t>
            </w:r>
          </w:p>
        </w:tc>
        <w:tc>
          <w:tcPr>
            <w:tcW w:type="dxa" w:w="2047"/>
          </w:tcPr>
          <w:p>
            <w:pPr>
              <w:pStyle w:val="TableTextLong"/>
              <w:jc w:val="center"/>
            </w:pPr>
            <w:r>
              <w:rPr>
                <w:lang w:val="es-AR"/>
              </w:rPr>
              <w:t xml:space="preserve">3,563</w:t>
            </w:r>
          </w:p>
        </w:tc>
        <w:tc>
          <w:tcPr>
            <w:tcW w:type="dxa" w:w="1475"/>
          </w:tcPr>
          <w:p>
            <w:pPr>
              <w:pStyle w:val="TableTextLong"/>
              <w:jc w:val="center"/>
            </w:pPr>
            <w:r>
              <w:rPr>
                <w:lang w:val="es-AR"/>
              </w:rPr>
              <w:t xml:space="preserve">62,715</w:t>
            </w:r>
          </w:p>
        </w:tc>
      </w:tr>
      <w:tr>
        <w:tc>
          <w:tcPr>
            <w:tcW w:type="dxa" w:w="780"/>
          </w:tcPr>
          <w:p>
            <w:pPr>
              <w:pStyle w:val="TableTextLong"/>
              <w:jc w:val="center"/>
            </w:pPr>
            <w:r>
              <w:rPr>
                <w:lang w:val="es-AR"/>
              </w:rPr>
              <w:t xml:space="preserve">26</w:t>
            </w:r>
          </w:p>
        </w:tc>
        <w:tc>
          <w:tcPr>
            <w:tcW w:type="dxa" w:w="1560"/>
          </w:tcPr>
          <w:p>
            <w:pPr>
              <w:pStyle w:val="TableTextLong"/>
              <w:jc w:val="center"/>
            </w:pPr>
            <w:r>
              <w:rPr>
                <w:lang w:val="es-AR"/>
              </w:rPr>
              <w:t xml:space="preserve">2023-07-27</w:t>
            </w:r>
          </w:p>
        </w:tc>
        <w:tc>
          <w:tcPr>
            <w:tcW w:type="dxa" w:w="2047"/>
          </w:tcPr>
          <w:p>
            <w:pPr>
              <w:pStyle w:val="TableTextLong"/>
              <w:jc w:val="center"/>
            </w:pPr>
            <w:r>
              <w:rPr>
                <w:lang w:val="es-AR"/>
              </w:rPr>
              <w:t xml:space="preserve">4,171</w:t>
            </w:r>
          </w:p>
        </w:tc>
        <w:tc>
          <w:tcPr>
            <w:tcW w:type="dxa" w:w="1475"/>
          </w:tcPr>
          <w:p>
            <w:pPr>
              <w:pStyle w:val="TableTextLong"/>
              <w:jc w:val="center"/>
            </w:pPr>
            <w:r>
              <w:rPr>
                <w:lang w:val="es-AR"/>
              </w:rPr>
              <w:t xml:space="preserve">66,886</w:t>
            </w:r>
          </w:p>
        </w:tc>
      </w:tr>
      <w:tr>
        <w:tc>
          <w:tcPr>
            <w:tcW w:type="dxa" w:w="780"/>
          </w:tcPr>
          <w:p>
            <w:pPr>
              <w:pStyle w:val="TableTextLong"/>
              <w:jc w:val="center"/>
            </w:pPr>
            <w:r>
              <w:rPr>
                <w:lang w:val="es-AR"/>
              </w:rPr>
              <w:t xml:space="preserve">27</w:t>
            </w:r>
          </w:p>
        </w:tc>
        <w:tc>
          <w:tcPr>
            <w:tcW w:type="dxa" w:w="1560"/>
          </w:tcPr>
          <w:p>
            <w:pPr>
              <w:pStyle w:val="TableTextLong"/>
              <w:jc w:val="center"/>
            </w:pPr>
            <w:r>
              <w:rPr>
                <w:lang w:val="es-AR"/>
              </w:rPr>
              <w:t xml:space="preserve">2023-08-03</w:t>
            </w:r>
          </w:p>
        </w:tc>
        <w:tc>
          <w:tcPr>
            <w:tcW w:type="dxa" w:w="2047"/>
          </w:tcPr>
          <w:p>
            <w:pPr>
              <w:pStyle w:val="TableTextLong"/>
              <w:jc w:val="center"/>
            </w:pPr>
            <w:r>
              <w:rPr>
                <w:lang w:val="es-AR"/>
              </w:rPr>
              <w:t xml:space="preserve">3,508</w:t>
            </w:r>
          </w:p>
        </w:tc>
        <w:tc>
          <w:tcPr>
            <w:tcW w:type="dxa" w:w="1475"/>
          </w:tcPr>
          <w:p>
            <w:pPr>
              <w:pStyle w:val="TableTextLong"/>
              <w:jc w:val="center"/>
            </w:pPr>
            <w:r>
              <w:rPr>
                <w:lang w:val="es-AR"/>
              </w:rPr>
              <w:t xml:space="preserve">70,395</w:t>
            </w:r>
          </w:p>
        </w:tc>
      </w:tr>
      <w:tr>
        <w:tc>
          <w:tcPr>
            <w:tcW w:type="dxa" w:w="780"/>
          </w:tcPr>
          <w:p>
            <w:pPr>
              <w:pStyle w:val="TableTextLong"/>
              <w:jc w:val="center"/>
            </w:pPr>
            <w:r>
              <w:rPr>
                <w:lang w:val="es-AR"/>
              </w:rPr>
              <w:t xml:space="preserve">28</w:t>
            </w:r>
          </w:p>
        </w:tc>
        <w:tc>
          <w:tcPr>
            <w:tcW w:type="dxa" w:w="1560"/>
          </w:tcPr>
          <w:p>
            <w:pPr>
              <w:pStyle w:val="TableTextLong"/>
              <w:jc w:val="center"/>
            </w:pPr>
            <w:r>
              <w:rPr>
                <w:lang w:val="es-AR"/>
              </w:rPr>
              <w:t xml:space="preserve">2023-08-10</w:t>
            </w:r>
          </w:p>
        </w:tc>
        <w:tc>
          <w:tcPr>
            <w:tcW w:type="dxa" w:w="2047"/>
          </w:tcPr>
          <w:p>
            <w:pPr>
              <w:pStyle w:val="TableTextLong"/>
              <w:jc w:val="center"/>
            </w:pPr>
            <w:r>
              <w:rPr>
                <w:lang w:val="es-AR"/>
              </w:rPr>
              <w:t xml:space="preserve">3,800</w:t>
            </w:r>
          </w:p>
        </w:tc>
        <w:tc>
          <w:tcPr>
            <w:tcW w:type="dxa" w:w="1475"/>
          </w:tcPr>
          <w:p>
            <w:pPr>
              <w:pStyle w:val="TableTextLong"/>
              <w:jc w:val="center"/>
            </w:pPr>
            <w:r>
              <w:rPr>
                <w:lang w:val="es-AR"/>
              </w:rPr>
              <w:t xml:space="preserve">74,194</w:t>
            </w:r>
          </w:p>
        </w:tc>
      </w:tr>
      <w:tr>
        <w:tc>
          <w:tcPr>
            <w:tcW w:type="dxa" w:w="780"/>
          </w:tcPr>
          <w:p>
            <w:pPr>
              <w:pStyle w:val="TableTextLong"/>
              <w:jc w:val="center"/>
            </w:pPr>
            <w:r>
              <w:rPr>
                <w:lang w:val="es-AR"/>
              </w:rPr>
              <w:t xml:space="preserve">29</w:t>
            </w:r>
          </w:p>
        </w:tc>
        <w:tc>
          <w:tcPr>
            <w:tcW w:type="dxa" w:w="1560"/>
          </w:tcPr>
          <w:p>
            <w:pPr>
              <w:pStyle w:val="TableTextLong"/>
              <w:jc w:val="center"/>
            </w:pPr>
            <w:r>
              <w:rPr>
                <w:lang w:val="es-AR"/>
              </w:rPr>
              <w:t xml:space="preserve">2023-08-17</w:t>
            </w:r>
          </w:p>
        </w:tc>
        <w:tc>
          <w:tcPr>
            <w:tcW w:type="dxa" w:w="2047"/>
          </w:tcPr>
          <w:p>
            <w:pPr>
              <w:pStyle w:val="TableTextLong"/>
              <w:jc w:val="center"/>
            </w:pPr>
            <w:r>
              <w:rPr>
                <w:lang w:val="es-AR"/>
              </w:rPr>
              <w:t xml:space="preserve">3,830</w:t>
            </w:r>
          </w:p>
        </w:tc>
        <w:tc>
          <w:tcPr>
            <w:tcW w:type="dxa" w:w="1475"/>
          </w:tcPr>
          <w:p>
            <w:pPr>
              <w:pStyle w:val="TableTextLong"/>
              <w:jc w:val="center"/>
            </w:pPr>
            <w:r>
              <w:rPr>
                <w:lang w:val="es-AR"/>
              </w:rPr>
              <w:t xml:space="preserve">78,024</w:t>
            </w:r>
          </w:p>
        </w:tc>
      </w:tr>
      <w:tr>
        <w:tc>
          <w:tcPr>
            <w:tcW w:type="dxa" w:w="780"/>
          </w:tcPr>
          <w:p>
            <w:pPr>
              <w:pStyle w:val="TableTextLong"/>
              <w:jc w:val="center"/>
            </w:pPr>
            <w:r>
              <w:rPr>
                <w:lang w:val="es-AR"/>
              </w:rPr>
              <w:t xml:space="preserve">30</w:t>
            </w:r>
          </w:p>
        </w:tc>
        <w:tc>
          <w:tcPr>
            <w:tcW w:type="dxa" w:w="1560"/>
          </w:tcPr>
          <w:p>
            <w:pPr>
              <w:pStyle w:val="TableTextLong"/>
              <w:jc w:val="center"/>
            </w:pPr>
            <w:r>
              <w:rPr>
                <w:lang w:val="es-AR"/>
              </w:rPr>
              <w:t xml:space="preserve">2023-08-24</w:t>
            </w:r>
          </w:p>
        </w:tc>
        <w:tc>
          <w:tcPr>
            <w:tcW w:type="dxa" w:w="2047"/>
          </w:tcPr>
          <w:p>
            <w:pPr>
              <w:pStyle w:val="TableTextLong"/>
              <w:jc w:val="center"/>
            </w:pPr>
            <w:r>
              <w:rPr>
                <w:lang w:val="es-AR"/>
              </w:rPr>
              <w:t xml:space="preserve">3,613</w:t>
            </w:r>
          </w:p>
        </w:tc>
        <w:tc>
          <w:tcPr>
            <w:tcW w:type="dxa" w:w="1475"/>
          </w:tcPr>
          <w:p>
            <w:pPr>
              <w:pStyle w:val="TableTextLong"/>
              <w:jc w:val="center"/>
            </w:pPr>
            <w:r>
              <w:rPr>
                <w:lang w:val="es-AR"/>
              </w:rPr>
              <w:t xml:space="preserve">81,637</w:t>
            </w:r>
          </w:p>
        </w:tc>
      </w:tr>
      <w:tr>
        <w:tc>
          <w:tcPr>
            <w:tcW w:type="dxa" w:w="780"/>
          </w:tcPr>
          <w:p>
            <w:pPr>
              <w:pStyle w:val="TableTextLong"/>
              <w:jc w:val="center"/>
            </w:pPr>
            <w:r>
              <w:rPr>
                <w:lang w:val="es-AR"/>
              </w:rPr>
              <w:t xml:space="preserve">31</w:t>
            </w:r>
          </w:p>
        </w:tc>
        <w:tc>
          <w:tcPr>
            <w:tcW w:type="dxa" w:w="1560"/>
          </w:tcPr>
          <w:p>
            <w:pPr>
              <w:pStyle w:val="TableTextLong"/>
              <w:jc w:val="center"/>
            </w:pPr>
            <w:r>
              <w:rPr>
                <w:lang w:val="es-AR"/>
              </w:rPr>
              <w:t xml:space="preserve">2023-08-31</w:t>
            </w:r>
          </w:p>
        </w:tc>
        <w:tc>
          <w:tcPr>
            <w:tcW w:type="dxa" w:w="2047"/>
          </w:tcPr>
          <w:p>
            <w:pPr>
              <w:pStyle w:val="TableTextLong"/>
              <w:jc w:val="center"/>
            </w:pPr>
            <w:r>
              <w:rPr>
                <w:lang w:val="es-AR"/>
              </w:rPr>
              <w:t xml:space="preserve">3,507</w:t>
            </w:r>
          </w:p>
        </w:tc>
        <w:tc>
          <w:tcPr>
            <w:tcW w:type="dxa" w:w="1475"/>
          </w:tcPr>
          <w:p>
            <w:pPr>
              <w:pStyle w:val="TableTextLong"/>
              <w:jc w:val="center"/>
            </w:pPr>
            <w:r>
              <w:rPr>
                <w:lang w:val="es-AR"/>
              </w:rPr>
              <w:t xml:space="preserve">85,144</w:t>
            </w:r>
          </w:p>
        </w:tc>
      </w:tr>
      <w:tr>
        <w:tc>
          <w:tcPr>
            <w:tcW w:type="dxa" w:w="780"/>
          </w:tcPr>
          <w:p>
            <w:pPr>
              <w:pStyle w:val="TableTextLong"/>
              <w:jc w:val="center"/>
            </w:pPr>
            <w:r>
              <w:rPr>
                <w:lang w:val="es-AR"/>
              </w:rPr>
              <w:t xml:space="preserve">32</w:t>
            </w:r>
          </w:p>
        </w:tc>
        <w:tc>
          <w:tcPr>
            <w:tcW w:type="dxa" w:w="1560"/>
          </w:tcPr>
          <w:p>
            <w:pPr>
              <w:pStyle w:val="TableTextLong"/>
              <w:jc w:val="center"/>
            </w:pPr>
            <w:r>
              <w:rPr>
                <w:lang w:val="es-AR"/>
              </w:rPr>
              <w:t xml:space="preserve">2023-09-07</w:t>
            </w:r>
          </w:p>
        </w:tc>
        <w:tc>
          <w:tcPr>
            <w:tcW w:type="dxa" w:w="2047"/>
          </w:tcPr>
          <w:p>
            <w:pPr>
              <w:pStyle w:val="TableTextLong"/>
              <w:jc w:val="center"/>
            </w:pPr>
            <w:r>
              <w:rPr>
                <w:lang w:val="es-AR"/>
              </w:rPr>
              <w:t xml:space="preserve">4,065</w:t>
            </w:r>
          </w:p>
        </w:tc>
        <w:tc>
          <w:tcPr>
            <w:tcW w:type="dxa" w:w="1475"/>
          </w:tcPr>
          <w:p>
            <w:pPr>
              <w:pStyle w:val="TableTextLong"/>
              <w:jc w:val="center"/>
            </w:pPr>
            <w:r>
              <w:rPr>
                <w:lang w:val="es-AR"/>
              </w:rPr>
              <w:t xml:space="preserve">89,209</w:t>
            </w:r>
          </w:p>
        </w:tc>
      </w:tr>
      <w:tr>
        <w:tc>
          <w:tcPr>
            <w:tcW w:type="dxa" w:w="780"/>
          </w:tcPr>
          <w:p>
            <w:pPr>
              <w:pStyle w:val="TableTextLong"/>
              <w:jc w:val="center"/>
            </w:pPr>
            <w:r>
              <w:rPr>
                <w:lang w:val="es-AR"/>
              </w:rPr>
              <w:t xml:space="preserve">33</w:t>
            </w:r>
          </w:p>
        </w:tc>
        <w:tc>
          <w:tcPr>
            <w:tcW w:type="dxa" w:w="1560"/>
          </w:tcPr>
          <w:p>
            <w:pPr>
              <w:pStyle w:val="TableTextLong"/>
              <w:jc w:val="center"/>
            </w:pPr>
            <w:r>
              <w:rPr>
                <w:lang w:val="es-AR"/>
              </w:rPr>
              <w:t xml:space="preserve">2023-09-14</w:t>
            </w:r>
          </w:p>
        </w:tc>
        <w:tc>
          <w:tcPr>
            <w:tcW w:type="dxa" w:w="2047"/>
          </w:tcPr>
          <w:p>
            <w:pPr>
              <w:pStyle w:val="TableTextLong"/>
              <w:jc w:val="center"/>
            </w:pPr>
            <w:r>
              <w:rPr>
                <w:lang w:val="es-AR"/>
              </w:rPr>
              <w:t xml:space="preserve">3,760</w:t>
            </w:r>
          </w:p>
        </w:tc>
        <w:tc>
          <w:tcPr>
            <w:tcW w:type="dxa" w:w="1475"/>
          </w:tcPr>
          <w:p>
            <w:pPr>
              <w:pStyle w:val="TableTextLong"/>
              <w:jc w:val="center"/>
            </w:pPr>
            <w:r>
              <w:rPr>
                <w:lang w:val="es-AR"/>
              </w:rPr>
              <w:t xml:space="preserve">92,968</w:t>
            </w:r>
          </w:p>
        </w:tc>
      </w:tr>
      <w:tr>
        <w:tc>
          <w:tcPr>
            <w:tcW w:type="dxa" w:w="780"/>
          </w:tcPr>
          <w:p>
            <w:pPr>
              <w:pStyle w:val="TableTextLong"/>
              <w:jc w:val="center"/>
            </w:pPr>
            <w:r>
              <w:rPr>
                <w:lang w:val="es-AR"/>
              </w:rPr>
              <w:t xml:space="preserve">34</w:t>
            </w:r>
          </w:p>
        </w:tc>
        <w:tc>
          <w:tcPr>
            <w:tcW w:type="dxa" w:w="1560"/>
          </w:tcPr>
          <w:p>
            <w:pPr>
              <w:pStyle w:val="TableTextLong"/>
              <w:jc w:val="center"/>
            </w:pPr>
            <w:r>
              <w:rPr>
                <w:lang w:val="es-AR"/>
              </w:rPr>
              <w:t xml:space="preserve">2023-09-21</w:t>
            </w:r>
          </w:p>
        </w:tc>
        <w:tc>
          <w:tcPr>
            <w:tcW w:type="dxa" w:w="2047"/>
          </w:tcPr>
          <w:p>
            <w:pPr>
              <w:pStyle w:val="TableTextLong"/>
              <w:jc w:val="center"/>
            </w:pPr>
            <w:r>
              <w:rPr>
                <w:lang w:val="es-AR"/>
              </w:rPr>
              <w:t xml:space="preserve">3,380</w:t>
            </w:r>
          </w:p>
        </w:tc>
        <w:tc>
          <w:tcPr>
            <w:tcW w:type="dxa" w:w="1475"/>
          </w:tcPr>
          <w:p>
            <w:pPr>
              <w:pStyle w:val="TableTextLong"/>
              <w:jc w:val="center"/>
            </w:pPr>
            <w:r>
              <w:rPr>
                <w:lang w:val="es-AR"/>
              </w:rPr>
              <w:t xml:space="preserve">96,349</w:t>
            </w:r>
          </w:p>
        </w:tc>
      </w:tr>
      <w:tr>
        <w:tc>
          <w:tcPr>
            <w:tcW w:type="dxa" w:w="780"/>
          </w:tcPr>
          <w:p>
            <w:pPr>
              <w:pStyle w:val="TableTextLong"/>
              <w:jc w:val="center"/>
            </w:pPr>
            <w:r>
              <w:rPr>
                <w:lang w:val="es-AR"/>
              </w:rPr>
              <w:t xml:space="preserve">35</w:t>
            </w:r>
          </w:p>
        </w:tc>
        <w:tc>
          <w:tcPr>
            <w:tcW w:type="dxa" w:w="1560"/>
          </w:tcPr>
          <w:p>
            <w:pPr>
              <w:pStyle w:val="TableTextLong"/>
              <w:jc w:val="center"/>
            </w:pPr>
            <w:r>
              <w:rPr>
                <w:lang w:val="es-AR"/>
              </w:rPr>
              <w:t xml:space="preserve">2023-09-28</w:t>
            </w:r>
          </w:p>
        </w:tc>
        <w:tc>
          <w:tcPr>
            <w:tcW w:type="dxa" w:w="2047"/>
          </w:tcPr>
          <w:p>
            <w:pPr>
              <w:pStyle w:val="TableTextLong"/>
              <w:jc w:val="center"/>
            </w:pPr>
            <w:r>
              <w:rPr>
                <w:lang w:val="es-AR"/>
              </w:rPr>
              <w:t xml:space="preserve">3,254</w:t>
            </w:r>
          </w:p>
        </w:tc>
        <w:tc>
          <w:tcPr>
            <w:tcW w:type="dxa" w:w="1475"/>
          </w:tcPr>
          <w:p>
            <w:pPr>
              <w:pStyle w:val="TableTextLong"/>
              <w:jc w:val="center"/>
            </w:pPr>
            <w:r>
              <w:rPr>
                <w:lang w:val="es-AR"/>
              </w:rPr>
              <w:t xml:space="preserve">99,602</w:t>
            </w:r>
          </w:p>
        </w:tc>
      </w:tr>
      <w:tr>
        <w:tc>
          <w:tcPr>
            <w:tcW w:type="dxa" w:w="780"/>
          </w:tcPr>
          <w:p>
            <w:pPr>
              <w:pStyle w:val="TableTextLong"/>
              <w:jc w:val="center"/>
            </w:pPr>
            <w:r>
              <w:rPr>
                <w:lang w:val="es-AR"/>
              </w:rPr>
              <w:t xml:space="preserve">36</w:t>
            </w:r>
          </w:p>
        </w:tc>
        <w:tc>
          <w:tcPr>
            <w:tcW w:type="dxa" w:w="1560"/>
          </w:tcPr>
          <w:p>
            <w:pPr>
              <w:pStyle w:val="TableTextLong"/>
              <w:jc w:val="center"/>
            </w:pPr>
            <w:r>
              <w:rPr>
                <w:lang w:val="es-AR"/>
              </w:rPr>
              <w:t xml:space="preserve">2023-10-05</w:t>
            </w:r>
          </w:p>
        </w:tc>
        <w:tc>
          <w:tcPr>
            <w:tcW w:type="dxa" w:w="2047"/>
          </w:tcPr>
          <w:p>
            <w:pPr>
              <w:pStyle w:val="TableTextLong"/>
              <w:jc w:val="center"/>
            </w:pPr>
            <w:r>
              <w:rPr>
                <w:lang w:val="es-AR"/>
              </w:rPr>
              <w:t xml:space="preserve">3,136</w:t>
            </w:r>
          </w:p>
        </w:tc>
        <w:tc>
          <w:tcPr>
            <w:tcW w:type="dxa" w:w="1475"/>
          </w:tcPr>
          <w:p>
            <w:pPr>
              <w:pStyle w:val="TableTextLong"/>
              <w:jc w:val="center"/>
            </w:pPr>
            <w:r>
              <w:rPr>
                <w:lang w:val="es-AR"/>
              </w:rPr>
              <w:t xml:space="preserve">102,738</w:t>
            </w:r>
          </w:p>
        </w:tc>
      </w:tr>
      <w:tr>
        <w:tc>
          <w:tcPr>
            <w:tcW w:type="dxa" w:w="780"/>
          </w:tcPr>
          <w:p>
            <w:pPr>
              <w:pStyle w:val="TableTextLong"/>
              <w:jc w:val="center"/>
            </w:pPr>
            <w:r>
              <w:rPr>
                <w:lang w:val="es-AR"/>
              </w:rPr>
              <w:t xml:space="preserve">37</w:t>
            </w:r>
          </w:p>
        </w:tc>
        <w:tc>
          <w:tcPr>
            <w:tcW w:type="dxa" w:w="1560"/>
          </w:tcPr>
          <w:p>
            <w:pPr>
              <w:pStyle w:val="TableTextLong"/>
              <w:jc w:val="center"/>
            </w:pPr>
            <w:r>
              <w:rPr>
                <w:lang w:val="es-AR"/>
              </w:rPr>
              <w:t xml:space="preserve">2023-10-12</w:t>
            </w:r>
          </w:p>
        </w:tc>
        <w:tc>
          <w:tcPr>
            <w:tcW w:type="dxa" w:w="2047"/>
          </w:tcPr>
          <w:p>
            <w:pPr>
              <w:pStyle w:val="TableTextLong"/>
              <w:jc w:val="center"/>
            </w:pPr>
            <w:r>
              <w:rPr>
                <w:lang w:val="es-AR"/>
              </w:rPr>
              <w:t xml:space="preserve">2,962</w:t>
            </w:r>
          </w:p>
        </w:tc>
        <w:tc>
          <w:tcPr>
            <w:tcW w:type="dxa" w:w="1475"/>
          </w:tcPr>
          <w:p>
            <w:pPr>
              <w:pStyle w:val="TableTextLong"/>
              <w:jc w:val="center"/>
            </w:pPr>
            <w:r>
              <w:rPr>
                <w:lang w:val="es-AR"/>
              </w:rPr>
              <w:t xml:space="preserve">105,700</w:t>
            </w:r>
          </w:p>
        </w:tc>
      </w:tr>
      <w:tr>
        <w:tc>
          <w:tcPr>
            <w:tcW w:type="dxa" w:w="780"/>
          </w:tcPr>
          <w:p>
            <w:pPr>
              <w:pStyle w:val="TableTextLong"/>
              <w:jc w:val="center"/>
            </w:pPr>
            <w:r>
              <w:rPr>
                <w:lang w:val="es-AR"/>
              </w:rPr>
              <w:t xml:space="preserve">38</w:t>
            </w:r>
          </w:p>
        </w:tc>
        <w:tc>
          <w:tcPr>
            <w:tcW w:type="dxa" w:w="1560"/>
          </w:tcPr>
          <w:p>
            <w:pPr>
              <w:pStyle w:val="TableTextLong"/>
              <w:jc w:val="center"/>
            </w:pPr>
            <w:r>
              <w:rPr>
                <w:lang w:val="es-AR"/>
              </w:rPr>
              <w:t xml:space="preserve">2023-10-19</w:t>
            </w:r>
          </w:p>
        </w:tc>
        <w:tc>
          <w:tcPr>
            <w:tcW w:type="dxa" w:w="2047"/>
          </w:tcPr>
          <w:p>
            <w:pPr>
              <w:pStyle w:val="TableTextLong"/>
              <w:jc w:val="center"/>
            </w:pPr>
            <w:r>
              <w:rPr>
                <w:lang w:val="es-AR"/>
              </w:rPr>
              <w:t xml:space="preserve">2,771</w:t>
            </w:r>
          </w:p>
        </w:tc>
        <w:tc>
          <w:tcPr>
            <w:tcW w:type="dxa" w:w="1475"/>
          </w:tcPr>
          <w:p>
            <w:pPr>
              <w:pStyle w:val="TableTextLong"/>
              <w:jc w:val="center"/>
            </w:pPr>
            <w:r>
              <w:rPr>
                <w:lang w:val="es-AR"/>
              </w:rPr>
              <w:t xml:space="preserve">108,471</w:t>
            </w:r>
          </w:p>
        </w:tc>
      </w:tr>
      <w:tr>
        <w:tc>
          <w:tcPr>
            <w:tcW w:type="dxa" w:w="780"/>
          </w:tcPr>
          <w:p>
            <w:pPr>
              <w:pStyle w:val="TableTextLong"/>
              <w:jc w:val="center"/>
            </w:pPr>
            <w:r>
              <w:rPr>
                <w:lang w:val="es-AR"/>
              </w:rPr>
              <w:t xml:space="preserve">39</w:t>
            </w:r>
          </w:p>
        </w:tc>
        <w:tc>
          <w:tcPr>
            <w:tcW w:type="dxa" w:w="1560"/>
          </w:tcPr>
          <w:p>
            <w:pPr>
              <w:pStyle w:val="TableTextLong"/>
              <w:jc w:val="center"/>
            </w:pPr>
            <w:r>
              <w:rPr>
                <w:lang w:val="es-AR"/>
              </w:rPr>
              <w:t xml:space="preserve">2023-10-26</w:t>
            </w:r>
          </w:p>
        </w:tc>
        <w:tc>
          <w:tcPr>
            <w:tcW w:type="dxa" w:w="2047"/>
          </w:tcPr>
          <w:p>
            <w:pPr>
              <w:pStyle w:val="TableTextLong"/>
              <w:jc w:val="center"/>
            </w:pPr>
            <w:r>
              <w:rPr>
                <w:lang w:val="es-AR"/>
              </w:rPr>
              <w:t xml:space="preserve">2,736</w:t>
            </w:r>
          </w:p>
        </w:tc>
        <w:tc>
          <w:tcPr>
            <w:tcW w:type="dxa" w:w="1475"/>
          </w:tcPr>
          <w:p>
            <w:pPr>
              <w:pStyle w:val="TableTextLong"/>
              <w:jc w:val="center"/>
            </w:pPr>
            <w:r>
              <w:rPr>
                <w:lang w:val="es-AR"/>
              </w:rPr>
              <w:t xml:space="preserve">111,207</w:t>
            </w:r>
          </w:p>
        </w:tc>
      </w:tr>
      <w:tr>
        <w:tc>
          <w:tcPr>
            <w:tcW w:type="dxa" w:w="780"/>
          </w:tcPr>
          <w:p>
            <w:pPr>
              <w:pStyle w:val="TableTextLong"/>
              <w:jc w:val="center"/>
            </w:pPr>
            <w:r>
              <w:rPr>
                <w:lang w:val="es-AR"/>
              </w:rPr>
              <w:t xml:space="preserve">40</w:t>
            </w:r>
          </w:p>
        </w:tc>
        <w:tc>
          <w:tcPr>
            <w:tcW w:type="dxa" w:w="1560"/>
          </w:tcPr>
          <w:p>
            <w:pPr>
              <w:pStyle w:val="TableTextLong"/>
              <w:jc w:val="center"/>
            </w:pPr>
            <w:r>
              <w:rPr>
                <w:lang w:val="es-AR"/>
              </w:rPr>
              <w:t xml:space="preserve">2023-11-02</w:t>
            </w:r>
          </w:p>
        </w:tc>
        <w:tc>
          <w:tcPr>
            <w:tcW w:type="dxa" w:w="2047"/>
          </w:tcPr>
          <w:p>
            <w:pPr>
              <w:pStyle w:val="TableTextLong"/>
              <w:jc w:val="center"/>
            </w:pPr>
            <w:r>
              <w:rPr>
                <w:lang w:val="es-AR"/>
              </w:rPr>
              <w:t xml:space="preserve">3,060</w:t>
            </w:r>
          </w:p>
        </w:tc>
        <w:tc>
          <w:tcPr>
            <w:tcW w:type="dxa" w:w="1475"/>
          </w:tcPr>
          <w:p>
            <w:pPr>
              <w:pStyle w:val="TableTextLong"/>
              <w:jc w:val="center"/>
            </w:pPr>
            <w:r>
              <w:rPr>
                <w:lang w:val="es-AR"/>
              </w:rPr>
              <w:t xml:space="preserve">114,268</w:t>
            </w:r>
          </w:p>
        </w:tc>
      </w:tr>
      <w:tr>
        <w:tc>
          <w:tcPr>
            <w:tcW w:type="dxa" w:w="780"/>
          </w:tcPr>
          <w:p>
            <w:pPr>
              <w:pStyle w:val="TableTextLong"/>
              <w:jc w:val="center"/>
            </w:pPr>
            <w:r>
              <w:rPr>
                <w:lang w:val="es-AR"/>
              </w:rPr>
              <w:t xml:space="preserve">41</w:t>
            </w:r>
          </w:p>
        </w:tc>
        <w:tc>
          <w:tcPr>
            <w:tcW w:type="dxa" w:w="1560"/>
          </w:tcPr>
          <w:p>
            <w:pPr>
              <w:pStyle w:val="TableTextLong"/>
              <w:jc w:val="center"/>
            </w:pPr>
            <w:r>
              <w:rPr>
                <w:lang w:val="es-AR"/>
              </w:rPr>
              <w:t xml:space="preserve">2023-11-09</w:t>
            </w:r>
          </w:p>
        </w:tc>
        <w:tc>
          <w:tcPr>
            <w:tcW w:type="dxa" w:w="2047"/>
          </w:tcPr>
          <w:p>
            <w:pPr>
              <w:pStyle w:val="TableTextLong"/>
              <w:jc w:val="center"/>
            </w:pPr>
            <w:r>
              <w:rPr>
                <w:lang w:val="es-AR"/>
              </w:rPr>
              <w:t xml:space="preserve">3,068</w:t>
            </w:r>
          </w:p>
        </w:tc>
        <w:tc>
          <w:tcPr>
            <w:tcW w:type="dxa" w:w="1475"/>
          </w:tcPr>
          <w:p>
            <w:pPr>
              <w:pStyle w:val="TableTextLong"/>
              <w:jc w:val="center"/>
            </w:pPr>
            <w:r>
              <w:rPr>
                <w:lang w:val="es-AR"/>
              </w:rPr>
              <w:t xml:space="preserve">117,336</w:t>
            </w:r>
          </w:p>
        </w:tc>
      </w:tr>
      <w:tr>
        <w:tc>
          <w:tcPr>
            <w:tcW w:type="dxa" w:w="780"/>
          </w:tcPr>
          <w:p>
            <w:pPr>
              <w:pStyle w:val="TableTextLong"/>
              <w:jc w:val="center"/>
            </w:pPr>
            <w:r>
              <w:rPr>
                <w:lang w:val="es-AR"/>
              </w:rPr>
              <w:t xml:space="preserve">42</w:t>
            </w:r>
          </w:p>
        </w:tc>
        <w:tc>
          <w:tcPr>
            <w:tcW w:type="dxa" w:w="1560"/>
          </w:tcPr>
          <w:p>
            <w:pPr>
              <w:pStyle w:val="TableTextLong"/>
              <w:jc w:val="center"/>
            </w:pPr>
            <w:r>
              <w:rPr>
                <w:lang w:val="es-AR"/>
              </w:rPr>
              <w:t xml:space="preserve">2023-11-16</w:t>
            </w:r>
          </w:p>
        </w:tc>
        <w:tc>
          <w:tcPr>
            <w:tcW w:type="dxa" w:w="2047"/>
          </w:tcPr>
          <w:p>
            <w:pPr>
              <w:pStyle w:val="TableTextLong"/>
              <w:jc w:val="center"/>
            </w:pPr>
            <w:r>
              <w:rPr>
                <w:lang w:val="es-AR"/>
              </w:rPr>
              <w:t xml:space="preserve">3,244</w:t>
            </w:r>
          </w:p>
        </w:tc>
        <w:tc>
          <w:tcPr>
            <w:tcW w:type="dxa" w:w="1475"/>
          </w:tcPr>
          <w:p>
            <w:pPr>
              <w:pStyle w:val="TableTextLong"/>
              <w:jc w:val="center"/>
            </w:pPr>
            <w:r>
              <w:rPr>
                <w:lang w:val="es-AR"/>
              </w:rPr>
              <w:t xml:space="preserve">120,580</w:t>
            </w:r>
          </w:p>
        </w:tc>
      </w:tr>
      <w:tr>
        <w:tc>
          <w:tcPr>
            <w:tcW w:type="dxa" w:w="780"/>
          </w:tcPr>
          <w:p>
            <w:pPr>
              <w:pStyle w:val="TableTextLong"/>
              <w:jc w:val="center"/>
            </w:pPr>
            <w:r>
              <w:rPr>
                <w:lang w:val="es-AR"/>
              </w:rPr>
              <w:t xml:space="preserve">43</w:t>
            </w:r>
          </w:p>
        </w:tc>
        <w:tc>
          <w:tcPr>
            <w:tcW w:type="dxa" w:w="1560"/>
          </w:tcPr>
          <w:p>
            <w:pPr>
              <w:pStyle w:val="TableTextLong"/>
              <w:jc w:val="center"/>
            </w:pPr>
            <w:r>
              <w:rPr>
                <w:lang w:val="es-AR"/>
              </w:rPr>
              <w:t xml:space="preserve">2023-11-23</w:t>
            </w:r>
          </w:p>
        </w:tc>
        <w:tc>
          <w:tcPr>
            <w:tcW w:type="dxa" w:w="2047"/>
          </w:tcPr>
          <w:p>
            <w:pPr>
              <w:pStyle w:val="TableTextLong"/>
              <w:jc w:val="center"/>
            </w:pPr>
            <w:r>
              <w:rPr>
                <w:lang w:val="es-AR"/>
              </w:rPr>
              <w:t xml:space="preserve">3,052</w:t>
            </w:r>
          </w:p>
        </w:tc>
        <w:tc>
          <w:tcPr>
            <w:tcW w:type="dxa" w:w="1475"/>
          </w:tcPr>
          <w:p>
            <w:pPr>
              <w:pStyle w:val="TableTextLong"/>
              <w:jc w:val="center"/>
            </w:pPr>
            <w:r>
              <w:rPr>
                <w:lang w:val="es-AR"/>
              </w:rPr>
              <w:t xml:space="preserve">123,632</w:t>
            </w:r>
          </w:p>
        </w:tc>
      </w:tr>
      <w:tr>
        <w:tc>
          <w:tcPr>
            <w:tcW w:type="dxa" w:w="780"/>
          </w:tcPr>
          <w:p>
            <w:pPr>
              <w:pStyle w:val="TableTextLong"/>
              <w:jc w:val="center"/>
            </w:pPr>
            <w:r>
              <w:rPr>
                <w:lang w:val="es-AR"/>
              </w:rPr>
              <w:t xml:space="preserve">44</w:t>
            </w:r>
          </w:p>
        </w:tc>
        <w:tc>
          <w:tcPr>
            <w:tcW w:type="dxa" w:w="1560"/>
          </w:tcPr>
          <w:p>
            <w:pPr>
              <w:pStyle w:val="TableTextLong"/>
              <w:jc w:val="center"/>
            </w:pPr>
            <w:r>
              <w:rPr>
                <w:lang w:val="es-AR"/>
              </w:rPr>
              <w:t xml:space="preserve">2023-11-30</w:t>
            </w:r>
          </w:p>
        </w:tc>
        <w:tc>
          <w:tcPr>
            <w:tcW w:type="dxa" w:w="2047"/>
          </w:tcPr>
          <w:p>
            <w:pPr>
              <w:pStyle w:val="TableTextLong"/>
              <w:jc w:val="center"/>
            </w:pPr>
            <w:r>
              <w:rPr>
                <w:lang w:val="es-AR"/>
              </w:rPr>
              <w:t xml:space="preserve">3,247</w:t>
            </w:r>
          </w:p>
        </w:tc>
        <w:tc>
          <w:tcPr>
            <w:tcW w:type="dxa" w:w="1475"/>
          </w:tcPr>
          <w:p>
            <w:pPr>
              <w:pStyle w:val="TableTextLong"/>
              <w:jc w:val="center"/>
            </w:pPr>
            <w:r>
              <w:rPr>
                <w:lang w:val="es-AR"/>
              </w:rPr>
              <w:t xml:space="preserve">126,879</w:t>
            </w:r>
          </w:p>
        </w:tc>
      </w:tr>
      <w:tr>
        <w:tc>
          <w:tcPr>
            <w:tcW w:type="dxa" w:w="780"/>
          </w:tcPr>
          <w:p>
            <w:pPr>
              <w:pStyle w:val="TableTextLong"/>
              <w:jc w:val="center"/>
            </w:pPr>
            <w:r>
              <w:rPr>
                <w:lang w:val="es-AR"/>
              </w:rPr>
              <w:t xml:space="preserve">45</w:t>
            </w:r>
          </w:p>
        </w:tc>
        <w:tc>
          <w:tcPr>
            <w:tcW w:type="dxa" w:w="1560"/>
          </w:tcPr>
          <w:p>
            <w:pPr>
              <w:pStyle w:val="TableTextLong"/>
              <w:jc w:val="center"/>
            </w:pPr>
            <w:r>
              <w:rPr>
                <w:lang w:val="es-AR"/>
              </w:rPr>
              <w:t xml:space="preserve">2023-12-07</w:t>
            </w:r>
          </w:p>
        </w:tc>
        <w:tc>
          <w:tcPr>
            <w:tcW w:type="dxa" w:w="2047"/>
          </w:tcPr>
          <w:p>
            <w:pPr>
              <w:pStyle w:val="TableTextLong"/>
              <w:jc w:val="center"/>
            </w:pPr>
            <w:r>
              <w:rPr>
                <w:lang w:val="es-AR"/>
              </w:rPr>
              <w:t xml:space="preserve">3,206</w:t>
            </w:r>
          </w:p>
        </w:tc>
        <w:tc>
          <w:tcPr>
            <w:tcW w:type="dxa" w:w="1475"/>
          </w:tcPr>
          <w:p>
            <w:pPr>
              <w:pStyle w:val="TableTextLong"/>
              <w:jc w:val="center"/>
            </w:pPr>
            <w:r>
              <w:rPr>
                <w:lang w:val="es-AR"/>
              </w:rPr>
              <w:t xml:space="preserve">130,085</w:t>
            </w:r>
          </w:p>
        </w:tc>
      </w:tr>
      <w:tr>
        <w:tc>
          <w:tcPr>
            <w:tcW w:type="dxa" w:w="780"/>
          </w:tcPr>
          <w:p>
            <w:pPr>
              <w:pStyle w:val="TableTextLong"/>
              <w:jc w:val="center"/>
            </w:pPr>
            <w:r>
              <w:rPr>
                <w:lang w:val="es-AR"/>
              </w:rPr>
              <w:t xml:space="preserve">46</w:t>
            </w:r>
          </w:p>
        </w:tc>
        <w:tc>
          <w:tcPr>
            <w:tcW w:type="dxa" w:w="1560"/>
          </w:tcPr>
          <w:p>
            <w:pPr>
              <w:pStyle w:val="TableTextLong"/>
              <w:jc w:val="center"/>
            </w:pPr>
            <w:r>
              <w:rPr>
                <w:lang w:val="es-AR"/>
              </w:rPr>
              <w:t xml:space="preserve">2023-12-14</w:t>
            </w:r>
          </w:p>
        </w:tc>
        <w:tc>
          <w:tcPr>
            <w:tcW w:type="dxa" w:w="2047"/>
          </w:tcPr>
          <w:p>
            <w:pPr>
              <w:pStyle w:val="TableTextLong"/>
              <w:jc w:val="center"/>
            </w:pPr>
            <w:r>
              <w:rPr>
                <w:lang w:val="es-AR"/>
              </w:rPr>
              <w:t xml:space="preserve">2,812</w:t>
            </w:r>
          </w:p>
        </w:tc>
        <w:tc>
          <w:tcPr>
            <w:tcW w:type="dxa" w:w="1475"/>
          </w:tcPr>
          <w:p>
            <w:pPr>
              <w:pStyle w:val="TableTextLong"/>
              <w:jc w:val="center"/>
            </w:pPr>
            <w:r>
              <w:rPr>
                <w:lang w:val="es-AR"/>
              </w:rPr>
              <w:t xml:space="preserve">132,897</w:t>
            </w:r>
          </w:p>
        </w:tc>
      </w:tr>
    </w:tbl>
    <w:p>
      <w:pPr>
        <w:pStyle w:val="BodyText"/>
        <w:spacing w:before="240"/>
      </w:pPr>
      <w:r>
        <w:rPr>
          <w:lang w:val="es-AR"/>
        </w:rPr>
        <w:t xml:space="preserve">Los datos están igualmente espaciados con paso</w:t>
      </w:r>
      <w:r>
        <w:rPr>
          <w:lang w:val="es-AR"/>
        </w:rPr>
        <w:t xml:space="preserve"> </w:t>
      </w:r>
      <m:oMath>
        <m:r>
          <m:t>h</m:t>
        </m:r>
        <m:r>
          <m:rPr>
            <m:sty m:val="p"/>
          </m:rPr>
          <m:t>=</m:t>
        </m:r>
        <m:r>
          <m:t>1</m:t>
        </m:r>
      </m:oMath>
      <w:r>
        <w:rPr>
          <w:lang w:val="es-AR"/>
        </w:rPr>
        <w:t xml:space="preserve"> </w:t>
      </w:r>
      <w:r>
        <w:rPr>
          <w:lang w:val="es-AR"/>
        </w:rPr>
        <w:t xml:space="preserve">semana, condición que se aprovecha en la etapa de diferenciación numérica. En total, el tema acumuló 132,9 millones de reproducciones en el período analizado.</w:t>
      </w:r>
    </w:p>
    <w:bookmarkEnd w:id="15"/>
    <w:bookmarkStart w:id="16" w:name="interrogantes-y-condiciones-del-problema"/>
    <w:p>
      <w:pPr>
        <w:pStyle w:val="Heading2"/>
      </w:pPr>
      <w:r>
        <w:rPr>
          <w:lang w:val="es-AR"/>
        </w:rPr>
        <w:t xml:space="preserve">2.3. Interrogantes y condiciones del problema</w:t>
      </w:r>
    </w:p>
    <w:p>
      <w:pPr>
        <w:pStyle w:val="FirstParagraph"/>
      </w:pPr>
      <w:r>
        <w:rPr>
          <w:lang w:val="es-AR"/>
        </w:rPr>
        <w:t xml:space="preserve">A partir de los datos se plantean tres interrogantes:</w:t>
      </w:r>
    </w:p>
    <w:p>
      <w:pPr>
        <w:pStyle w:val="Compact"/>
        <w:numPr>
          <w:ilvl w:val="0"/>
          <w:numId w:val="1003"/>
        </w:numPr>
      </w:pPr>
      <w:r>
        <w:rPr>
          <w:lang w:val="es-AR"/>
        </w:rPr>
        <w:t xml:space="preserve">¿Qué función continua</w:t>
      </w:r>
      <w:r>
        <w:rPr>
          <w:lang w:val="es-AR"/>
        </w:rPr>
        <w:t xml:space="preserve"> </w:t>
      </w:r>
      <m:oMath>
        <m:acc>
          <m:accPr>
            <m:chr m:val="̂"/>
          </m:accPr>
          <m:e>
            <m:r>
              <m:t>S</m:t>
            </m:r>
          </m:e>
        </m:acc>
        <m:r>
          <m:rPr>
            <m:sty m:val="p"/>
          </m:rPr>
          <m:t>(</m:t>
        </m:r>
        <m:r>
          <m:t>t</m:t>
        </m:r>
        <m:r>
          <m:rPr>
            <m:sty m:val="p"/>
          </m:rPr>
          <m:t>)</m:t>
        </m:r>
      </m:oMath>
      <w:r>
        <w:rPr>
          <w:lang w:val="es-AR"/>
        </w:rPr>
        <w:t xml:space="preserve"> </w:t>
      </w:r>
      <w:r>
        <w:rPr>
          <w:lang w:val="es-AR"/>
        </w:rPr>
        <w:t xml:space="preserve">representa adecuadamente la evolución de las reproducciones acumuladas y en qué intervalo es válida?</w:t>
      </w:r>
    </w:p>
    <w:p>
      <w:pPr>
        <w:pStyle w:val="Compact"/>
        <w:numPr>
          <w:ilvl w:val="0"/>
          <w:numId w:val="1003"/>
        </w:numPr>
      </w:pPr>
      <w:r>
        <w:rPr>
          <w:lang w:val="es-AR"/>
        </w:rPr>
        <w:t xml:space="preserve">¿En qué instante</w:t>
      </w:r>
      <w:r>
        <w:rPr>
          <w:lang w:val="es-AR"/>
        </w:rPr>
        <w:t xml:space="preserve"> </w:t>
      </w:r>
      <m:oMath>
        <m:sSup>
          <m:e>
            <m:r>
              <m:t>t</m:t>
            </m:r>
          </m:e>
          <m:sup>
            <m:r>
              <m:rPr>
                <m:sty m:val="p"/>
              </m:rPr>
              <m:t>*</m:t>
            </m:r>
          </m:sup>
        </m:sSup>
      </m:oMath>
      <w:r>
        <w:rPr>
          <w:lang w:val="es-AR"/>
        </w:rPr>
        <w:t xml:space="preserve"> </w:t>
      </w:r>
      <w:r>
        <w:rPr>
          <w:lang w:val="es-AR"/>
        </w:rPr>
        <w:t xml:space="preserve">se superaron los 100 millones de reproducciones acumuladas? Esto equivale a resolver la ecuación no lineal</w:t>
      </w:r>
    </w:p>
    <w:p>
      <w:pPr>
        <w:pStyle w:val="FirstParagraph"/>
      </w:pPr>
      <m:oMathPara>
        <m:oMathParaPr>
          <m:jc m:val="center"/>
        </m:oMathParaPr>
        <m:oMath>
          <m:r>
            <m:t>f</m:t>
          </m:r>
          <m:r>
            <m:rPr>
              <m:sty m:val="p"/>
            </m:rPr>
            <m:t>(</m:t>
          </m:r>
          <m:r>
            <m:t>t</m:t>
          </m:r>
          <m:r>
            <m:rPr>
              <m:sty m:val="p"/>
            </m:rPr>
            <m:t>)</m:t>
          </m:r>
          <m:r>
            <m:rPr>
              <m:sty m:val="p"/>
            </m:rPr>
            <m:t>=</m:t>
          </m:r>
          <m:r>
            <m:t>S</m:t>
          </m:r>
          <m:r>
            <m:rPr>
              <m:sty m:val="p"/>
            </m:rPr>
            <m:t>(</m:t>
          </m:r>
          <m:r>
            <m:t>t</m:t>
          </m:r>
          <m:r>
            <m:rPr>
              <m:sty m:val="p"/>
            </m:rPr>
            <m:t>)</m:t>
          </m:r>
          <m:r>
            <m:rPr>
              <m:sty m:val="p"/>
            </m:rPr>
            <m:t>−</m:t>
          </m:r>
          <m:r>
            <m:t>100</m:t>
          </m:r>
          <m:r>
            <m:rPr>
              <m:sty m:val="p"/>
            </m:rPr>
            <m:t>=</m:t>
          </m:r>
          <m:r>
            <m:t>0</m:t>
          </m:r>
        </m:oMath>
      </m:oMathPara>
    </w:p>
    <w:p>
      <w:pPr>
        <w:pStyle w:val="Compact"/>
        <w:numPr>
          <w:ilvl w:val="0"/>
          <w:numId w:val="1004"/>
        </w:numPr>
      </w:pPr>
      <w:r>
        <w:rPr>
          <w:lang w:val="es-AR"/>
        </w:rPr>
        <w:t xml:space="preserve">¿En qué instante se alcanzó la máxima velocidad de crecimiento, es decir, el punto de inflexión de</w:t>
      </w:r>
      <w:r>
        <w:rPr>
          <w:lang w:val="es-AR"/>
        </w:rPr>
        <w:t xml:space="preserve"> </w:t>
      </w:r>
      <m:oMath>
        <m:r>
          <m:t>S</m:t>
        </m:r>
        <m:r>
          <m:rPr>
            <m:sty m:val="p"/>
          </m:rPr>
          <m:t>(</m:t>
        </m:r>
        <m:r>
          <m:t>t</m:t>
        </m:r>
        <m:r>
          <m:rPr>
            <m:sty m:val="p"/>
          </m:rPr>
          <m:t>)</m:t>
        </m:r>
      </m:oMath>
      <w:r>
        <w:rPr>
          <w:lang w:val="es-AR"/>
        </w:rPr>
        <w:t xml:space="preserve">, donde</w:t>
      </w:r>
      <w:r>
        <w:rPr>
          <w:lang w:val="es-AR"/>
        </w:rPr>
        <w:t xml:space="preserve"> </w:t>
      </w:r>
      <m:oMath>
        <m:sSup>
          <m:e>
            <m:r>
              <m:t>S</m:t>
            </m:r>
          </m:e>
          <m:sup>
            <m:r>
              <m:rPr>
                <m:sty m:val="p"/>
              </m:rPr>
              <m:t>″</m:t>
            </m:r>
          </m:sup>
        </m:sSup>
        <m:r>
          <m:rPr>
            <m:sty m:val="p"/>
          </m:rPr>
          <m:t>(</m:t>
        </m:r>
        <m:r>
          <m:t>t</m:t>
        </m:r>
        <m:r>
          <m:rPr>
            <m:sty m:val="p"/>
          </m:rPr>
          <m:t>)</m:t>
        </m:r>
        <m:r>
          <m:rPr>
            <m:sty m:val="p"/>
          </m:rPr>
          <m:t>=</m:t>
        </m:r>
        <m:r>
          <m:t>0</m:t>
        </m:r>
      </m:oMath>
      <w:r>
        <w:rPr>
          <w:lang w:val="es-AR"/>
        </w:rPr>
        <w:t xml:space="preserve">?</w:t>
      </w:r>
    </w:p>
    <w:p>
      <w:pPr>
        <w:pStyle w:val="FirstParagraph"/>
      </w:pPr>
      <w:r>
        <w:rPr>
          <w:lang w:val="es-AR"/>
        </w:rPr>
        <w:t xml:space="preserve">Para abordarlos se requiere que la función de aproximación sea continua y derivable al menos dos veces en el intervalo de estudio, y que exista un cambio de signo de</w:t>
      </w:r>
      <w:r>
        <w:rPr>
          <w:lang w:val="es-AR"/>
        </w:rPr>
        <w:t xml:space="preserve"> </w:t>
      </w:r>
      <m:oMath>
        <m:r>
          <m:t>f</m:t>
        </m:r>
        <m:r>
          <m:rPr>
            <m:sty m:val="p"/>
          </m:rPr>
          <m:t>(</m:t>
        </m:r>
        <m:r>
          <m:t>t</m:t>
        </m:r>
        <m:r>
          <m:rPr>
            <m:sty m:val="p"/>
          </m:rPr>
          <m:t>)</m:t>
        </m:r>
      </m:oMath>
      <w:r>
        <w:rPr>
          <w:lang w:val="es-AR"/>
        </w:rPr>
        <w:t xml:space="preserve"> </w:t>
      </w:r>
      <w:r>
        <w:rPr>
          <w:lang w:val="es-AR"/>
        </w:rPr>
        <w:t xml:space="preserve">en un intervalo conocido, condición necesaria para aplicar el método de Bisección.</w:t>
      </w:r>
    </w:p>
    <w:bookmarkEnd w:id="16"/>
    <w:bookmarkStart w:id="17" w:name="errores-y-criterio-de-parada"/>
    <w:p>
      <w:pPr>
        <w:pStyle w:val="Heading2"/>
      </w:pPr>
      <w:r>
        <w:rPr>
          <w:lang w:val="es-AR"/>
        </w:rPr>
        <w:t xml:space="preserve">2.4. Errores y criterio de parada</w:t>
      </w:r>
    </w:p>
    <w:p>
      <w:pPr>
        <w:pStyle w:val="FirstParagraph"/>
      </w:pPr>
      <w:r>
        <w:rPr>
          <w:lang w:val="es-AR"/>
        </w:rPr>
        <w:t xml:space="preserve">Siguiendo el apunte de Introducción al Análisis Numérico (cap. 1), dado que el valor verdadero de la raíz se desconoce, los métodos iterativos se controlan mediante el</w:t>
      </w:r>
      <w:r>
        <w:rPr>
          <w:lang w:val="es-AR"/>
        </w:rPr>
        <w:t xml:space="preserve"> </w:t>
      </w:r>
      <w:r>
        <w:rPr>
          <w:b/>
          <w:bCs/>
          <w:lang w:val="es-AR"/>
        </w:rPr>
        <w:t xml:space="preserve">error relativo porcentual aproximado</w:t>
      </w:r>
      <w:r>
        <w:rPr>
          <w:lang w:val="es-AR"/>
        </w:rPr>
        <w:t xml:space="preserve">:</w:t>
      </w:r>
    </w:p>
    <w:p>
      <w:pPr>
        <w:pStyle w:val="BodyText"/>
      </w:pPr>
      <m:oMathPara>
        <m:oMathParaPr>
          <m:jc m:val="center"/>
        </m:oMathParaPr>
        <m:oMath>
          <m:r>
            <m:rPr>
              <m:sty m:val="p"/>
            </m:rPr>
            <m:t>|</m:t>
          </m:r>
          <m:sSub>
            <m:e>
              <m:r>
                <m:t>E</m:t>
              </m:r>
            </m:e>
            <m:sub>
              <m:r>
                <m:t>r</m:t>
              </m:r>
              <m:r>
                <m:t>a</m:t>
              </m:r>
            </m:sub>
          </m:sSub>
          <m:r>
            <m:rPr>
              <m:sty m:val="p"/>
            </m:rPr>
            <m:t>|</m:t>
          </m:r>
          <m:r>
            <m:t> </m:t>
          </m:r>
          <m:r>
            <m:rPr>
              <m:sty m:val="p"/>
            </m:rPr>
            <m:t>[</m:t>
          </m:r>
          <m:r>
            <m:rPr>
              <m:sty m:val="p"/>
            </m:rPr>
            <m:t>%</m:t>
          </m:r>
          <m:r>
            <m:rPr>
              <m:sty m:val="p"/>
            </m:rPr>
            <m:t>]</m:t>
          </m:r>
          <m:r>
            <m:rPr>
              <m:sty m:val="p"/>
            </m:rPr>
            <m:t>=</m:t>
          </m:r>
          <m:d>
            <m:dPr>
              <m:begChr m:val="|"/>
              <m:sepChr m:val=""/>
              <m:endChr m:val="|"/>
              <m:grow/>
            </m:dPr>
            <m:e>
              <m:f>
                <m:fPr>
                  <m:type m:val="bar"/>
                </m:fPr>
                <m:num>
                  <m:sSub>
                    <m:e>
                      <m:r>
                        <m:t>x</m:t>
                      </m:r>
                    </m:e>
                    <m:sub>
                      <m:r>
                        <m:t>a</m:t>
                      </m:r>
                      <m:r>
                        <m:t>c</m:t>
                      </m:r>
                      <m:r>
                        <m:t>t</m:t>
                      </m:r>
                      <m:r>
                        <m:t>u</m:t>
                      </m:r>
                      <m:r>
                        <m:t>a</m:t>
                      </m:r>
                      <m:r>
                        <m:t>l</m:t>
                      </m:r>
                    </m:sub>
                  </m:sSub>
                  <m:r>
                    <m:rPr>
                      <m:sty m:val="p"/>
                    </m:rPr>
                    <m:t>−</m:t>
                  </m:r>
                  <m:sSub>
                    <m:e>
                      <m:r>
                        <m:t>x</m:t>
                      </m:r>
                    </m:e>
                    <m:sub>
                      <m:r>
                        <m:t>p</m:t>
                      </m:r>
                      <m:r>
                        <m:t>r</m:t>
                      </m:r>
                      <m:r>
                        <m:t>e</m:t>
                      </m:r>
                      <m:r>
                        <m:t>v</m:t>
                      </m:r>
                      <m:r>
                        <m:t>i</m:t>
                      </m:r>
                      <m:r>
                        <m:t>o</m:t>
                      </m:r>
                    </m:sub>
                  </m:sSub>
                </m:num>
                <m:den>
                  <m:sSub>
                    <m:e>
                      <m:r>
                        <m:t>x</m:t>
                      </m:r>
                    </m:e>
                    <m:sub>
                      <m:r>
                        <m:t>a</m:t>
                      </m:r>
                      <m:r>
                        <m:t>c</m:t>
                      </m:r>
                      <m:r>
                        <m:t>t</m:t>
                      </m:r>
                      <m:r>
                        <m:t>u</m:t>
                      </m:r>
                      <m:r>
                        <m:t>a</m:t>
                      </m:r>
                      <m:r>
                        <m:t>l</m:t>
                      </m:r>
                    </m:sub>
                  </m:sSub>
                </m:den>
              </m:f>
            </m:e>
          </m:d>
          <m:r>
            <m:rPr>
              <m:sty m:val="p"/>
            </m:rPr>
            <m:t>⋅</m:t>
          </m:r>
          <m:r>
            <m:t>100</m:t>
          </m:r>
          <m:r>
            <m:t> </m:t>
          </m:r>
          <m:r>
            <m:rPr>
              <m:sty m:val="p"/>
            </m:rPr>
            <m:t>%</m:t>
          </m:r>
        </m:oMath>
      </m:oMathPara>
    </w:p>
    <w:p>
      <w:pPr>
        <w:pStyle w:val="FirstParagraph"/>
      </w:pPr>
      <w:r>
        <w:rPr>
          <w:lang w:val="es-AR"/>
        </w:rPr>
        <w:t xml:space="preserve">En todos los casos se adopta como mecanismo de parada la condición</w:t>
      </w:r>
    </w:p>
    <w:p>
      <w:pPr>
        <w:pStyle w:val="BodyText"/>
      </w:pPr>
      <m:oMathPara>
        <m:oMathParaPr>
          <m:jc m:val="center"/>
        </m:oMathParaPr>
        <m:oMath>
          <m:r>
            <m:rPr>
              <m:sty m:val="p"/>
            </m:rPr>
            <m:t>|</m:t>
          </m:r>
          <m:sSub>
            <m:e>
              <m:r>
                <m:t>E</m:t>
              </m:r>
            </m:e>
            <m:sub>
              <m:r>
                <m:t>r</m:t>
              </m:r>
              <m:r>
                <m:t>a</m:t>
              </m:r>
            </m:sub>
          </m:sSub>
          <m:r>
            <m:rPr>
              <m:sty m:val="p"/>
            </m:rPr>
            <m:t>|</m:t>
          </m:r>
          <m:r>
            <m:rPr>
              <m:sty m:val="p"/>
            </m:rPr>
            <m:t>&lt;</m:t>
          </m:r>
          <m:r>
            <m:t>ε</m:t>
          </m:r>
          <m:r>
            <m:rPr>
              <m:sty m:val="p"/>
            </m:rPr>
            <m:t>=</m:t>
          </m:r>
          <m:sSup>
            <m:e>
              <m:r>
                <m:t>10</m:t>
              </m:r>
            </m:e>
            <m:sup>
              <m:r>
                <m:rPr>
                  <m:sty m:val="p"/>
                </m:rPr>
                <m:t>−</m:t>
              </m:r>
              <m:r>
                <m:t>4</m:t>
              </m:r>
            </m:sup>
          </m:sSup>
          <m:r>
            <m:t> </m:t>
          </m:r>
          <m:r>
            <m:rPr>
              <m:sty m:val="p"/>
            </m:rPr>
            <m:t>%</m:t>
          </m:r>
        </m:oMath>
      </m:oMathPara>
    </w:p>
    <w:p>
      <w:pPr>
        <w:pStyle w:val="FirstParagraph"/>
      </w:pPr>
      <w:r>
        <w:rPr>
          <w:lang w:val="es-AR"/>
        </w:rPr>
        <w:t xml:space="preserve">Este valor de tolerancia asegura que el error de los métodos de búsqueda de raíces sea despreciable frente al error propio del modelo de ajuste, que se analiza en la sección 3.2.5.</w:t>
      </w:r>
    </w:p>
    <w:bookmarkEnd w:id="17"/>
    <w:bookmarkEnd w:id="18"/>
    <w:bookmarkStart w:id="59" w:name="resolución"/>
    <w:p>
      <w:pPr>
        <w:pStyle w:val="Heading1"/>
      </w:pPr>
      <w:r>
        <w:rPr>
          <w:lang w:val="es-AR"/>
        </w:rPr>
        <w:t xml:space="preserve">3. Resolución</w:t>
      </w:r>
    </w:p>
    <w:p>
      <w:pPr>
        <w:pStyle w:val="FirstParagraph"/>
      </w:pPr>
      <w:r>
        <w:rPr>
          <w:lang w:val="es-AR"/>
        </w:rPr>
        <w:t xml:space="preserve">La resolución se implementó en Python con la biblioteca NumPy para el manejo de vectores y Matplotlib para los gráficos. La eliminación gaussiana, la trazadora cúbica natural, la Bisección y Newton-Raphson se programaron siguiendo los algoritmos de los apuntes, sin recurrir a funciones de resolución automáticas. El programa lee cada serie desde un archivo CSV, por lo que el mismo análisis se aplica a cualquier canción. El código fuente se entrega como material complementario, en el archivo</w:t>
      </w:r>
      <w:r>
        <w:rPr>
          <w:lang w:val="es-AR"/>
        </w:rPr>
        <w:t xml:space="preserve"> </w:t>
      </w:r>
      <w:r>
        <w:rPr>
          <w:rStyle w:val="VerbatimChar"/>
          <w:lang w:val="es-AR"/>
        </w:rPr>
        <w:t xml:space="preserve">analisis_resurgimiento_rosa_pastel.py</w:t>
      </w:r>
      <w:r>
        <w:rPr>
          <w:lang w:val="es-AR"/>
        </w:rPr>
        <w:t xml:space="preserve">.</w:t>
      </w:r>
    </w:p>
    <w:bookmarkStart w:id="28" w:name="ajuste-de-curvas"/>
    <w:p>
      <w:pPr>
        <w:pStyle w:val="Heading2"/>
      </w:pPr>
      <w:r>
        <w:rPr>
          <w:lang w:val="es-AR"/>
        </w:rPr>
        <w:t xml:space="preserve">3.1. Ajuste de curvas</w:t>
      </w:r>
    </w:p>
    <w:bookmarkStart w:id="19" w:name="elección-del-modelo"/>
    <w:p>
      <w:pPr>
        <w:pStyle w:val="Heading3"/>
      </w:pPr>
      <w:r>
        <w:rPr>
          <w:lang w:val="es-AR"/>
        </w:rPr>
        <w:t xml:space="preserve">3.1.1. Elección del modelo</w:t>
      </w:r>
    </w:p>
    <w:p>
      <w:pPr>
        <w:pStyle w:val="FirstParagraph"/>
      </w:pPr>
      <w:r>
        <w:rPr>
          <w:lang w:val="es-AR"/>
        </w:rPr>
        <w:t xml:space="preserve">Entre las alternativas del cap. 5 de los apuntes se consideraron:</w:t>
      </w:r>
    </w:p>
    <w:p>
      <w:pPr>
        <w:pStyle w:val="Compact"/>
        <w:numPr>
          <w:ilvl w:val="0"/>
          <w:numId w:val="1005"/>
        </w:numPr>
      </w:pPr>
      <w:r>
        <w:rPr>
          <w:lang w:val="es-AR"/>
        </w:rPr>
        <w:t xml:space="preserve">La</w:t>
      </w:r>
      <w:r>
        <w:rPr>
          <w:lang w:val="es-AR"/>
        </w:rPr>
        <w:t xml:space="preserve"> </w:t>
      </w:r>
      <w:r>
        <w:rPr>
          <w:b/>
          <w:bCs/>
          <w:lang w:val="es-AR"/>
        </w:rPr>
        <w:t xml:space="preserve">regresión lineal</w:t>
      </w:r>
      <w:r>
        <w:rPr>
          <w:lang w:val="es-AR"/>
        </w:rPr>
        <w:t xml:space="preserve"> </w:t>
      </w:r>
      <w:r>
        <w:rPr>
          <w:lang w:val="es-AR"/>
        </w:rPr>
        <w:t xml:space="preserve">y los modelos linealizables (exponencial, potencial y de crecimiento). Se descartaron porque ninguno representa a la vez la concavidad positiva del período de crecimiento y la concavidad negativa del final del año.</w:t>
      </w:r>
    </w:p>
    <w:p>
      <w:pPr>
        <w:pStyle w:val="Compact"/>
        <w:numPr>
          <w:ilvl w:val="0"/>
          <w:numId w:val="1005"/>
        </w:numPr>
      </w:pPr>
      <w:r>
        <w:rPr>
          <w:lang w:val="es-AR"/>
        </w:rPr>
        <w:t xml:space="preserve">La</w:t>
      </w:r>
      <w:r>
        <w:rPr>
          <w:lang w:val="es-AR"/>
        </w:rPr>
        <w:t xml:space="preserve"> </w:t>
      </w:r>
      <w:r>
        <w:rPr>
          <w:b/>
          <w:bCs/>
          <w:lang w:val="es-AR"/>
        </w:rPr>
        <w:t xml:space="preserve">interpolación polinomial</w:t>
      </w:r>
      <w:r>
        <w:rPr>
          <w:lang w:val="es-AR"/>
        </w:rPr>
        <w:t xml:space="preserve"> </w:t>
      </w:r>
      <w:r>
        <w:rPr>
          <w:lang w:val="es-AR"/>
        </w:rPr>
        <w:t xml:space="preserve">de Newton o de Lagrange. Se descartó porque un único polinomio que pase por los 47 puntos tendría grado 46 y oscilaciones muy fuertes en los extremos (fenómeno de Runge).</w:t>
      </w:r>
    </w:p>
    <w:p>
      <w:pPr>
        <w:pStyle w:val="Compact"/>
        <w:numPr>
          <w:ilvl w:val="0"/>
          <w:numId w:val="1005"/>
        </w:numPr>
      </w:pPr>
      <w:r>
        <w:rPr>
          <w:lang w:val="es-AR"/>
        </w:rPr>
        <w:t xml:space="preserve">La</w:t>
      </w:r>
      <w:r>
        <w:rPr>
          <w:lang w:val="es-AR"/>
        </w:rPr>
        <w:t xml:space="preserve"> </w:t>
      </w:r>
      <w:r>
        <w:rPr>
          <w:b/>
          <w:bCs/>
          <w:lang w:val="es-AR"/>
        </w:rPr>
        <w:t xml:space="preserve">regresión polinomial de grado 3</w:t>
      </w:r>
      <w:r>
        <w:rPr>
          <w:lang w:val="es-AR"/>
        </w:rPr>
        <w:t xml:space="preserve"> </w:t>
      </w:r>
      <w:r>
        <w:rPr>
          <w:lang w:val="es-AR"/>
        </w:rPr>
        <w:t xml:space="preserve">por mínimos cuadrados. Es el polinomio de menor grado con un punto de inflexión, lo que permite representar la forma en «S» con solo cuatro parámetros y suavizar las variaciones semana a semana.</w:t>
      </w:r>
    </w:p>
    <w:p>
      <w:pPr>
        <w:pStyle w:val="Compact"/>
        <w:numPr>
          <w:ilvl w:val="0"/>
          <w:numId w:val="1005"/>
        </w:numPr>
      </w:pPr>
      <w:r>
        <w:rPr>
          <w:lang w:val="es-AR"/>
        </w:rPr>
        <w:t xml:space="preserve">La</w:t>
      </w:r>
      <w:r>
        <w:rPr>
          <w:lang w:val="es-AR"/>
        </w:rPr>
        <w:t xml:space="preserve"> </w:t>
      </w:r>
      <w:r>
        <w:rPr>
          <w:b/>
          <w:bCs/>
          <w:lang w:val="es-AR"/>
        </w:rPr>
        <w:t xml:space="preserve">trazadora cúbica natural</w:t>
      </w:r>
      <w:r>
        <w:rPr>
          <w:lang w:val="es-AR"/>
        </w:rPr>
        <w:t xml:space="preserve">. Interpola exactamente todos los datos sin oscilaciones espurias; se emplea como modelo de contraste.</w:t>
      </w:r>
    </w:p>
    <w:bookmarkEnd w:id="19"/>
    <w:bookmarkStart w:id="20" w:name="X69e476fe0a3d8d9b3ec6ecd642dc71bde4c6e01"/>
    <w:p>
      <w:pPr>
        <w:pStyle w:val="Heading3"/>
      </w:pPr>
      <w:r>
        <w:rPr>
          <w:lang w:val="es-AR"/>
        </w:rPr>
        <w:t xml:space="preserve">3.1.2. Regresión polinomial por mínimos cuadrados</w:t>
      </w:r>
    </w:p>
    <w:p>
      <w:pPr>
        <w:pStyle w:val="FirstParagraph"/>
      </w:pPr>
      <w:r>
        <w:rPr>
          <w:lang w:val="es-AR"/>
        </w:rPr>
        <w:t xml:space="preserve">Se propone el modelo</w:t>
      </w:r>
    </w:p>
    <w:p>
      <w:pPr>
        <w:pStyle w:val="BodyText"/>
      </w:pPr>
      <m:oMathPara>
        <m:oMathParaPr>
          <m:jc m:val="center"/>
        </m:oMathParaPr>
        <m:oMath>
          <m:acc>
            <m:accPr>
              <m:chr m:val="̂"/>
            </m:accPr>
            <m:e>
              <m:r>
                <m:t>S</m:t>
              </m:r>
            </m:e>
          </m:acc>
          <m:r>
            <m:rPr>
              <m:sty m:val="p"/>
            </m:rPr>
            <m:t>(</m:t>
          </m:r>
          <m:r>
            <m:t>t</m:t>
          </m:r>
          <m:r>
            <m:rPr>
              <m:sty m:val="p"/>
            </m:rPr>
            <m:t>)</m:t>
          </m:r>
          <m:r>
            <m:rPr>
              <m:sty m:val="p"/>
            </m:rPr>
            <m:t>=</m:t>
          </m:r>
          <m:sSub>
            <m:e>
              <m:r>
                <m:t>a</m:t>
              </m:r>
            </m:e>
            <m:sub>
              <m:r>
                <m:t>0</m:t>
              </m:r>
            </m:sub>
          </m:sSub>
          <m:r>
            <m:rPr>
              <m:sty m:val="p"/>
            </m:rPr>
            <m:t>+</m:t>
          </m:r>
          <m:sSub>
            <m:e>
              <m:r>
                <m:t>a</m:t>
              </m:r>
            </m:e>
            <m:sub>
              <m:r>
                <m:t>1</m:t>
              </m:r>
            </m:sub>
          </m:sSub>
          <m:r>
            <m:t>t</m:t>
          </m:r>
          <m:r>
            <m:rPr>
              <m:sty m:val="p"/>
            </m:rPr>
            <m:t>+</m:t>
          </m:r>
          <m:sSub>
            <m:e>
              <m:r>
                <m:t>a</m:t>
              </m:r>
            </m:e>
            <m:sub>
              <m:r>
                <m:t>2</m:t>
              </m:r>
            </m:sub>
          </m:sSub>
          <m:sSup>
            <m:e>
              <m:r>
                <m:t>t</m:t>
              </m:r>
            </m:e>
            <m:sup>
              <m:r>
                <m:t>2</m:t>
              </m:r>
            </m:sup>
          </m:sSup>
          <m:r>
            <m:rPr>
              <m:sty m:val="p"/>
            </m:rPr>
            <m:t>+</m:t>
          </m:r>
          <m:sSub>
            <m:e>
              <m:r>
                <m:t>a</m:t>
              </m:r>
            </m:e>
            <m:sub>
              <m:r>
                <m:t>3</m:t>
              </m:r>
            </m:sub>
          </m:sSub>
          <m:sSup>
            <m:e>
              <m:r>
                <m:t>t</m:t>
              </m:r>
            </m:e>
            <m:sup>
              <m:r>
                <m:t>3</m:t>
              </m:r>
            </m:sup>
          </m:sSup>
        </m:oMath>
      </m:oMathPara>
    </w:p>
    <w:p>
      <w:pPr>
        <w:pStyle w:val="FirstParagraph"/>
      </w:pPr>
      <w:r>
        <w:rPr>
          <w:lang w:val="es-AR"/>
        </w:rPr>
        <w:t xml:space="preserve">y, de igual manera que en la regresión lineal del cap. 5.2, se minimiza la suma de los cuadrados de los residuos:</w:t>
      </w:r>
    </w:p>
    <w:p>
      <w:pPr>
        <w:pStyle w:val="BodyText"/>
      </w:pPr>
      <m:oMathPara>
        <m:oMathParaPr>
          <m:jc m:val="center"/>
        </m:oMathParaPr>
        <m:oMath>
          <m:sSub>
            <m:e>
              <m:r>
                <m:t>S</m:t>
              </m:r>
            </m:e>
            <m:sub>
              <m:r>
                <m:t>r</m:t>
              </m:r>
            </m:sub>
          </m:sSub>
          <m:r>
            <m:rPr>
              <m:sty m:val="p"/>
            </m:rPr>
            <m:t>=</m:t>
          </m:r>
          <m:nary>
            <m:naryPr>
              <m:chr m:val="∑"/>
              <m:limLoc m:val="undOvr"/>
              <m:subHide m:val="off"/>
              <m:supHide m:val="off"/>
            </m:naryPr>
            <m:sub>
              <m:r>
                <m:t>i</m:t>
              </m:r>
              <m:r>
                <m:rPr>
                  <m:sty m:val="p"/>
                </m:rPr>
                <m:t>=</m:t>
              </m:r>
              <m:r>
                <m:t>1</m:t>
              </m:r>
            </m:sub>
            <m:sup>
              <m:r>
                <m:t>n</m:t>
              </m:r>
            </m:sup>
            <m:e>
              <m:sSubSup>
                <m:e>
                  <m:r>
                    <m:t>E</m:t>
                  </m:r>
                </m:e>
                <m:sub>
                  <m:r>
                    <m:t>i</m:t>
                  </m:r>
                </m:sub>
                <m:sup>
                  <m:r>
                    <m:t>2</m:t>
                  </m:r>
                </m:sup>
              </m:sSubSup>
            </m:e>
          </m:nary>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S</m:t>
                          </m:r>
                        </m:e>
                        <m:sub>
                          <m:r>
                            <m:t>i</m:t>
                          </m:r>
                        </m:sub>
                      </m:sSub>
                      <m:r>
                        <m:rPr>
                          <m:sty m:val="p"/>
                        </m:rPr>
                        <m:t>−</m:t>
                      </m:r>
                      <m:sSub>
                        <m:e>
                          <m:r>
                            <m:t>a</m:t>
                          </m:r>
                        </m:e>
                        <m:sub>
                          <m:r>
                            <m:t>0</m:t>
                          </m:r>
                        </m:sub>
                      </m:sSub>
                      <m:r>
                        <m:rPr>
                          <m:sty m:val="p"/>
                        </m:rPr>
                        <m:t>−</m:t>
                      </m:r>
                      <m:sSub>
                        <m:e>
                          <m:r>
                            <m:t>a</m:t>
                          </m:r>
                        </m:e>
                        <m:sub>
                          <m:r>
                            <m:t>1</m:t>
                          </m:r>
                        </m:sub>
                      </m:sSub>
                      <m:sSub>
                        <m:e>
                          <m:r>
                            <m:t>t</m:t>
                          </m:r>
                        </m:e>
                        <m:sub>
                          <m:r>
                            <m:t>i</m:t>
                          </m:r>
                        </m:sub>
                      </m:sSub>
                      <m:r>
                        <m:rPr>
                          <m:sty m:val="p"/>
                        </m:rPr>
                        <m:t>−</m:t>
                      </m:r>
                      <m:sSub>
                        <m:e>
                          <m:r>
                            <m:t>a</m:t>
                          </m:r>
                        </m:e>
                        <m:sub>
                          <m:r>
                            <m:t>2</m:t>
                          </m:r>
                        </m:sub>
                      </m:sSub>
                      <m:sSubSup>
                        <m:e>
                          <m:r>
                            <m:t>t</m:t>
                          </m:r>
                        </m:e>
                        <m:sub>
                          <m:r>
                            <m:t>i</m:t>
                          </m:r>
                        </m:sub>
                        <m:sup>
                          <m:r>
                            <m:t>2</m:t>
                          </m:r>
                        </m:sup>
                      </m:sSubSup>
                      <m:r>
                        <m:rPr>
                          <m:sty m:val="p"/>
                        </m:rPr>
                        <m:t>−</m:t>
                      </m:r>
                      <m:sSub>
                        <m:e>
                          <m:r>
                            <m:t>a</m:t>
                          </m:r>
                        </m:e>
                        <m:sub>
                          <m:r>
                            <m:t>3</m:t>
                          </m:r>
                        </m:sub>
                      </m:sSub>
                      <m:sSubSup>
                        <m:e>
                          <m:r>
                            <m:t>t</m:t>
                          </m:r>
                        </m:e>
                        <m:sub>
                          <m:r>
                            <m:t>i</m:t>
                          </m:r>
                        </m:sub>
                        <m:sup>
                          <m:r>
                            <m:t>3</m:t>
                          </m:r>
                        </m:sup>
                      </m:sSubSup>
                    </m:e>
                  </m:d>
                </m:e>
                <m:sup>
                  <m:r>
                    <m:t>2</m:t>
                  </m:r>
                </m:sup>
              </m:sSup>
            </m:e>
          </m:nary>
        </m:oMath>
      </m:oMathPara>
    </w:p>
    <w:p>
      <w:pPr>
        <w:pStyle w:val="FirstParagraph"/>
      </w:pPr>
      <w:r>
        <w:rPr>
          <w:lang w:val="es-AR"/>
        </w:rPr>
        <w:t xml:space="preserve">El mínimo se produce cuando se anulan las derivadas parciales de</w:t>
      </w:r>
      <w:r>
        <w:rPr>
          <w:lang w:val="es-AR"/>
        </w:rPr>
        <w:t xml:space="preserve"> </w:t>
      </w:r>
      <m:oMath>
        <m:sSub>
          <m:e>
            <m:r>
              <m:t>S</m:t>
            </m:r>
          </m:e>
          <m:sub>
            <m:r>
              <m:t>r</m:t>
            </m:r>
          </m:sub>
        </m:sSub>
      </m:oMath>
      <w:r>
        <w:rPr>
          <w:lang w:val="es-AR"/>
        </w:rPr>
        <w:t xml:space="preserve"> </w:t>
      </w:r>
      <w:r>
        <w:rPr>
          <w:lang w:val="es-AR"/>
        </w:rPr>
        <w:t xml:space="preserve">respecto de cada coeficiente:</w:t>
      </w:r>
    </w:p>
    <w:p>
      <w:pPr>
        <w:pStyle w:val="BodyText"/>
      </w:pPr>
      <m:oMathPara>
        <m:oMathParaPr>
          <m:jc m:val="center"/>
        </m:oMathParaPr>
        <m:oMath>
          <m:f>
            <m:fPr>
              <m:type m:val="bar"/>
            </m:fPr>
            <m:num>
              <m:r>
                <m:rPr>
                  <m:sty m:val="p"/>
                </m:rPr>
                <m:t>∂</m:t>
              </m:r>
              <m:sSub>
                <m:e>
                  <m:r>
                    <m:t>S</m:t>
                  </m:r>
                </m:e>
                <m:sub>
                  <m:r>
                    <m:t>r</m:t>
                  </m:r>
                </m:sub>
              </m:sSub>
            </m:num>
            <m:den>
              <m:r>
                <m:rPr>
                  <m:sty m:val="p"/>
                </m:rPr>
                <m:t>∂</m:t>
              </m:r>
              <m:sSub>
                <m:e>
                  <m:r>
                    <m:t>a</m:t>
                  </m:r>
                </m:e>
                <m:sub>
                  <m:r>
                    <m:t>j</m:t>
                  </m:r>
                </m:sub>
              </m:sSub>
            </m:den>
          </m:f>
          <m:r>
            <m:rPr>
              <m:sty m:val="p"/>
            </m:rPr>
            <m:t>=</m:t>
          </m:r>
          <m:r>
            <m:rPr>
              <m:sty m:val="p"/>
            </m:rPr>
            <m:t>−</m:t>
          </m:r>
          <m:r>
            <m:t>2</m:t>
          </m:r>
          <m:nary>
            <m:naryPr>
              <m:chr m:val="∑"/>
              <m:limLoc m:val="undOvr"/>
              <m:subHide m:val="off"/>
              <m:supHide m:val="off"/>
            </m:naryPr>
            <m:sub>
              <m:r>
                <m:t>i</m:t>
              </m:r>
              <m:r>
                <m:rPr>
                  <m:sty m:val="p"/>
                </m:rPr>
                <m:t>=</m:t>
              </m:r>
              <m:r>
                <m:t>1</m:t>
              </m:r>
            </m:sub>
            <m:sup>
              <m:r>
                <m:t>n</m:t>
              </m:r>
            </m:sup>
            <m:e>
              <m:sSubSup>
                <m:e>
                  <m:r>
                    <m:t>t</m:t>
                  </m:r>
                </m:e>
                <m:sub>
                  <m:r>
                    <m:t>i</m:t>
                  </m:r>
                </m:sub>
                <m:sup>
                  <m:r>
                    <m:t> </m:t>
                  </m:r>
                  <m:r>
                    <m:t>j</m:t>
                  </m:r>
                </m:sup>
              </m:sSubSup>
            </m:e>
          </m:nary>
          <m:d>
            <m:dPr>
              <m:begChr m:val="("/>
              <m:sepChr m:val=""/>
              <m:endChr m:val=")"/>
              <m:grow/>
            </m:dPr>
            <m:e>
              <m:sSub>
                <m:e>
                  <m:r>
                    <m:t>S</m:t>
                  </m:r>
                </m:e>
                <m:sub>
                  <m:r>
                    <m:t>i</m:t>
                  </m:r>
                </m:sub>
              </m:sSub>
              <m:r>
                <m:rPr>
                  <m:sty m:val="p"/>
                </m:rPr>
                <m:t>−</m:t>
              </m:r>
              <m:sSub>
                <m:e>
                  <m:r>
                    <m:t>a</m:t>
                  </m:r>
                </m:e>
                <m:sub>
                  <m:r>
                    <m:t>0</m:t>
                  </m:r>
                </m:sub>
              </m:sSub>
              <m:r>
                <m:rPr>
                  <m:sty m:val="p"/>
                </m:rPr>
                <m:t>−</m:t>
              </m:r>
              <m:sSub>
                <m:e>
                  <m:r>
                    <m:t>a</m:t>
                  </m:r>
                </m:e>
                <m:sub>
                  <m:r>
                    <m:t>1</m:t>
                  </m:r>
                </m:sub>
              </m:sSub>
              <m:sSub>
                <m:e>
                  <m:r>
                    <m:t>t</m:t>
                  </m:r>
                </m:e>
                <m:sub>
                  <m:r>
                    <m:t>i</m:t>
                  </m:r>
                </m:sub>
              </m:sSub>
              <m:r>
                <m:rPr>
                  <m:sty m:val="p"/>
                </m:rPr>
                <m:t>−</m:t>
              </m:r>
              <m:sSub>
                <m:e>
                  <m:r>
                    <m:t>a</m:t>
                  </m:r>
                </m:e>
                <m:sub>
                  <m:r>
                    <m:t>2</m:t>
                  </m:r>
                </m:sub>
              </m:sSub>
              <m:sSubSup>
                <m:e>
                  <m:r>
                    <m:t>t</m:t>
                  </m:r>
                </m:e>
                <m:sub>
                  <m:r>
                    <m:t>i</m:t>
                  </m:r>
                </m:sub>
                <m:sup>
                  <m:r>
                    <m:t>2</m:t>
                  </m:r>
                </m:sup>
              </m:sSubSup>
              <m:r>
                <m:rPr>
                  <m:sty m:val="p"/>
                </m:rPr>
                <m:t>−</m:t>
              </m:r>
              <m:sSub>
                <m:e>
                  <m:r>
                    <m:t>a</m:t>
                  </m:r>
                </m:e>
                <m:sub>
                  <m:r>
                    <m:t>3</m:t>
                  </m:r>
                </m:sub>
              </m:sSub>
              <m:sSubSup>
                <m:e>
                  <m:r>
                    <m:t>t</m:t>
                  </m:r>
                </m:e>
                <m:sub>
                  <m:r>
                    <m:t>i</m:t>
                  </m:r>
                </m:sub>
                <m:sup>
                  <m:r>
                    <m:t>3</m:t>
                  </m:r>
                </m:sup>
              </m:sSubSup>
            </m:e>
          </m:d>
          <m:r>
            <m:rPr>
              <m:sty m:val="p"/>
            </m:rPr>
            <m:t>=</m:t>
          </m:r>
          <m:r>
            <m:t>0</m:t>
          </m:r>
          <m:r>
            <m:rPr>
              <m:sty m:val="p"/>
            </m:rPr>
            <m:t>,</m:t>
          </m:r>
          <m:r>
            <m:t>  </m:t>
          </m:r>
          <m:r>
            <m:t>j</m:t>
          </m:r>
          <m:r>
            <m:rPr>
              <m:sty m:val="p"/>
            </m:rPr>
            <m:t>=</m:t>
          </m:r>
          <m:r>
            <m:t>0</m:t>
          </m:r>
          <m:r>
            <m:rPr>
              <m:sty m:val="p"/>
            </m:rPr>
            <m:t>,</m:t>
          </m:r>
          <m:r>
            <m:t>1</m:t>
          </m:r>
          <m:r>
            <m:rPr>
              <m:sty m:val="p"/>
            </m:rPr>
            <m:t>,</m:t>
          </m:r>
          <m:r>
            <m:t>2</m:t>
          </m:r>
          <m:r>
            <m:rPr>
              <m:sty m:val="p"/>
            </m:rPr>
            <m:t>,</m:t>
          </m:r>
          <m:r>
            <m:t>3</m:t>
          </m:r>
        </m:oMath>
      </m:oMathPara>
    </w:p>
    <w:p>
      <w:pPr>
        <w:pStyle w:val="FirstParagraph"/>
      </w:pPr>
      <w:r>
        <w:rPr>
          <w:lang w:val="es-AR"/>
        </w:rPr>
        <w:t xml:space="preserve">Reagrupando los términos se obtiene el sistema de</w:t>
      </w:r>
      <w:r>
        <w:rPr>
          <w:lang w:val="es-AR"/>
        </w:rPr>
        <w:t xml:space="preserve"> </w:t>
      </w:r>
      <w:r>
        <w:rPr>
          <w:b/>
          <w:bCs/>
          <w:lang w:val="es-AR"/>
        </w:rPr>
        <w:t xml:space="preserve">ecuaciones normales</w:t>
      </w:r>
      <w:r>
        <w:rPr>
          <w:lang w:val="es-AR"/>
        </w:rPr>
        <w:t xml:space="preserve">, que generaliza al de la regresión lineal:</w:t>
      </w:r>
    </w:p>
    <w:p>
      <w:pPr>
        <w:pStyle w:val="BodyText"/>
      </w:pPr>
      <m:oMathPara>
        <m:oMathParaPr>
          <m:jc m:val="center"/>
        </m:oMathParaPr>
        <m:oMath>
          <m:d>
            <m:dPr>
              <m:begChr m:val="["/>
              <m:sepChr m:val=""/>
              <m:endChr m:val="]"/>
              <m:grow/>
            </m:dPr>
            <m:e>
              <m:m>
                <m:mPr>
                  <m:baseJc m:val="center"/>
                  <m:plcHide m:val="on"/>
                  <m:mcs>
                    <m:mc>
                      <m:mcPr>
                        <m:count m:val="1"/>
                        <m:mcJc m:val="center"/>
                      </m:mcPr>
                    </m:mc>
                    <m:mc>
                      <m:mcPr>
                        <m:count m:val="1"/>
                        <m:mcJc m:val="center"/>
                      </m:mcPr>
                    </m:mc>
                    <m:mc>
                      <m:mcPr>
                        <m:count m:val="1"/>
                        <m:mcJc m:val="center"/>
                      </m:mcPr>
                    </m:mc>
                    <m:mc>
                      <m:mcPr>
                        <m:count m:val="1"/>
                        <m:mcJc m:val="center"/>
                      </m:mcPr>
                    </m:mc>
                  </m:mcs>
                </m:mPr>
                <m:mr>
                  <m:e>
                    <m:r>
                      <m:t>n</m:t>
                    </m:r>
                  </m:e>
                  <m:e>
                    <m:r>
                      <m:rPr>
                        <m:sty m:val="p"/>
                      </m:rPr>
                      <m:t>∑</m:t>
                    </m:r>
                    <m:sSub>
                      <m:e>
                        <m:r>
                          <m:t>t</m:t>
                        </m:r>
                      </m:e>
                      <m:sub>
                        <m:r>
                          <m:t>i</m:t>
                        </m:r>
                      </m:sub>
                    </m:sSub>
                  </m:e>
                  <m:e>
                    <m:r>
                      <m:rPr>
                        <m:sty m:val="p"/>
                      </m:rPr>
                      <m:t>∑</m:t>
                    </m:r>
                    <m:sSubSup>
                      <m:e>
                        <m:r>
                          <m:t>t</m:t>
                        </m:r>
                      </m:e>
                      <m:sub>
                        <m:r>
                          <m:t>i</m:t>
                        </m:r>
                      </m:sub>
                      <m:sup>
                        <m:r>
                          <m:t>2</m:t>
                        </m:r>
                      </m:sup>
                    </m:sSubSup>
                  </m:e>
                  <m:e>
                    <m:r>
                      <m:rPr>
                        <m:sty m:val="p"/>
                      </m:rPr>
                      <m:t>∑</m:t>
                    </m:r>
                    <m:sSubSup>
                      <m:e>
                        <m:r>
                          <m:t>t</m:t>
                        </m:r>
                      </m:e>
                      <m:sub>
                        <m:r>
                          <m:t>i</m:t>
                        </m:r>
                      </m:sub>
                      <m:sup>
                        <m:r>
                          <m:t>3</m:t>
                        </m:r>
                      </m:sup>
                    </m:sSubSup>
                  </m:e>
                </m:mr>
                <m:mr>
                  <m:e>
                    <m:r>
                      <m:rPr>
                        <m:sty m:val="p"/>
                      </m:rPr>
                      <m:t>∑</m:t>
                    </m:r>
                    <m:sSub>
                      <m:e>
                        <m:r>
                          <m:t>t</m:t>
                        </m:r>
                      </m:e>
                      <m:sub>
                        <m:r>
                          <m:t>i</m:t>
                        </m:r>
                      </m:sub>
                    </m:sSub>
                  </m:e>
                  <m:e>
                    <m:r>
                      <m:rPr>
                        <m:sty m:val="p"/>
                      </m:rPr>
                      <m:t>∑</m:t>
                    </m:r>
                    <m:sSubSup>
                      <m:e>
                        <m:r>
                          <m:t>t</m:t>
                        </m:r>
                      </m:e>
                      <m:sub>
                        <m:r>
                          <m:t>i</m:t>
                        </m:r>
                      </m:sub>
                      <m:sup>
                        <m:r>
                          <m:t>2</m:t>
                        </m:r>
                      </m:sup>
                    </m:sSubSup>
                  </m:e>
                  <m:e>
                    <m:r>
                      <m:rPr>
                        <m:sty m:val="p"/>
                      </m:rPr>
                      <m:t>∑</m:t>
                    </m:r>
                    <m:sSubSup>
                      <m:e>
                        <m:r>
                          <m:t>t</m:t>
                        </m:r>
                      </m:e>
                      <m:sub>
                        <m:r>
                          <m:t>i</m:t>
                        </m:r>
                      </m:sub>
                      <m:sup>
                        <m:r>
                          <m:t>3</m:t>
                        </m:r>
                      </m:sup>
                    </m:sSubSup>
                  </m:e>
                  <m:e>
                    <m:r>
                      <m:rPr>
                        <m:sty m:val="p"/>
                      </m:rPr>
                      <m:t>∑</m:t>
                    </m:r>
                    <m:sSubSup>
                      <m:e>
                        <m:r>
                          <m:t>t</m:t>
                        </m:r>
                      </m:e>
                      <m:sub>
                        <m:r>
                          <m:t>i</m:t>
                        </m:r>
                      </m:sub>
                      <m:sup>
                        <m:r>
                          <m:t>4</m:t>
                        </m:r>
                      </m:sup>
                    </m:sSubSup>
                  </m:e>
                </m:mr>
                <m:mr>
                  <m:e>
                    <m:r>
                      <m:rPr>
                        <m:sty m:val="p"/>
                      </m:rPr>
                      <m:t>∑</m:t>
                    </m:r>
                    <m:sSubSup>
                      <m:e>
                        <m:r>
                          <m:t>t</m:t>
                        </m:r>
                      </m:e>
                      <m:sub>
                        <m:r>
                          <m:t>i</m:t>
                        </m:r>
                      </m:sub>
                      <m:sup>
                        <m:r>
                          <m:t>2</m:t>
                        </m:r>
                      </m:sup>
                    </m:sSubSup>
                  </m:e>
                  <m:e>
                    <m:r>
                      <m:rPr>
                        <m:sty m:val="p"/>
                      </m:rPr>
                      <m:t>∑</m:t>
                    </m:r>
                    <m:sSubSup>
                      <m:e>
                        <m:r>
                          <m:t>t</m:t>
                        </m:r>
                      </m:e>
                      <m:sub>
                        <m:r>
                          <m:t>i</m:t>
                        </m:r>
                      </m:sub>
                      <m:sup>
                        <m:r>
                          <m:t>3</m:t>
                        </m:r>
                      </m:sup>
                    </m:sSubSup>
                  </m:e>
                  <m:e>
                    <m:r>
                      <m:rPr>
                        <m:sty m:val="p"/>
                      </m:rPr>
                      <m:t>∑</m:t>
                    </m:r>
                    <m:sSubSup>
                      <m:e>
                        <m:r>
                          <m:t>t</m:t>
                        </m:r>
                      </m:e>
                      <m:sub>
                        <m:r>
                          <m:t>i</m:t>
                        </m:r>
                      </m:sub>
                      <m:sup>
                        <m:r>
                          <m:t>4</m:t>
                        </m:r>
                      </m:sup>
                    </m:sSubSup>
                  </m:e>
                  <m:e>
                    <m:r>
                      <m:rPr>
                        <m:sty m:val="p"/>
                      </m:rPr>
                      <m:t>∑</m:t>
                    </m:r>
                    <m:sSubSup>
                      <m:e>
                        <m:r>
                          <m:t>t</m:t>
                        </m:r>
                      </m:e>
                      <m:sub>
                        <m:r>
                          <m:t>i</m:t>
                        </m:r>
                      </m:sub>
                      <m:sup>
                        <m:r>
                          <m:t>5</m:t>
                        </m:r>
                      </m:sup>
                    </m:sSubSup>
                  </m:e>
                </m:mr>
                <m:mr>
                  <m:e>
                    <m:r>
                      <m:rPr>
                        <m:sty m:val="p"/>
                      </m:rPr>
                      <m:t>∑</m:t>
                    </m:r>
                    <m:sSubSup>
                      <m:e>
                        <m:r>
                          <m:t>t</m:t>
                        </m:r>
                      </m:e>
                      <m:sub>
                        <m:r>
                          <m:t>i</m:t>
                        </m:r>
                      </m:sub>
                      <m:sup>
                        <m:r>
                          <m:t>3</m:t>
                        </m:r>
                      </m:sup>
                    </m:sSubSup>
                  </m:e>
                  <m:e>
                    <m:r>
                      <m:rPr>
                        <m:sty m:val="p"/>
                      </m:rPr>
                      <m:t>∑</m:t>
                    </m:r>
                    <m:sSubSup>
                      <m:e>
                        <m:r>
                          <m:t>t</m:t>
                        </m:r>
                      </m:e>
                      <m:sub>
                        <m:r>
                          <m:t>i</m:t>
                        </m:r>
                      </m:sub>
                      <m:sup>
                        <m:r>
                          <m:t>4</m:t>
                        </m:r>
                      </m:sup>
                    </m:sSubSup>
                  </m:e>
                  <m:e>
                    <m:r>
                      <m:rPr>
                        <m:sty m:val="p"/>
                      </m:rPr>
                      <m:t>∑</m:t>
                    </m:r>
                    <m:sSubSup>
                      <m:e>
                        <m:r>
                          <m:t>t</m:t>
                        </m:r>
                      </m:e>
                      <m:sub>
                        <m:r>
                          <m:t>i</m:t>
                        </m:r>
                      </m:sub>
                      <m:sup>
                        <m:r>
                          <m:t>5</m:t>
                        </m:r>
                      </m:sup>
                    </m:sSubSup>
                  </m:e>
                  <m:e>
                    <m:r>
                      <m:rPr>
                        <m:sty m:val="p"/>
                      </m:rPr>
                      <m:t>∑</m:t>
                    </m:r>
                    <m:sSubSup>
                      <m:e>
                        <m:r>
                          <m:t>t</m:t>
                        </m:r>
                      </m:e>
                      <m:sub>
                        <m:r>
                          <m:t>i</m:t>
                        </m:r>
                      </m:sub>
                      <m:sup>
                        <m:r>
                          <m:t>6</m:t>
                        </m:r>
                      </m:sup>
                    </m:sSubSup>
                  </m:e>
                </m:mr>
              </m:m>
            </m:e>
          </m:d>
          <m:d>
            <m:dPr>
              <m:begChr m:val="["/>
              <m:sepChr m:val=""/>
              <m:endChr m:val="]"/>
              <m:grow/>
            </m:dPr>
            <m:e>
              <m:m>
                <m:mPr>
                  <m:baseJc m:val="center"/>
                  <m:plcHide m:val="on"/>
                  <m:mcs>
                    <m:mc>
                      <m:mcPr>
                        <m:count m:val="1"/>
                        <m:mcJc m:val="center"/>
                      </m:mcPr>
                    </m:mc>
                  </m:mcs>
                </m:mPr>
                <m:mr>
                  <m:e>
                    <m:sSub>
                      <m:e>
                        <m:r>
                          <m:t>a</m:t>
                        </m:r>
                      </m:e>
                      <m:sub>
                        <m:r>
                          <m:t>0</m:t>
                        </m:r>
                      </m:sub>
                    </m:sSub>
                  </m:e>
                </m:mr>
                <m:mr>
                  <m:e>
                    <m:sSub>
                      <m:e>
                        <m:r>
                          <m:t>a</m:t>
                        </m:r>
                      </m:e>
                      <m:sub>
                        <m:r>
                          <m:t>1</m:t>
                        </m:r>
                      </m:sub>
                    </m:sSub>
                  </m:e>
                </m:mr>
                <m:mr>
                  <m:e>
                    <m:sSub>
                      <m:e>
                        <m:r>
                          <m:t>a</m:t>
                        </m:r>
                      </m:e>
                      <m:sub>
                        <m:r>
                          <m:t>2</m:t>
                        </m:r>
                      </m:sub>
                    </m:sSub>
                  </m:e>
                </m:mr>
                <m:mr>
                  <m:e>
                    <m:sSub>
                      <m:e>
                        <m:r>
                          <m:t>a</m:t>
                        </m:r>
                      </m:e>
                      <m:sub>
                        <m:r>
                          <m:t>3</m:t>
                        </m:r>
                      </m:sub>
                    </m:sSub>
                  </m:e>
                </m:mr>
              </m:m>
            </m:e>
          </m:d>
          <m:r>
            <m:rPr>
              <m:sty m:val="p"/>
            </m:rPr>
            <m:t>=</m:t>
          </m:r>
          <m:d>
            <m:dPr>
              <m:begChr m:val="["/>
              <m:sepChr m:val=""/>
              <m:endChr m:val="]"/>
              <m:grow/>
            </m:dPr>
            <m:e>
              <m:m>
                <m:mPr>
                  <m:baseJc m:val="center"/>
                  <m:plcHide m:val="on"/>
                  <m:mcs>
                    <m:mc>
                      <m:mcPr>
                        <m:count m:val="1"/>
                        <m:mcJc m:val="center"/>
                      </m:mcPr>
                    </m:mc>
                  </m:mcs>
                </m:mPr>
                <m:mr>
                  <m:e>
                    <m:r>
                      <m:rPr>
                        <m:sty m:val="p"/>
                      </m:rPr>
                      <m:t>∑</m:t>
                    </m:r>
                    <m:sSub>
                      <m:e>
                        <m:r>
                          <m:t>S</m:t>
                        </m:r>
                      </m:e>
                      <m:sub>
                        <m:r>
                          <m:t>i</m:t>
                        </m:r>
                      </m:sub>
                    </m:sSub>
                  </m:e>
                </m:mr>
                <m:mr>
                  <m:e>
                    <m:r>
                      <m:rPr>
                        <m:sty m:val="p"/>
                      </m:rPr>
                      <m:t>∑</m:t>
                    </m:r>
                    <m:sSub>
                      <m:e>
                        <m:r>
                          <m:t>t</m:t>
                        </m:r>
                      </m:e>
                      <m:sub>
                        <m:r>
                          <m:t>i</m:t>
                        </m:r>
                      </m:sub>
                    </m:sSub>
                    <m:sSub>
                      <m:e>
                        <m:r>
                          <m:t>S</m:t>
                        </m:r>
                      </m:e>
                      <m:sub>
                        <m:r>
                          <m:t>i</m:t>
                        </m:r>
                      </m:sub>
                    </m:sSub>
                  </m:e>
                </m:mr>
                <m:mr>
                  <m:e>
                    <m:r>
                      <m:rPr>
                        <m:sty m:val="p"/>
                      </m:rPr>
                      <m:t>∑</m:t>
                    </m:r>
                    <m:sSubSup>
                      <m:e>
                        <m:r>
                          <m:t>t</m:t>
                        </m:r>
                      </m:e>
                      <m:sub>
                        <m:r>
                          <m:t>i</m:t>
                        </m:r>
                      </m:sub>
                      <m:sup>
                        <m:r>
                          <m:t>2</m:t>
                        </m:r>
                      </m:sup>
                    </m:sSubSup>
                    <m:sSub>
                      <m:e>
                        <m:r>
                          <m:t>S</m:t>
                        </m:r>
                      </m:e>
                      <m:sub>
                        <m:r>
                          <m:t>i</m:t>
                        </m:r>
                      </m:sub>
                    </m:sSub>
                  </m:e>
                </m:mr>
                <m:mr>
                  <m:e>
                    <m:r>
                      <m:rPr>
                        <m:sty m:val="p"/>
                      </m:rPr>
                      <m:t>∑</m:t>
                    </m:r>
                    <m:sSubSup>
                      <m:e>
                        <m:r>
                          <m:t>t</m:t>
                        </m:r>
                      </m:e>
                      <m:sub>
                        <m:r>
                          <m:t>i</m:t>
                        </m:r>
                      </m:sub>
                      <m:sup>
                        <m:r>
                          <m:t>3</m:t>
                        </m:r>
                      </m:sup>
                    </m:sSubSup>
                    <m:sSub>
                      <m:e>
                        <m:r>
                          <m:t>S</m:t>
                        </m:r>
                      </m:e>
                      <m:sub>
                        <m:r>
                          <m:t>i</m:t>
                        </m:r>
                      </m:sub>
                    </m:sSub>
                  </m:e>
                </m:mr>
              </m:m>
            </m:e>
          </m:d>
        </m:oMath>
      </m:oMathPara>
    </w:p>
    <w:p>
      <w:pPr>
        <w:pStyle w:val="FirstParagraph"/>
      </w:pPr>
      <w:r>
        <w:rPr>
          <w:lang w:val="es-AR"/>
        </w:rPr>
        <w:t xml:space="preserve">Reemplazando las sumatorias calculadas con los datos de la Tabla 1 (</w:t>
      </w:r>
      <m:oMath>
        <m:r>
          <m:t>n</m:t>
        </m:r>
        <m:r>
          <m:rPr>
            <m:sty m:val="p"/>
          </m:rPr>
          <m:t>=</m:t>
        </m:r>
        <m:r>
          <m:t>47</m:t>
        </m:r>
      </m:oMath>
      <w:r>
        <w:rPr>
          <w:lang w:val="es-AR"/>
        </w:rPr>
        <w:t xml:space="preserve">):</w:t>
      </w:r>
    </w:p>
    <w:p>
      <w:pPr>
        <w:pStyle w:val="BodyText"/>
      </w:pPr>
      <m:oMathPara>
        <m:oMathParaPr>
          <m:jc m:val="center"/>
        </m:oMathParaPr>
        <m:oMath>
          <m:d>
            <m:dPr>
              <m:begChr m:val="["/>
              <m:sepChr m:val=""/>
              <m:endChr m:val="]"/>
              <m:grow/>
            </m:dPr>
            <m:e>
              <m:m>
                <m:mPr>
                  <m:baseJc m:val="center"/>
                  <m:plcHide m:val="on"/>
                  <m:mcs>
                    <m:mc>
                      <m:mcPr>
                        <m:count m:val="1"/>
                        <m:mcJc m:val="center"/>
                      </m:mcPr>
                    </m:mc>
                    <m:mc>
                      <m:mcPr>
                        <m:count m:val="1"/>
                        <m:mcJc m:val="center"/>
                      </m:mcPr>
                    </m:mc>
                    <m:mc>
                      <m:mcPr>
                        <m:count m:val="1"/>
                        <m:mcJc m:val="center"/>
                      </m:mcPr>
                    </m:mc>
                    <m:mc>
                      <m:mcPr>
                        <m:count m:val="1"/>
                        <m:mcJc m:val="center"/>
                      </m:mcPr>
                    </m:mc>
                  </m:mcs>
                </m:mPr>
                <m:mr>
                  <m:e>
                    <m:r>
                      <m:t>47</m:t>
                    </m:r>
                  </m:e>
                  <m:e>
                    <m:r>
                      <m:t>1081</m:t>
                    </m:r>
                  </m:e>
                  <m:e>
                    <m:r>
                      <m:t>33511</m:t>
                    </m:r>
                  </m:e>
                  <m:e>
                    <m:r>
                      <m:t>1168561</m:t>
                    </m:r>
                  </m:e>
                </m:mr>
                <m:mr>
                  <m:e>
                    <m:r>
                      <m:t>1081</m:t>
                    </m:r>
                  </m:e>
                  <m:e>
                    <m:r>
                      <m:t>33511</m:t>
                    </m:r>
                  </m:e>
                  <m:e>
                    <m:r>
                      <m:t>1168561</m:t>
                    </m:r>
                  </m:e>
                  <m:e>
                    <m:r>
                      <m:t>43463767</m:t>
                    </m:r>
                  </m:e>
                </m:mr>
                <m:mr>
                  <m:e>
                    <m:r>
                      <m:t>33511</m:t>
                    </m:r>
                  </m:e>
                  <m:e>
                    <m:r>
                      <m:t>1168561</m:t>
                    </m:r>
                  </m:e>
                  <m:e>
                    <m:r>
                      <m:t>43463767</m:t>
                    </m:r>
                  </m:e>
                  <m:e>
                    <m:r>
                      <m:t>1683896401</m:t>
                    </m:r>
                  </m:e>
                </m:mr>
                <m:mr>
                  <m:e>
                    <m:r>
                      <m:t>1168561</m:t>
                    </m:r>
                  </m:e>
                  <m:e>
                    <m:r>
                      <m:t>43463767</m:t>
                    </m:r>
                  </m:e>
                  <m:e>
                    <m:r>
                      <m:t>1683896401</m:t>
                    </m:r>
                  </m:e>
                  <m:e>
                    <m:r>
                      <m:t>67099779031</m:t>
                    </m:r>
                  </m:e>
                </m:mr>
              </m:m>
            </m:e>
          </m:d>
          <m:d>
            <m:dPr>
              <m:begChr m:val="["/>
              <m:sepChr m:val=""/>
              <m:endChr m:val="]"/>
              <m:grow/>
            </m:dPr>
            <m:e>
              <m:m>
                <m:mPr>
                  <m:baseJc m:val="center"/>
                  <m:plcHide m:val="on"/>
                  <m:mcs>
                    <m:mc>
                      <m:mcPr>
                        <m:count m:val="1"/>
                        <m:mcJc m:val="center"/>
                      </m:mcPr>
                    </m:mc>
                  </m:mcs>
                </m:mPr>
                <m:mr>
                  <m:e>
                    <m:sSub>
                      <m:e>
                        <m:r>
                          <m:t>a</m:t>
                        </m:r>
                      </m:e>
                      <m:sub>
                        <m:r>
                          <m:t>0</m:t>
                        </m:r>
                      </m:sub>
                    </m:sSub>
                  </m:e>
                </m:mr>
                <m:mr>
                  <m:e>
                    <m:sSub>
                      <m:e>
                        <m:r>
                          <m:t>a</m:t>
                        </m:r>
                      </m:e>
                      <m:sub>
                        <m:r>
                          <m:t>1</m:t>
                        </m:r>
                      </m:sub>
                    </m:sSub>
                  </m:e>
                </m:mr>
                <m:mr>
                  <m:e>
                    <m:sSub>
                      <m:e>
                        <m:r>
                          <m:t>a</m:t>
                        </m:r>
                      </m:e>
                      <m:sub>
                        <m:r>
                          <m:t>2</m:t>
                        </m:r>
                      </m:sub>
                    </m:sSub>
                  </m:e>
                </m:mr>
                <m:mr>
                  <m:e>
                    <m:sSub>
                      <m:e>
                        <m:r>
                          <m:t>a</m:t>
                        </m:r>
                      </m:e>
                      <m:sub>
                        <m:r>
                          <m:t>3</m:t>
                        </m:r>
                      </m:sub>
                    </m:sSub>
                  </m:e>
                </m:mr>
              </m:m>
            </m:e>
          </m:d>
          <m:r>
            <m:rPr>
              <m:sty m:val="p"/>
            </m:rPr>
            <m:t>=</m:t>
          </m:r>
          <m:d>
            <m:dPr>
              <m:begChr m:val="["/>
              <m:sepChr m:val=""/>
              <m:endChr m:val="]"/>
              <m:grow/>
            </m:dPr>
            <m:e>
              <m:m>
                <m:mPr>
                  <m:baseJc m:val="center"/>
                  <m:plcHide m:val="on"/>
                  <m:mcs>
                    <m:mc>
                      <m:mcPr>
                        <m:count m:val="1"/>
                        <m:mcJc m:val="center"/>
                      </m:mcPr>
                    </m:mc>
                  </m:mcs>
                </m:mPr>
                <m:mr>
                  <m:e>
                    <m:r>
                      <m:t>2865</m:t>
                    </m:r>
                    <m:r>
                      <m:rPr>
                        <m:sty m:val="p"/>
                      </m:rPr>
                      <m:t>,</m:t>
                    </m:r>
                    <m:r>
                      <m:t>408</m:t>
                    </m:r>
                  </m:e>
                </m:mr>
                <m:mr>
                  <m:e>
                    <m:r>
                      <m:t>91961</m:t>
                    </m:r>
                    <m:r>
                      <m:rPr>
                        <m:sty m:val="p"/>
                      </m:rPr>
                      <m:t>,</m:t>
                    </m:r>
                    <m:r>
                      <m:t>256</m:t>
                    </m:r>
                  </m:e>
                </m:mr>
                <m:mr>
                  <m:e>
                    <m:r>
                      <m:t>3265922</m:t>
                    </m:r>
                    <m:r>
                      <m:rPr>
                        <m:sty m:val="p"/>
                      </m:rPr>
                      <m:t>,</m:t>
                    </m:r>
                    <m:r>
                      <m:t>235</m:t>
                    </m:r>
                  </m:e>
                </m:mr>
                <m:mr>
                  <m:e>
                    <m:r>
                      <m:t>122743532</m:t>
                    </m:r>
                    <m:r>
                      <m:rPr>
                        <m:sty m:val="p"/>
                      </m:rPr>
                      <m:t>,</m:t>
                    </m:r>
                    <m:r>
                      <m:t>034</m:t>
                    </m:r>
                  </m:e>
                </m:mr>
              </m:m>
            </m:e>
          </m:d>
        </m:oMath>
      </m:oMathPara>
    </w:p>
    <w:bookmarkEnd w:id="20"/>
    <w:bookmarkStart w:id="21" w:name="Xc26550f77d63486f7783ac467238ea15876c826"/>
    <w:p>
      <w:pPr>
        <w:pStyle w:val="Heading3"/>
      </w:pPr>
      <w:r>
        <w:rPr>
          <w:lang w:val="es-AR"/>
        </w:rPr>
        <w:t xml:space="preserve">3.1.3. Resolución del sistema por eliminación gaussiana</w:t>
      </w:r>
    </w:p>
    <w:p>
      <w:pPr>
        <w:pStyle w:val="FirstParagraph"/>
      </w:pPr>
      <w:r>
        <w:rPr>
          <w:lang w:val="es-AR"/>
        </w:rPr>
        <w:t xml:space="preserve">El sistema se resuelve con el método de eliminación gaussiana del cap. 4.2. En el primer paso se anulan los elementos por debajo de</w:t>
      </w:r>
      <w:r>
        <w:rPr>
          <w:lang w:val="es-AR"/>
        </w:rPr>
        <w:t xml:space="preserve"> </w:t>
      </w:r>
      <m:oMath>
        <m:sSub>
          <m:e>
            <m:r>
              <m:t>a</m:t>
            </m:r>
          </m:e>
          <m:sub>
            <m:r>
              <m:t>11</m:t>
            </m:r>
          </m:sub>
        </m:sSub>
      </m:oMath>
      <w:r>
        <w:rPr>
          <w:lang w:val="es-AR"/>
        </w:rPr>
        <w:t xml:space="preserve"> </w:t>
      </w:r>
      <w:r>
        <w:rPr>
          <w:lang w:val="es-AR"/>
        </w:rPr>
        <w:t xml:space="preserve">con los operadores</w:t>
      </w:r>
    </w:p>
    <w:p>
      <w:pPr>
        <w:pStyle w:val="BodyText"/>
      </w:pPr>
      <m:oMathPara>
        <m:oMathParaPr>
          <m:jc m:val="center"/>
        </m:oMathParaPr>
        <m:oMath>
          <m:sSub>
            <m:e>
              <m:r>
                <m:t>m</m:t>
              </m:r>
            </m:e>
            <m:sub>
              <m:r>
                <m:t>21</m:t>
              </m:r>
            </m:sub>
          </m:sSub>
          <m:r>
            <m:rPr>
              <m:sty m:val="p"/>
            </m:rPr>
            <m:t>=</m:t>
          </m:r>
          <m:f>
            <m:fPr>
              <m:type m:val="bar"/>
            </m:fPr>
            <m:num>
              <m:sSub>
                <m:e>
                  <m:r>
                    <m:t>a</m:t>
                  </m:r>
                </m:e>
                <m:sub>
                  <m:r>
                    <m:t>21</m:t>
                  </m:r>
                </m:sub>
              </m:sSub>
            </m:num>
            <m:den>
              <m:sSub>
                <m:e>
                  <m:r>
                    <m:t>a</m:t>
                  </m:r>
                </m:e>
                <m:sub>
                  <m:r>
                    <m:t>11</m:t>
                  </m:r>
                </m:sub>
              </m:sSub>
            </m:den>
          </m:f>
          <m:r>
            <m:rPr>
              <m:sty m:val="p"/>
            </m:rPr>
            <m:t>=</m:t>
          </m:r>
          <m:r>
            <m:t>23</m:t>
          </m:r>
          <m:r>
            <m:rPr>
              <m:sty m:val="p"/>
            </m:rPr>
            <m:t>,</m:t>
          </m:r>
          <m:r>
            <m:t>  </m:t>
          </m:r>
          <m:sSub>
            <m:e>
              <m:r>
                <m:t>m</m:t>
              </m:r>
            </m:e>
            <m:sub>
              <m:r>
                <m:t>31</m:t>
              </m:r>
            </m:sub>
          </m:sSub>
          <m:r>
            <m:rPr>
              <m:sty m:val="p"/>
            </m:rPr>
            <m:t>=</m:t>
          </m:r>
          <m:f>
            <m:fPr>
              <m:type m:val="bar"/>
            </m:fPr>
            <m:num>
              <m:sSub>
                <m:e>
                  <m:r>
                    <m:t>a</m:t>
                  </m:r>
                </m:e>
                <m:sub>
                  <m:r>
                    <m:t>31</m:t>
                  </m:r>
                </m:sub>
              </m:sSub>
            </m:num>
            <m:den>
              <m:sSub>
                <m:e>
                  <m:r>
                    <m:t>a</m:t>
                  </m:r>
                </m:e>
                <m:sub>
                  <m:r>
                    <m:t>11</m:t>
                  </m:r>
                </m:sub>
              </m:sSub>
            </m:den>
          </m:f>
          <m:r>
            <m:rPr>
              <m:sty m:val="p"/>
            </m:rPr>
            <m:t>=</m:t>
          </m:r>
          <m:r>
            <m:t>713</m:t>
          </m:r>
          <m:r>
            <m:rPr>
              <m:sty m:val="p"/>
            </m:rPr>
            <m:t>,</m:t>
          </m:r>
          <m:r>
            <m:t>  </m:t>
          </m:r>
          <m:sSub>
            <m:e>
              <m:r>
                <m:t>m</m:t>
              </m:r>
            </m:e>
            <m:sub>
              <m:r>
                <m:t>41</m:t>
              </m:r>
            </m:sub>
          </m:sSub>
          <m:r>
            <m:rPr>
              <m:sty m:val="p"/>
            </m:rPr>
            <m:t>=</m:t>
          </m:r>
          <m:f>
            <m:fPr>
              <m:type m:val="bar"/>
            </m:fPr>
            <m:num>
              <m:sSub>
                <m:e>
                  <m:r>
                    <m:t>a</m:t>
                  </m:r>
                </m:e>
                <m:sub>
                  <m:r>
                    <m:t>41</m:t>
                  </m:r>
                </m:sub>
              </m:sSub>
            </m:num>
            <m:den>
              <m:sSub>
                <m:e>
                  <m:r>
                    <m:t>a</m:t>
                  </m:r>
                </m:e>
                <m:sub>
                  <m:r>
                    <m:t>11</m:t>
                  </m:r>
                </m:sub>
              </m:sSub>
            </m:den>
          </m:f>
          <m:r>
            <m:rPr>
              <m:sty m:val="p"/>
            </m:rPr>
            <m:t>=</m:t>
          </m:r>
          <m:r>
            <m:t>24863</m:t>
          </m:r>
        </m:oMath>
      </m:oMathPara>
    </w:p>
    <w:p>
      <w:pPr>
        <w:pStyle w:val="FirstParagraph"/>
      </w:pPr>
      <m:oMathPara>
        <m:oMathParaPr>
          <m:jc m:val="center"/>
        </m:oMathParaPr>
        <m:oMath>
          <m:sSubSup>
            <m:e>
              <m:r>
                <m:t>E</m:t>
              </m:r>
            </m:e>
            <m:sub>
              <m:r>
                <m:t>k</m:t>
              </m:r>
            </m:sub>
            <m:sup>
              <m:r>
                <m:rPr>
                  <m:sty m:val="p"/>
                </m:rPr>
                <m:t>(</m:t>
              </m:r>
              <m:r>
                <m:t>1</m:t>
              </m:r>
              <m:r>
                <m:rPr>
                  <m:sty m:val="p"/>
                </m:rPr>
                <m:t>)</m:t>
              </m:r>
            </m:sup>
          </m:sSubSup>
          <m:r>
            <m:rPr>
              <m:sty m:val="p"/>
            </m:rPr>
            <m:t>=</m:t>
          </m:r>
          <m:sSubSup>
            <m:e>
              <m:r>
                <m:t>E</m:t>
              </m:r>
            </m:e>
            <m:sub>
              <m:r>
                <m:t>k</m:t>
              </m:r>
            </m:sub>
            <m:sup>
              <m:r>
                <m:rPr>
                  <m:sty m:val="p"/>
                </m:rPr>
                <m:t>(</m:t>
              </m:r>
              <m:r>
                <m:t>0</m:t>
              </m:r>
              <m:r>
                <m:rPr>
                  <m:sty m:val="p"/>
                </m:rPr>
                <m:t>)</m:t>
              </m:r>
            </m:sup>
          </m:sSubSup>
          <m:r>
            <m:rPr>
              <m:sty m:val="p"/>
            </m:rPr>
            <m:t>−</m:t>
          </m:r>
          <m:sSub>
            <m:e>
              <m:r>
                <m:t>m</m:t>
              </m:r>
            </m:e>
            <m:sub>
              <m:r>
                <m:t>k</m:t>
              </m:r>
              <m:r>
                <m:t>1</m:t>
              </m:r>
            </m:sub>
          </m:sSub>
          <m:r>
            <m:t> </m:t>
          </m:r>
          <m:sSubSup>
            <m:e>
              <m:r>
                <m:t>E</m:t>
              </m:r>
            </m:e>
            <m:sub>
              <m:r>
                <m:t>1</m:t>
              </m:r>
            </m:sub>
            <m:sup>
              <m:r>
                <m:rPr>
                  <m:sty m:val="p"/>
                </m:rPr>
                <m:t>(</m:t>
              </m:r>
              <m:r>
                <m:t>0</m:t>
              </m:r>
              <m:r>
                <m:rPr>
                  <m:sty m:val="p"/>
                </m:rPr>
                <m:t>)</m:t>
              </m:r>
            </m:sup>
          </m:sSubSup>
          <m:r>
            <m:rPr>
              <m:sty m:val="p"/>
            </m:rPr>
            <m:t>,</m:t>
          </m:r>
          <m:r>
            <m:t>  </m:t>
          </m:r>
          <m:r>
            <m:t>k</m:t>
          </m:r>
          <m:r>
            <m:rPr>
              <m:sty m:val="p"/>
            </m:rPr>
            <m:t>=</m:t>
          </m:r>
          <m:r>
            <m:t>2</m:t>
          </m:r>
          <m:r>
            <m:rPr>
              <m:sty m:val="p"/>
            </m:rPr>
            <m:t>,</m:t>
          </m:r>
          <m:r>
            <m:t>3</m:t>
          </m:r>
          <m:r>
            <m:rPr>
              <m:sty m:val="p"/>
            </m:rPr>
            <m:t>,</m:t>
          </m:r>
          <m:r>
            <m:t>4</m:t>
          </m:r>
        </m:oMath>
      </m:oMathPara>
    </w:p>
    <w:p>
      <w:pPr>
        <w:pStyle w:val="FirstParagraph"/>
      </w:pPr>
      <w:r>
        <w:rPr>
          <w:lang w:val="es-AR"/>
        </w:rPr>
        <w:t xml:space="preserve">Repitiendo el procedimiento sobre las columnas 2 y 3 (</w:t>
      </w:r>
      <m:oMath>
        <m:r>
          <m:t>n</m:t>
        </m:r>
        <m:r>
          <m:rPr>
            <m:sty m:val="p"/>
          </m:rPr>
          <m:t>−</m:t>
        </m:r>
        <m:r>
          <m:t>1</m:t>
        </m:r>
        <m:r>
          <m:rPr>
            <m:sty m:val="p"/>
          </m:rPr>
          <m:t>=</m:t>
        </m:r>
        <m:r>
          <m:t>3</m:t>
        </m:r>
      </m:oMath>
      <w:r>
        <w:rPr>
          <w:lang w:val="es-AR"/>
        </w:rPr>
        <w:t xml:space="preserve"> </w:t>
      </w:r>
      <w:r>
        <w:rPr>
          <w:lang w:val="es-AR"/>
        </w:rPr>
        <w:t xml:space="preserve">pasos en total) se obtiene la matriz extendida triangular superior:</w:t>
      </w:r>
    </w:p>
    <w:p>
      <w:pPr>
        <w:pStyle w:val="BodyText"/>
      </w:pPr>
      <m:oMathPara>
        <m:oMathParaPr>
          <m:jc m:val="center"/>
        </m:oMathParaPr>
        <m:oMath>
          <m:d>
            <m:dPr>
              <m:begChr m:val="["/>
              <m:sepChr m:val=""/>
              <m:endChr m:val="]"/>
              <m:grow/>
            </m:dPr>
            <m:e>
              <m:m>
                <m:mPr>
                  <m:baseJc m:val="center"/>
                  <m:plcHide m:val="on"/>
                  <m:mcs>
                    <m:mc>
                      <m:mcPr>
                        <m:count m:val="1"/>
                        <m:mcJc m:val="center"/>
                      </m:mcPr>
                    </m:mc>
                    <m:mc>
                      <m:mcPr>
                        <m:count m:val="1"/>
                        <m:mcJc m:val="center"/>
                      </m:mcPr>
                    </m:mc>
                    <m:mc>
                      <m:mcPr>
                        <m:count m:val="1"/>
                        <m:mcJc m:val="center"/>
                      </m:mcPr>
                    </m:mc>
                    <m:mc>
                      <m:mcPr>
                        <m:count m:val="1"/>
                        <m:mcJc m:val="center"/>
                      </m:mcPr>
                    </m:mc>
                    <m:mc>
                      <m:mcPr>
                        <m:count m:val="1"/>
                        <m:mcJc m:val="center"/>
                      </m:mcPr>
                    </m:mc>
                  </m:mcs>
                </m:mPr>
                <m:mr>
                  <m:e>
                    <m:r>
                      <m:t>47</m:t>
                    </m:r>
                  </m:e>
                  <m:e>
                    <m:r>
                      <m:t>1081</m:t>
                    </m:r>
                  </m:e>
                  <m:e>
                    <m:r>
                      <m:t>33511</m:t>
                    </m:r>
                  </m:e>
                  <m:e>
                    <m:r>
                      <m:t>1</m:t>
                    </m:r>
                    <m:r>
                      <m:rPr>
                        <m:sty m:val="p"/>
                      </m:rPr>
                      <m:t>,</m:t>
                    </m:r>
                    <m:r>
                      <m:t>1686</m:t>
                    </m:r>
                    <m:r>
                      <m:rPr>
                        <m:sty m:val="p"/>
                      </m:rPr>
                      <m:t>⋅</m:t>
                    </m:r>
                    <m:sSup>
                      <m:e>
                        <m:r>
                          <m:t>10</m:t>
                        </m:r>
                      </m:e>
                      <m:sup>
                        <m:r>
                          <m:t>6</m:t>
                        </m:r>
                      </m:sup>
                    </m:sSup>
                  </m:e>
                  <m:e>
                    <m:r>
                      <m:t>2865</m:t>
                    </m:r>
                    <m:r>
                      <m:rPr>
                        <m:sty m:val="p"/>
                      </m:rPr>
                      <m:t>,</m:t>
                    </m:r>
                    <m:r>
                      <m:t>4</m:t>
                    </m:r>
                  </m:e>
                </m:mr>
                <m:mr>
                  <m:e>
                    <m:r>
                      <m:t>0</m:t>
                    </m:r>
                  </m:e>
                  <m:e>
                    <m:r>
                      <m:t>8648</m:t>
                    </m:r>
                  </m:e>
                  <m:e>
                    <m:r>
                      <m:t>397808</m:t>
                    </m:r>
                  </m:e>
                  <m:e>
                    <m:r>
                      <m:t>1</m:t>
                    </m:r>
                    <m:r>
                      <m:rPr>
                        <m:sty m:val="p"/>
                      </m:rPr>
                      <m:t>,</m:t>
                    </m:r>
                    <m:r>
                      <m:t>6587</m:t>
                    </m:r>
                    <m:r>
                      <m:rPr>
                        <m:sty m:val="p"/>
                      </m:rPr>
                      <m:t>⋅</m:t>
                    </m:r>
                    <m:sSup>
                      <m:e>
                        <m:r>
                          <m:t>10</m:t>
                        </m:r>
                      </m:e>
                      <m:sup>
                        <m:r>
                          <m:t>7</m:t>
                        </m:r>
                      </m:sup>
                    </m:sSup>
                  </m:e>
                  <m:e>
                    <m:r>
                      <m:t>26056</m:t>
                    </m:r>
                    <m:r>
                      <m:rPr>
                        <m:sty m:val="p"/>
                      </m:rPr>
                      <m:t>,</m:t>
                    </m:r>
                    <m:r>
                      <m:t>9</m:t>
                    </m:r>
                  </m:e>
                </m:mr>
                <m:mr>
                  <m:e>
                    <m:r>
                      <m:t>0</m:t>
                    </m:r>
                  </m:e>
                  <m:e>
                    <m:r>
                      <m:t>0</m:t>
                    </m:r>
                  </m:e>
                  <m:e>
                    <m:r>
                      <m:t>1</m:t>
                    </m:r>
                    <m:r>
                      <m:rPr>
                        <m:sty m:val="p"/>
                      </m:rPr>
                      <m:t>,</m:t>
                    </m:r>
                    <m:r>
                      <m:t>2713</m:t>
                    </m:r>
                    <m:r>
                      <m:rPr>
                        <m:sty m:val="p"/>
                      </m:rPr>
                      <m:t>⋅</m:t>
                    </m:r>
                    <m:sSup>
                      <m:e>
                        <m:r>
                          <m:t>10</m:t>
                        </m:r>
                      </m:e>
                      <m:sup>
                        <m:r>
                          <m:t>6</m:t>
                        </m:r>
                      </m:sup>
                    </m:sSup>
                  </m:e>
                  <m:e>
                    <m:r>
                      <m:t>8</m:t>
                    </m:r>
                    <m:r>
                      <m:rPr>
                        <m:sty m:val="p"/>
                      </m:rPr>
                      <m:t>,</m:t>
                    </m:r>
                    <m:r>
                      <m:t>7717</m:t>
                    </m:r>
                    <m:r>
                      <m:rPr>
                        <m:sty m:val="p"/>
                      </m:rPr>
                      <m:t>⋅</m:t>
                    </m:r>
                    <m:sSup>
                      <m:e>
                        <m:r>
                          <m:t>10</m:t>
                        </m:r>
                      </m:e>
                      <m:sup>
                        <m:r>
                          <m:t>7</m:t>
                        </m:r>
                      </m:sup>
                    </m:sSup>
                  </m:e>
                  <m:e>
                    <m:r>
                      <m:t>24270</m:t>
                    </m:r>
                    <m:r>
                      <m:rPr>
                        <m:sty m:val="p"/>
                      </m:rPr>
                      <m:t>,</m:t>
                    </m:r>
                    <m:r>
                      <m:t>1</m:t>
                    </m:r>
                  </m:e>
                </m:mr>
                <m:mr>
                  <m:e>
                    <m:r>
                      <m:t>0</m:t>
                    </m:r>
                  </m:e>
                  <m:e>
                    <m:r>
                      <m:t>0</m:t>
                    </m:r>
                  </m:e>
                  <m:e>
                    <m:r>
                      <m:t>0</m:t>
                    </m:r>
                  </m:e>
                  <m:e>
                    <m:r>
                      <m:t>1</m:t>
                    </m:r>
                    <m:r>
                      <m:rPr>
                        <m:sty m:val="p"/>
                      </m:rPr>
                      <m:t>,</m:t>
                    </m:r>
                    <m:r>
                      <m:t>7979</m:t>
                    </m:r>
                    <m:r>
                      <m:rPr>
                        <m:sty m:val="p"/>
                      </m:rPr>
                      <m:t>⋅</m:t>
                    </m:r>
                    <m:sSup>
                      <m:e>
                        <m:r>
                          <m:t>10</m:t>
                        </m:r>
                      </m:e>
                      <m:sup>
                        <m:r>
                          <m:t>8</m:t>
                        </m:r>
                      </m:sup>
                    </m:sSup>
                  </m:e>
                  <m:e>
                    <m:r>
                      <m:rPr>
                        <m:sty m:val="p"/>
                      </m:rPr>
                      <m:t>−</m:t>
                    </m:r>
                    <m:r>
                      <m:t>150831</m:t>
                    </m:r>
                    <m:r>
                      <m:rPr>
                        <m:sty m:val="p"/>
                      </m:rPr>
                      <m:t>,</m:t>
                    </m:r>
                    <m:r>
                      <m:t>3</m:t>
                    </m:r>
                  </m:e>
                </m:mr>
              </m:m>
            </m:e>
          </m:d>
        </m:oMath>
      </m:oMathPara>
    </w:p>
    <w:p>
      <w:pPr>
        <w:pStyle w:val="FirstParagraph"/>
      </w:pPr>
      <w:r>
        <w:rPr>
          <w:lang w:val="es-AR"/>
        </w:rPr>
        <w:t xml:space="preserve">Por sustitución hacia atrás, comenzando por</w:t>
      </w:r>
    </w:p>
    <w:p>
      <w:pPr>
        <w:pStyle w:val="BodyText"/>
      </w:pPr>
      <m:oMathPara>
        <m:oMathParaPr>
          <m:jc m:val="center"/>
        </m:oMathParaPr>
        <m:oMath>
          <m:sSub>
            <m:e>
              <m:r>
                <m:t>a</m:t>
              </m:r>
            </m:e>
            <m:sub>
              <m:r>
                <m:t>3</m:t>
              </m:r>
            </m:sub>
          </m:sSub>
          <m:r>
            <m:rPr>
              <m:sty m:val="p"/>
            </m:rPr>
            <m:t>=</m:t>
          </m:r>
          <m:f>
            <m:fPr>
              <m:type m:val="bar"/>
            </m:fPr>
            <m:num>
              <m:r>
                <m:rPr>
                  <m:sty m:val="p"/>
                </m:rPr>
                <m:t>−</m:t>
              </m:r>
              <m:r>
                <m:t>150831</m:t>
              </m:r>
              <m:r>
                <m:rPr>
                  <m:sty m:val="p"/>
                </m:rPr>
                <m:t>,</m:t>
              </m:r>
              <m:r>
                <m:t>3</m:t>
              </m:r>
            </m:num>
            <m:den>
              <m:r>
                <m:t>1</m:t>
              </m:r>
              <m:r>
                <m:rPr>
                  <m:sty m:val="p"/>
                </m:rPr>
                <m:t>,</m:t>
              </m:r>
              <m:r>
                <m:t>7979</m:t>
              </m:r>
              <m:r>
                <m:rPr>
                  <m:sty m:val="p"/>
                </m:rPr>
                <m:t>⋅</m:t>
              </m:r>
              <m:sSup>
                <m:e>
                  <m:r>
                    <m:t>10</m:t>
                  </m:r>
                </m:e>
                <m:sup>
                  <m:r>
                    <m:t>8</m:t>
                  </m:r>
                </m:sup>
              </m:sSup>
            </m:den>
          </m:f>
          <m:r>
            <m:rPr>
              <m:sty m:val="p"/>
            </m:rPr>
            <m:t>=</m:t>
          </m:r>
          <m:r>
            <m:rPr>
              <m:sty m:val="p"/>
            </m:rPr>
            <m:t>−</m:t>
          </m:r>
          <m:r>
            <m:t>0</m:t>
          </m:r>
          <m:r>
            <m:rPr>
              <m:sty m:val="p"/>
            </m:rPr>
            <m:t>,</m:t>
          </m:r>
          <m:r>
            <m:t>000839</m:t>
          </m:r>
        </m:oMath>
      </m:oMathPara>
    </w:p>
    <w:p>
      <w:pPr>
        <w:pStyle w:val="FirstParagraph"/>
      </w:pPr>
      <w:r>
        <w:rPr>
          <w:lang w:val="es-AR"/>
        </w:rPr>
        <w:t xml:space="preserve">se obtienen</w:t>
      </w:r>
      <w:r>
        <w:rPr>
          <w:lang w:val="es-AR"/>
        </w:rPr>
        <w:t xml:space="preserve"> </w:t>
      </w:r>
      <m:oMath>
        <m:sSub>
          <m:e>
            <m:r>
              <m:t>a</m:t>
            </m:r>
          </m:e>
          <m:sub>
            <m:r>
              <m:t>2</m:t>
            </m:r>
          </m:sub>
        </m:sSub>
        <m:r>
          <m:rPr>
            <m:sty m:val="p"/>
          </m:rPr>
          <m:t>=</m:t>
        </m:r>
        <m:r>
          <m:t>0</m:t>
        </m:r>
        <m:r>
          <m:rPr>
            <m:sty m:val="p"/>
          </m:rPr>
          <m:t>,</m:t>
        </m:r>
        <m:r>
          <m:t>076977</m:t>
        </m:r>
      </m:oMath>
      <w:r>
        <w:rPr>
          <w:lang w:val="es-AR"/>
        </w:rPr>
        <w:t xml:space="preserve">,</w:t>
      </w:r>
      <w:r>
        <w:rPr>
          <w:lang w:val="es-AR"/>
        </w:rPr>
        <w:t xml:space="preserve"> </w:t>
      </w:r>
      <m:oMath>
        <m:sSub>
          <m:e>
            <m:r>
              <m:t>a</m:t>
            </m:r>
          </m:e>
          <m:sub>
            <m:r>
              <m:t>1</m:t>
            </m:r>
          </m:sub>
        </m:sSub>
        <m:r>
          <m:rPr>
            <m:sty m:val="p"/>
          </m:rPr>
          <m:t>=</m:t>
        </m:r>
        <m:r>
          <m:t>1</m:t>
        </m:r>
        <m:r>
          <m:rPr>
            <m:sty m:val="p"/>
          </m:rPr>
          <m:t>,</m:t>
        </m:r>
        <m:r>
          <m:t>081162</m:t>
        </m:r>
      </m:oMath>
      <w:r>
        <w:rPr>
          <w:lang w:val="es-AR"/>
        </w:rPr>
        <w:t xml:space="preserve"> </w:t>
      </w:r>
      <w:r>
        <w:rPr>
          <w:lang w:val="es-AR"/>
        </w:rPr>
        <w:t xml:space="preserve">y</w:t>
      </w:r>
      <w:r>
        <w:rPr>
          <w:lang w:val="es-AR"/>
        </w:rPr>
        <w:t xml:space="preserve"> </w:t>
      </w:r>
      <m:oMath>
        <m:sSub>
          <m:e>
            <m:r>
              <m:t>a</m:t>
            </m:r>
          </m:e>
          <m:sub>
            <m:r>
              <m:t>0</m:t>
            </m:r>
          </m:sub>
        </m:sSub>
        <m:r>
          <m:rPr>
            <m:sty m:val="p"/>
          </m:rPr>
          <m:t>=</m:t>
        </m:r>
        <m:r>
          <m:t>2</m:t>
        </m:r>
        <m:r>
          <m:rPr>
            <m:sty m:val="p"/>
          </m:rPr>
          <m:t>,</m:t>
        </m:r>
        <m:r>
          <m:t>072898</m:t>
        </m:r>
      </m:oMath>
      <w:r>
        <w:rPr>
          <w:lang w:val="es-AR"/>
        </w:rPr>
        <w:t xml:space="preserve">. El modelo ajustado resulta:</w:t>
      </w:r>
    </w:p>
    <w:p>
      <w:pPr>
        <w:pStyle w:val="BodyText"/>
      </w:pPr>
      <m:oMathPara>
        <m:oMathParaPr>
          <m:jc m:val="center"/>
        </m:oMathParaPr>
        <m:oMath>
          <m:acc>
            <m:accPr>
              <m:chr m:val="̂"/>
            </m:accPr>
            <m:e>
              <m:r>
                <m:t>S</m:t>
              </m:r>
            </m:e>
          </m:acc>
          <m:r>
            <m:rPr>
              <m:sty m:val="p"/>
            </m:rPr>
            <m:t>(</m:t>
          </m:r>
          <m:r>
            <m:t>t</m:t>
          </m:r>
          <m:r>
            <m:rPr>
              <m:sty m:val="p"/>
            </m:rPr>
            <m:t>)</m:t>
          </m:r>
          <m:r>
            <m:rPr>
              <m:sty m:val="p"/>
            </m:rPr>
            <m:t>=</m:t>
          </m:r>
          <m:r>
            <m:rPr>
              <m:sty m:val="p"/>
            </m:rPr>
            <m:t>−</m:t>
          </m:r>
          <m:r>
            <m:t>0</m:t>
          </m:r>
          <m:r>
            <m:rPr>
              <m:sty m:val="p"/>
            </m:rPr>
            <m:t>,</m:t>
          </m:r>
          <m:r>
            <m:t>000839</m:t>
          </m:r>
          <m:r>
            <m:t> </m:t>
          </m:r>
          <m:sSup>
            <m:e>
              <m:r>
                <m:t>t</m:t>
              </m:r>
            </m:e>
            <m:sup>
              <m:r>
                <m:t>3</m:t>
              </m:r>
            </m:sup>
          </m:sSup>
          <m:r>
            <m:rPr>
              <m:sty m:val="p"/>
            </m:rPr>
            <m:t>+</m:t>
          </m:r>
          <m:r>
            <m:t>0</m:t>
          </m:r>
          <m:r>
            <m:rPr>
              <m:sty m:val="p"/>
            </m:rPr>
            <m:t>,</m:t>
          </m:r>
          <m:r>
            <m:t>076977</m:t>
          </m:r>
          <m:r>
            <m:t> </m:t>
          </m:r>
          <m:sSup>
            <m:e>
              <m:r>
                <m:t>t</m:t>
              </m:r>
            </m:e>
            <m:sup>
              <m:r>
                <m:t>2</m:t>
              </m:r>
            </m:sup>
          </m:sSup>
          <m:r>
            <m:rPr>
              <m:sty m:val="p"/>
            </m:rPr>
            <m:t>+</m:t>
          </m:r>
          <m:r>
            <m:t>1</m:t>
          </m:r>
          <m:r>
            <m:rPr>
              <m:sty m:val="p"/>
            </m:rPr>
            <m:t>,</m:t>
          </m:r>
          <m:r>
            <m:t>081162</m:t>
          </m:r>
          <m:r>
            <m:t> </m:t>
          </m:r>
          <m:r>
            <m:t>t</m:t>
          </m:r>
          <m:r>
            <m:rPr>
              <m:sty m:val="p"/>
            </m:rPr>
            <m:t>+</m:t>
          </m:r>
          <m:r>
            <m:t>2</m:t>
          </m:r>
          <m:r>
            <m:rPr>
              <m:sty m:val="p"/>
            </m:rPr>
            <m:t>,</m:t>
          </m:r>
          <m:r>
            <m:t>072898</m:t>
          </m:r>
        </m:oMath>
      </m:oMathPara>
    </w:p>
    <w:p>
      <w:pPr>
        <w:pStyle w:val="FirstParagraph"/>
      </w:pPr>
      <w:r>
        <w:rPr>
          <w:lang w:val="es-AR"/>
        </w:rPr>
        <w:t xml:space="preserve">Cabe señalar que las sumatorias de potencias de</w:t>
      </w:r>
      <w:r>
        <w:rPr>
          <w:lang w:val="es-AR"/>
        </w:rPr>
        <w:t xml:space="preserve"> </w:t>
      </w:r>
      <m:oMath>
        <m:r>
          <m:t>t</m:t>
        </m:r>
      </m:oMath>
      <w:r>
        <w:rPr>
          <w:lang w:val="es-AR"/>
        </w:rPr>
        <w:t xml:space="preserve"> </w:t>
      </w:r>
      <w:r>
        <w:rPr>
          <w:lang w:val="es-AR"/>
        </w:rPr>
        <w:t xml:space="preserve">alcanzan valores muy distintos entre sí (desde</w:t>
      </w:r>
      <w:r>
        <w:rPr>
          <w:lang w:val="es-AR"/>
        </w:rPr>
        <w:t xml:space="preserve"> </w:t>
      </w:r>
      <m:oMath>
        <m:r>
          <m:t>47</m:t>
        </m:r>
      </m:oMath>
      <w:r>
        <w:rPr>
          <w:lang w:val="es-AR"/>
        </w:rPr>
        <w:t xml:space="preserve"> </w:t>
      </w:r>
      <w:r>
        <w:rPr>
          <w:lang w:val="es-AR"/>
        </w:rPr>
        <w:t xml:space="preserve">hasta más de</w:t>
      </w:r>
      <w:r>
        <w:rPr>
          <w:lang w:val="es-AR"/>
        </w:rPr>
        <w:t xml:space="preserve"> </w:t>
      </w:r>
      <m:oMath>
        <m:sSup>
          <m:e>
            <m:r>
              <m:t>10</m:t>
            </m:r>
          </m:e>
          <m:sup>
            <m:r>
              <m:t>10</m:t>
            </m:r>
          </m:sup>
        </m:sSup>
      </m:oMath>
      <w:r>
        <w:rPr>
          <w:lang w:val="es-AR"/>
        </w:rPr>
        <w:t xml:space="preserve">), por lo que el sistema está mal condicionado: su número de condición es del orden de</w:t>
      </w:r>
      <w:r>
        <w:rPr>
          <w:lang w:val="es-AR"/>
        </w:rPr>
        <w:t xml:space="preserve"> </w:t>
      </w:r>
      <m:oMath>
        <m:r>
          <m:t>2</m:t>
        </m:r>
        <m:r>
          <m:rPr>
            <m:sty m:val="p"/>
          </m:rPr>
          <m:t>,</m:t>
        </m:r>
        <m:r>
          <m:t>01</m:t>
        </m:r>
        <m:r>
          <m:rPr>
            <m:sty m:val="p"/>
          </m:rPr>
          <m:t>⋅</m:t>
        </m:r>
        <m:sSup>
          <m:e>
            <m:r>
              <m:t>10</m:t>
            </m:r>
          </m:e>
          <m:sup>
            <m:r>
              <m:t>10</m:t>
            </m:r>
          </m:sup>
        </m:sSup>
      </m:oMath>
      <w:r>
        <w:rPr>
          <w:lang w:val="es-AR"/>
        </w:rPr>
        <w:t xml:space="preserve">. Multiplicado por la precisión de la aritmética de doble precisión (</w:t>
      </w:r>
      <m:oMath>
        <m:r>
          <m:rPr>
            <m:sty m:val="p"/>
          </m:rPr>
          <m:t>≈</m:t>
        </m:r>
        <m:r>
          <m:t>2</m:t>
        </m:r>
        <m:r>
          <m:rPr>
            <m:sty m:val="p"/>
          </m:rPr>
          <m:t>,</m:t>
        </m:r>
        <m:r>
          <m:t>2</m:t>
        </m:r>
        <m:r>
          <m:rPr>
            <m:sty m:val="p"/>
          </m:rPr>
          <m:t>⋅</m:t>
        </m:r>
        <m:sSup>
          <m:e>
            <m:r>
              <m:t>10</m:t>
            </m:r>
          </m:e>
          <m:sup>
            <m:r>
              <m:rPr>
                <m:sty m:val="p"/>
              </m:rPr>
              <m:t>−</m:t>
            </m:r>
            <m:r>
              <m:t>16</m:t>
            </m:r>
          </m:sup>
        </m:sSup>
      </m:oMath>
      <w:r>
        <w:rPr>
          <w:lang w:val="es-AR"/>
        </w:rPr>
        <w:t xml:space="preserve">), esto acota la pérdida relativa de precisión en torno a</w:t>
      </w:r>
      <w:r>
        <w:rPr>
          <w:lang w:val="es-AR"/>
        </w:rPr>
        <w:t xml:space="preserve"> </w:t>
      </w:r>
      <m:oMath>
        <m:r>
          <m:t>4</m:t>
        </m:r>
        <m:r>
          <m:rPr>
            <m:sty m:val="p"/>
          </m:rPr>
          <m:t>,</m:t>
        </m:r>
        <m:r>
          <m:t>5</m:t>
        </m:r>
        <m:r>
          <m:rPr>
            <m:sty m:val="p"/>
          </m:rPr>
          <m:t>⋅</m:t>
        </m:r>
        <m:sSup>
          <m:e>
            <m:r>
              <m:t>10</m:t>
            </m:r>
          </m:e>
          <m:sup>
            <m:r>
              <m:rPr>
                <m:sty m:val="p"/>
              </m:rPr>
              <m:t>−</m:t>
            </m:r>
            <m:r>
              <m:t>6</m:t>
            </m:r>
          </m:sup>
        </m:sSup>
      </m:oMath>
      <w:r>
        <w:rPr>
          <w:lang w:val="es-AR"/>
        </w:rPr>
        <w:t xml:space="preserve">, valor despreciable para este problema. Como verificación, los coeficientes coinciden con los de una rutina de mínimos cuadrados de NumPy con una diferencia relativa máxima de</w:t>
      </w:r>
      <w:r>
        <w:rPr>
          <w:lang w:val="es-AR"/>
        </w:rPr>
        <w:t xml:space="preserve"> </w:t>
      </w:r>
      <m:oMath>
        <m:r>
          <m:t>6</m:t>
        </m:r>
        <m:r>
          <m:rPr>
            <m:sty m:val="p"/>
          </m:rPr>
          <m:t>,</m:t>
        </m:r>
        <m:r>
          <m:t>2</m:t>
        </m:r>
        <m:r>
          <m:rPr>
            <m:sty m:val="p"/>
          </m:rPr>
          <m:t>⋅</m:t>
        </m:r>
        <m:sSup>
          <m:e>
            <m:r>
              <m:t>10</m:t>
            </m:r>
          </m:e>
          <m:sup>
            <m:r>
              <m:rPr>
                <m:sty m:val="p"/>
              </m:rPr>
              <m:t>−</m:t>
            </m:r>
            <m:r>
              <m:t>13</m:t>
            </m:r>
          </m:sup>
        </m:sSup>
      </m:oMath>
      <w:r>
        <w:rPr>
          <w:lang w:val="es-AR"/>
        </w:rPr>
        <w:t xml:space="preserve">.</w:t>
      </w:r>
    </w:p>
    <w:bookmarkEnd w:id="21"/>
    <w:bookmarkStart w:id="22" w:name="bondad-del-ajuste"/>
    <w:p>
      <w:pPr>
        <w:pStyle w:val="Heading3"/>
      </w:pPr>
      <w:r>
        <w:rPr>
          <w:lang w:val="es-AR"/>
        </w:rPr>
        <w:t xml:space="preserve">3.1.4. Bondad del ajuste</w:t>
      </w:r>
    </w:p>
    <w:p>
      <w:pPr>
        <w:pStyle w:val="FirstParagraph"/>
      </w:pPr>
      <w:r>
        <w:rPr>
          <w:lang w:val="es-AR"/>
        </w:rPr>
        <w:t xml:space="preserve">Como complemento de los apuntes, y siguiendo a Chapra y Canale (2015), la calidad del ajuste se cuantifica con la suma total de cuadrados respecto de la media</w:t>
      </w:r>
      <w:r>
        <w:rPr>
          <w:lang w:val="es-AR"/>
        </w:rPr>
        <w:t xml:space="preserve"> </w:t>
      </w:r>
      <m:oMath>
        <m:sSub>
          <m:e>
            <m:r>
              <m:t>S</m:t>
            </m:r>
          </m:e>
          <m:sub>
            <m:r>
              <m:t>t</m:t>
            </m:r>
          </m:sub>
        </m:sSub>
      </m:oMath>
      <w:r>
        <w:rPr>
          <w:lang w:val="es-AR"/>
        </w:rPr>
        <w:t xml:space="preserve">, el coeficiente de determinación</w:t>
      </w:r>
      <w:r>
        <w:rPr>
          <w:lang w:val="es-AR"/>
        </w:rPr>
        <w:t xml:space="preserve"> </w:t>
      </w:r>
      <m:oMath>
        <m:sSup>
          <m:e>
            <m:r>
              <m:t>r</m:t>
            </m:r>
          </m:e>
          <m:sup>
            <m:r>
              <m:t>2</m:t>
            </m:r>
          </m:sup>
        </m:sSup>
      </m:oMath>
      <w:r>
        <w:rPr>
          <w:lang w:val="es-AR"/>
        </w:rPr>
        <w:t xml:space="preserve"> </w:t>
      </w:r>
      <w:r>
        <w:rPr>
          <w:lang w:val="es-AR"/>
        </w:rPr>
        <w:t xml:space="preserve">y el error estándar de la estimación</w:t>
      </w:r>
      <w:r>
        <w:rPr>
          <w:lang w:val="es-AR"/>
        </w:rPr>
        <w:t xml:space="preserve"> </w:t>
      </w:r>
      <m:oMath>
        <m:sSub>
          <m:e>
            <m:r>
              <m:t>S</m:t>
            </m:r>
          </m:e>
          <m:sub>
            <m:r>
              <m:t>y</m:t>
            </m:r>
            <m:r>
              <m:rPr>
                <m:sty m:val="p"/>
              </m:rPr>
              <m:t>/</m:t>
            </m:r>
            <m:r>
              <m:t>x</m:t>
            </m:r>
          </m:sub>
        </m:sSub>
      </m:oMath>
      <w:r>
        <w:rPr>
          <w:lang w:val="es-AR"/>
        </w:rPr>
        <w:t xml:space="preserve">, donde</w:t>
      </w:r>
      <w:r>
        <w:rPr>
          <w:lang w:val="es-AR"/>
        </w:rPr>
        <w:t xml:space="preserve"> </w:t>
      </w:r>
      <m:oMath>
        <m:r>
          <m:t>m</m:t>
        </m:r>
        <m:r>
          <m:rPr>
            <m:sty m:val="p"/>
          </m:rPr>
          <m:t>=</m:t>
        </m:r>
        <m:r>
          <m:t>3</m:t>
        </m:r>
      </m:oMath>
      <w:r>
        <w:rPr>
          <w:lang w:val="es-AR"/>
        </w:rPr>
        <w:t xml:space="preserve"> </w:t>
      </w:r>
      <w:r>
        <w:rPr>
          <w:lang w:val="es-AR"/>
        </w:rPr>
        <w:t xml:space="preserve">es el grado del polinomio:</w:t>
      </w:r>
    </w:p>
    <w:p>
      <w:pPr>
        <w:pStyle w:val="BodyText"/>
      </w:pPr>
      <m:oMathPara>
        <m:oMathParaPr>
          <m:jc m:val="center"/>
        </m:oMathParaPr>
        <m:oMath>
          <m:sSub>
            <m:e>
              <m:r>
                <m:t>S</m:t>
              </m:r>
            </m:e>
            <m:sub>
              <m:r>
                <m:t>t</m:t>
              </m:r>
            </m:sub>
          </m:sSub>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S</m:t>
                          </m:r>
                        </m:e>
                        <m:sub>
                          <m:r>
                            <m:t>i</m:t>
                          </m:r>
                        </m:sub>
                      </m:sSub>
                      <m:r>
                        <m:rPr>
                          <m:sty m:val="p"/>
                        </m:rPr>
                        <m:t>−</m:t>
                      </m:r>
                      <m:acc>
                        <m:accPr>
                          <m:chr m:val="‾"/>
                        </m:accPr>
                        <m:e>
                          <m:r>
                            <m:t>S</m:t>
                          </m:r>
                        </m:e>
                      </m:acc>
                    </m:e>
                  </m:d>
                </m:e>
                <m:sup>
                  <m:r>
                    <m:t>2</m:t>
                  </m:r>
                </m:sup>
              </m:sSup>
            </m:e>
          </m:nary>
          <m:r>
            <m:rPr>
              <m:sty m:val="p"/>
            </m:rPr>
            <m:t>,</m:t>
          </m:r>
          <m:r>
            <m:t>  </m:t>
          </m:r>
          <m:sSup>
            <m:e>
              <m:r>
                <m:t>r</m:t>
              </m:r>
            </m:e>
            <m:sup>
              <m:r>
                <m:t>2</m:t>
              </m:r>
            </m:sup>
          </m:sSup>
          <m:r>
            <m:rPr>
              <m:sty m:val="p"/>
            </m:rPr>
            <m:t>=</m:t>
          </m:r>
          <m:f>
            <m:fPr>
              <m:type m:val="bar"/>
            </m:fPr>
            <m:num>
              <m:sSub>
                <m:e>
                  <m:r>
                    <m:t>S</m:t>
                  </m:r>
                </m:e>
                <m:sub>
                  <m:r>
                    <m:t>t</m:t>
                  </m:r>
                </m:sub>
              </m:sSub>
              <m:r>
                <m:rPr>
                  <m:sty m:val="p"/>
                </m:rPr>
                <m:t>−</m:t>
              </m:r>
              <m:sSub>
                <m:e>
                  <m:r>
                    <m:t>S</m:t>
                  </m:r>
                </m:e>
                <m:sub>
                  <m:r>
                    <m:t>r</m:t>
                  </m:r>
                </m:sub>
              </m:sSub>
            </m:num>
            <m:den>
              <m:sSub>
                <m:e>
                  <m:r>
                    <m:t>S</m:t>
                  </m:r>
                </m:e>
                <m:sub>
                  <m:r>
                    <m:t>t</m:t>
                  </m:r>
                </m:sub>
              </m:sSub>
            </m:den>
          </m:f>
          <m:r>
            <m:rPr>
              <m:sty m:val="p"/>
            </m:rPr>
            <m:t>,</m:t>
          </m:r>
          <m:r>
            <m:t>  </m:t>
          </m:r>
          <m:sSub>
            <m:e>
              <m:r>
                <m:t>S</m:t>
              </m:r>
            </m:e>
            <m:sub>
              <m:r>
                <m:t>y</m:t>
              </m:r>
              <m:r>
                <m:rPr>
                  <m:sty m:val="p"/>
                </m:rPr>
                <m:t>/</m:t>
              </m:r>
              <m:r>
                <m:t>x</m:t>
              </m:r>
            </m:sub>
          </m:sSub>
          <m:r>
            <m:rPr>
              <m:sty m:val="p"/>
            </m:rPr>
            <m:t>=</m:t>
          </m:r>
          <m:rad>
            <m:radPr>
              <m:degHide m:val="on"/>
            </m:radPr>
            <m:deg/>
            <m:e>
              <m:f>
                <m:fPr>
                  <m:type m:val="bar"/>
                </m:fPr>
                <m:num>
                  <m:sSub>
                    <m:e>
                      <m:r>
                        <m:t>S</m:t>
                      </m:r>
                    </m:e>
                    <m:sub>
                      <m:r>
                        <m:t>r</m:t>
                      </m:r>
                    </m:sub>
                  </m:sSub>
                </m:num>
                <m:den>
                  <m:r>
                    <m:t>n</m:t>
                  </m:r>
                  <m:r>
                    <m:rPr>
                      <m:sty m:val="p"/>
                    </m:rPr>
                    <m:t>−</m:t>
                  </m:r>
                  <m:r>
                    <m:rPr>
                      <m:sty m:val="p"/>
                    </m:rPr>
                    <m:t>(</m:t>
                  </m:r>
                  <m:r>
                    <m:t>m</m:t>
                  </m:r>
                  <m:r>
                    <m:rPr>
                      <m:sty m:val="p"/>
                    </m:rPr>
                    <m:t>+</m:t>
                  </m:r>
                  <m:r>
                    <m:t>1</m:t>
                  </m:r>
                  <m:r>
                    <m:rPr>
                      <m:sty m:val="p"/>
                    </m:rPr>
                    <m:t>)</m:t>
                  </m:r>
                </m:den>
              </m:f>
            </m:e>
          </m:rad>
        </m:oMath>
      </m:oMathPara>
    </w:p>
    <w:p>
      <w:pPr>
        <w:pStyle w:val="FirstParagraph"/>
      </w:pPr>
      <w:r>
        <w:rPr>
          <w:lang w:val="es-AR"/>
        </w:rPr>
        <w:t xml:space="preserve">Con los datos se obtiene:</w:t>
      </w:r>
    </w:p>
    <w:p>
      <w:pPr>
        <w:pStyle w:val="BodyText"/>
      </w:pPr>
      <m:oMathPara>
        <m:oMathParaPr>
          <m:jc m:val="center"/>
        </m:oMathParaPr>
        <m:oMath>
          <m:sSub>
            <m:e>
              <m:r>
                <m:t>S</m:t>
              </m:r>
            </m:e>
            <m:sub>
              <m:r>
                <m:t>r</m:t>
              </m:r>
            </m:sub>
          </m:sSub>
          <m:r>
            <m:rPr>
              <m:sty m:val="p"/>
            </m:rPr>
            <m:t>=</m:t>
          </m:r>
          <m:r>
            <m:t>36</m:t>
          </m:r>
          <m:r>
            <m:rPr>
              <m:sty m:val="p"/>
            </m:rPr>
            <m:t>,</m:t>
          </m:r>
          <m:r>
            <m:t>9406</m:t>
          </m:r>
          <m:r>
            <m:rPr>
              <m:sty m:val="p"/>
            </m:rPr>
            <m:t>,</m:t>
          </m:r>
          <m:r>
            <m:t>  </m:t>
          </m:r>
          <m:sSub>
            <m:e>
              <m:r>
                <m:t>S</m:t>
              </m:r>
            </m:e>
            <m:sub>
              <m:r>
                <m:t>t</m:t>
              </m:r>
            </m:sub>
          </m:sSub>
          <m:r>
            <m:rPr>
              <m:sty m:val="p"/>
            </m:rPr>
            <m:t>=</m:t>
          </m:r>
          <m:r>
            <m:t>79137</m:t>
          </m:r>
          <m:r>
            <m:rPr>
              <m:sty m:val="p"/>
            </m:rPr>
            <m:t>,</m:t>
          </m:r>
          <m:r>
            <m:t>5830</m:t>
          </m:r>
          <m:r>
            <m:rPr>
              <m:sty m:val="p"/>
            </m:rPr>
            <m:t>,</m:t>
          </m:r>
          <m:r>
            <m:t>  </m:t>
          </m:r>
          <m:sSup>
            <m:e>
              <m:r>
                <m:t>r</m:t>
              </m:r>
            </m:e>
            <m:sup>
              <m:r>
                <m:t>2</m:t>
              </m:r>
            </m:sup>
          </m:sSup>
          <m:r>
            <m:rPr>
              <m:sty m:val="p"/>
            </m:rPr>
            <m:t>=</m:t>
          </m:r>
          <m:r>
            <m:t>0</m:t>
          </m:r>
          <m:r>
            <m:rPr>
              <m:sty m:val="p"/>
            </m:rPr>
            <m:t>,</m:t>
          </m:r>
          <m:r>
            <m:t>999533</m:t>
          </m:r>
          <m:r>
            <m:rPr>
              <m:sty m:val="p"/>
            </m:rPr>
            <m:t>,</m:t>
          </m:r>
          <m:r>
            <m:t>  </m:t>
          </m:r>
          <m:sSub>
            <m:e>
              <m:r>
                <m:t>S</m:t>
              </m:r>
            </m:e>
            <m:sub>
              <m:r>
                <m:t>y</m:t>
              </m:r>
              <m:r>
                <m:rPr>
                  <m:sty m:val="p"/>
                </m:rPr>
                <m:t>/</m:t>
              </m:r>
              <m:r>
                <m:t>x</m:t>
              </m:r>
            </m:sub>
          </m:sSub>
          <m:r>
            <m:rPr>
              <m:sty m:val="p"/>
            </m:rPr>
            <m:t>=</m:t>
          </m:r>
          <m:r>
            <m:t>0</m:t>
          </m:r>
          <m:r>
            <m:rPr>
              <m:sty m:val="p"/>
            </m:rPr>
            <m:t>,</m:t>
          </m:r>
          <m:r>
            <m:t>9269</m:t>
          </m:r>
          <m:r>
            <m:t> </m:t>
          </m:r>
          <m:r>
            <m:rPr>
              <m:nor/>
            </m:rPr>
            <m:t>M</m:t>
          </m:r>
        </m:oMath>
      </m:oMathPara>
    </w:p>
    <w:p>
      <w:pPr>
        <w:pStyle w:val="FirstParagraph"/>
      </w:pPr>
      <w:r>
        <w:rPr>
          <w:lang w:val="es-AR"/>
        </w:rPr>
        <w:t xml:space="preserve">El modelo explica el 99,95 % de la variabilidad de los datos y, en promedio, se aparta unos 0,9269 millones de reproducciones de los valores medidos. El residuo de mayor magnitud es de 1,705 M y corresponde a la semana 10.</w:t>
      </w:r>
    </w:p>
    <w:bookmarkEnd w:id="22"/>
    <w:bookmarkStart w:id="23" w:name="validez-física-del-modelo-de-regresión"/>
    <w:p>
      <w:pPr>
        <w:pStyle w:val="Heading3"/>
      </w:pPr>
      <w:r>
        <w:rPr>
          <w:lang w:val="es-AR"/>
        </w:rPr>
        <w:t xml:space="preserve">3.1.5. Validez física del modelo de regresión</w:t>
      </w:r>
    </w:p>
    <w:p>
      <w:pPr>
        <w:pStyle w:val="FirstParagraph"/>
      </w:pPr>
      <w:r>
        <w:rPr>
          <w:lang w:val="es-AR"/>
        </w:rPr>
        <w:t xml:space="preserve">Por definición, las reproducciones acumuladas deben ser no negativas y no decrecientes, por lo que se verificó que el modelo cumpla esas condiciones dentro del período analizado:</w:t>
      </w:r>
    </w:p>
    <w:p>
      <w:pPr>
        <w:pStyle w:val="Compact"/>
        <w:numPr>
          <w:ilvl w:val="0"/>
          <w:numId w:val="1006"/>
        </w:numPr>
      </w:pPr>
      <w:r>
        <w:rPr>
          <w:lang w:val="es-AR"/>
        </w:rPr>
        <w:t xml:space="preserve">La derivada</w:t>
      </w:r>
      <w:r>
        <w:rPr>
          <w:lang w:val="es-AR"/>
        </w:rPr>
        <w:t xml:space="preserve"> </w:t>
      </w:r>
      <m:oMath>
        <m:sSup>
          <m:e>
            <m:acc>
              <m:accPr>
                <m:chr m:val="̂"/>
              </m:accPr>
              <m:e>
                <m:r>
                  <m:t>S</m:t>
                </m:r>
              </m:e>
            </m:acc>
          </m:e>
          <m:sup>
            <m:r>
              <m:rPr>
                <m:sty m:val="p"/>
              </m:rPr>
              <m:t>′</m:t>
            </m:r>
          </m:sup>
        </m:sSup>
        <m:r>
          <m:rPr>
            <m:sty m:val="p"/>
          </m:rPr>
          <m:t>(</m:t>
        </m:r>
        <m:r>
          <m:t>t</m:t>
        </m:r>
        <m:r>
          <m:rPr>
            <m:sty m:val="p"/>
          </m:rPr>
          <m:t>)</m:t>
        </m:r>
      </m:oMath>
      <w:r>
        <w:rPr>
          <w:lang w:val="es-AR"/>
        </w:rPr>
        <w:t xml:space="preserve"> </w:t>
      </w:r>
      <w:r>
        <w:rPr>
          <w:lang w:val="es-AR"/>
        </w:rPr>
        <w:t xml:space="preserve">es una parábola cuyas raíces son</w:t>
      </w:r>
      <w:r>
        <w:rPr>
          <w:lang w:val="es-AR"/>
        </w:rPr>
        <w:t xml:space="preserve"> </w:t>
      </w:r>
      <m:oMath>
        <m:r>
          <m:t>t</m:t>
        </m:r>
        <m:r>
          <m:rPr>
            <m:sty m:val="p"/>
          </m:rPr>
          <m:t>=</m:t>
        </m:r>
        <m:r>
          <m:rPr>
            <m:sty m:val="p"/>
          </m:rPr>
          <m:t>−</m:t>
        </m:r>
        <m:r>
          <m:t>6</m:t>
        </m:r>
        <m:r>
          <m:rPr>
            <m:sty m:val="p"/>
          </m:rPr>
          <m:t>,</m:t>
        </m:r>
        <m:r>
          <m:t>36</m:t>
        </m:r>
        <m:r>
          <m:rPr>
            <m:sty m:val="p"/>
          </m:rPr>
          <m:t>,</m:t>
        </m:r>
        <m:r>
          <m:t>67</m:t>
        </m:r>
        <m:r>
          <m:rPr>
            <m:sty m:val="p"/>
          </m:rPr>
          <m:t>,</m:t>
        </m:r>
        <m:r>
          <m:t>53</m:t>
        </m:r>
      </m:oMath>
      <w:r>
        <w:rPr>
          <w:lang w:val="es-AR"/>
        </w:rPr>
        <w:t xml:space="preserve">, ambas fuera del intervalo</w:t>
      </w:r>
      <w:r>
        <w:rPr>
          <w:lang w:val="es-AR"/>
        </w:rPr>
        <w:t xml:space="preserve"> </w:t>
      </w:r>
      <m:oMath>
        <m:r>
          <m:rPr>
            <m:sty m:val="p"/>
          </m:rPr>
          <m:t>[</m:t>
        </m:r>
        <m:r>
          <m:t>0</m:t>
        </m:r>
        <m:r>
          <m:rPr>
            <m:sty m:val="p"/>
          </m:rPr>
          <m:t>;</m:t>
        </m:r>
        <m:r>
          <m:t>46</m:t>
        </m:r>
        <m:r>
          <m:rPr>
            <m:sty m:val="p"/>
          </m:rPr>
          <m:t>]</m:t>
        </m:r>
      </m:oMath>
      <w:r>
        <w:rPr>
          <w:lang w:val="es-AR"/>
        </w:rPr>
        <w:t xml:space="preserve">. En todo el período la derivada es positiva, con un valor mínimo de</w:t>
      </w:r>
      <w:r>
        <w:rPr>
          <w:lang w:val="es-AR"/>
        </w:rPr>
        <w:t xml:space="preserve"> </w:t>
      </w:r>
      <m:oMath>
        <m:r>
          <m:t>1</m:t>
        </m:r>
        <m:r>
          <m:rPr>
            <m:sty m:val="p"/>
          </m:rPr>
          <m:t>,</m:t>
        </m:r>
        <m:r>
          <m:t>081</m:t>
        </m:r>
      </m:oMath>
      <w:r>
        <w:rPr>
          <w:lang w:val="es-AR"/>
        </w:rPr>
        <w:t xml:space="preserve"> </w:t>
      </w:r>
      <w:r>
        <w:rPr>
          <w:lang w:val="es-AR"/>
        </w:rPr>
        <w:t xml:space="preserve">M/semana, de modo que el modelo es creciente, como corresponde a un acumulado.</w:t>
      </w:r>
    </w:p>
    <w:p>
      <w:pPr>
        <w:pStyle w:val="Compact"/>
        <w:numPr>
          <w:ilvl w:val="0"/>
          <w:numId w:val="1006"/>
        </w:numPr>
      </w:pPr>
      <w:r>
        <w:rPr>
          <w:lang w:val="es-AR"/>
        </w:rPr>
        <w:t xml:space="preserve">En el origen, el modelo da</w:t>
      </w:r>
      <w:r>
        <w:rPr>
          <w:lang w:val="es-AR"/>
        </w:rPr>
        <w:t xml:space="preserve"> </w:t>
      </w:r>
      <m:oMath>
        <m:acc>
          <m:accPr>
            <m:chr m:val="̂"/>
          </m:accPr>
          <m:e>
            <m:r>
              <m:t>S</m:t>
            </m:r>
          </m:e>
        </m:acc>
        <m:r>
          <m:rPr>
            <m:sty m:val="p"/>
          </m:rPr>
          <m:t>(</m:t>
        </m:r>
        <m:r>
          <m:t>0</m:t>
        </m:r>
        <m:r>
          <m:rPr>
            <m:sty m:val="p"/>
          </m:rPr>
          <m:t>)</m:t>
        </m:r>
        <m:r>
          <m:rPr>
            <m:sty m:val="p"/>
          </m:rPr>
          <m:t>=</m:t>
        </m:r>
        <m:r>
          <m:t>2</m:t>
        </m:r>
        <m:r>
          <m:rPr>
            <m:sty m:val="p"/>
          </m:rPr>
          <m:t>,</m:t>
        </m:r>
        <m:r>
          <m:t>073</m:t>
        </m:r>
      </m:oMath>
      <w:r>
        <w:rPr>
          <w:lang w:val="es-AR"/>
        </w:rPr>
        <w:t xml:space="preserve"> </w:t>
      </w:r>
      <w:r>
        <w:rPr>
          <w:lang w:val="es-AR"/>
        </w:rPr>
        <w:t xml:space="preserve">M frente al valor medido de</w:t>
      </w:r>
      <w:r>
        <w:rPr>
          <w:lang w:val="es-AR"/>
        </w:rPr>
        <w:t xml:space="preserve"> </w:t>
      </w:r>
      <m:oMath>
        <m:r>
          <m:t>1</m:t>
        </m:r>
        <m:r>
          <m:rPr>
            <m:sty m:val="p"/>
          </m:rPr>
          <m:t>,</m:t>
        </m:r>
        <m:r>
          <m:t>137</m:t>
        </m:r>
      </m:oMath>
      <w:r>
        <w:rPr>
          <w:lang w:val="es-AR"/>
        </w:rPr>
        <w:t xml:space="preserve"> </w:t>
      </w:r>
      <w:r>
        <w:rPr>
          <w:lang w:val="es-AR"/>
        </w:rPr>
        <w:t xml:space="preserve">M: la diferencia es del orden de</w:t>
      </w:r>
      <w:r>
        <w:rPr>
          <w:lang w:val="es-AR"/>
        </w:rPr>
        <w:t xml:space="preserve"> </w:t>
      </w:r>
      <m:oMath>
        <m:sSub>
          <m:e>
            <m:r>
              <m:t>S</m:t>
            </m:r>
          </m:e>
          <m:sub>
            <m:r>
              <m:t>y</m:t>
            </m:r>
            <m:r>
              <m:rPr>
                <m:sty m:val="p"/>
              </m:rPr>
              <m:t>/</m:t>
            </m:r>
            <m:r>
              <m:t>x</m:t>
            </m:r>
          </m:sub>
        </m:sSub>
      </m:oMath>
      <w:r>
        <w:rPr>
          <w:lang w:val="es-AR"/>
        </w:rPr>
        <w:t xml:space="preserve">, coherente con un ajuste global.</w:t>
      </w:r>
    </w:p>
    <w:p>
      <w:pPr>
        <w:pStyle w:val="Compact"/>
        <w:numPr>
          <w:ilvl w:val="0"/>
          <w:numId w:val="1006"/>
        </w:numPr>
      </w:pPr>
      <w:r>
        <w:rPr>
          <w:lang w:val="es-AR"/>
        </w:rPr>
        <w:t xml:space="preserve">Como</w:t>
      </w:r>
      <w:r>
        <w:rPr>
          <w:lang w:val="es-AR"/>
        </w:rPr>
        <w:t xml:space="preserve"> </w:t>
      </w:r>
      <m:oMath>
        <m:sSub>
          <m:e>
            <m:r>
              <m:t>a</m:t>
            </m:r>
          </m:e>
          <m:sub>
            <m:r>
              <m:t>3</m:t>
            </m:r>
          </m:sub>
        </m:sSub>
        <m:r>
          <m:rPr>
            <m:sty m:val="p"/>
          </m:rPr>
          <m:t>&lt;</m:t>
        </m:r>
        <m:r>
          <m:t>0</m:t>
        </m:r>
      </m:oMath>
      <w:r>
        <w:rPr>
          <w:lang w:val="es-AR"/>
        </w:rPr>
        <w:t xml:space="preserve">, fuera del período la cúbica termina decreciendo, lo que carece de sentido físico. El modelo es</w:t>
      </w:r>
      <w:r>
        <w:rPr>
          <w:lang w:val="es-AR"/>
        </w:rPr>
        <w:t xml:space="preserve"> </w:t>
      </w:r>
      <w:r>
        <w:rPr>
          <w:b/>
          <w:bCs/>
          <w:lang w:val="es-AR"/>
        </w:rPr>
        <w:t xml:space="preserve">descriptivo</w:t>
      </w:r>
      <w:r>
        <w:rPr>
          <w:lang w:val="es-AR"/>
        </w:rPr>
        <w:t xml:space="preserve"> </w:t>
      </w:r>
      <w:r>
        <w:rPr>
          <w:lang w:val="es-AR"/>
        </w:rPr>
        <w:t xml:space="preserve">del intervalo observado y no debe usarse para extrapolar.</w:t>
      </w:r>
    </w:p>
    <w:bookmarkEnd w:id="23"/>
    <w:bookmarkStart w:id="27" w:name="trazadora-cúbica-natural"/>
    <w:p>
      <w:pPr>
        <w:pStyle w:val="Heading3"/>
      </w:pPr>
      <w:r>
        <w:rPr>
          <w:lang w:val="es-AR"/>
        </w:rPr>
        <w:t xml:space="preserve">3.1.6. Trazadora cúbica natural</w:t>
      </w:r>
    </w:p>
    <w:p>
      <w:pPr>
        <w:pStyle w:val="FirstParagraph"/>
      </w:pPr>
      <w:r>
        <w:rPr>
          <w:lang w:val="es-AR"/>
        </w:rPr>
        <w:t xml:space="preserve">La regresión suaviza la serie, pero no pasa por los puntos medidos. Para disponer de un modelo que respete exactamente los datos se construyó la trazadora cúbica natural (cap. 5.5), que define en cada intervalo</w:t>
      </w:r>
      <w:r>
        <w:rPr>
          <w:lang w:val="es-AR"/>
        </w:rPr>
        <w:t xml:space="preserve"> </w:t>
      </w:r>
      <m:oMath>
        <m:r>
          <m:rPr>
            <m:sty m:val="p"/>
          </m:rPr>
          <m:t>[</m:t>
        </m:r>
        <m:sSub>
          <m:e>
            <m:r>
              <m:t>t</m:t>
            </m:r>
          </m:e>
          <m:sub>
            <m:r>
              <m:t>i</m:t>
            </m:r>
          </m:sub>
        </m:sSub>
        <m:r>
          <m:rPr>
            <m:sty m:val="p"/>
          </m:rPr>
          <m:t>;</m:t>
        </m:r>
        <m:sSub>
          <m:e>
            <m:r>
              <m:t>t</m:t>
            </m:r>
          </m:e>
          <m:sub>
            <m:r>
              <m:t>i</m:t>
            </m:r>
            <m:r>
              <m:rPr>
                <m:sty m:val="p"/>
              </m:rPr>
              <m:t>+</m:t>
            </m:r>
            <m:r>
              <m:t>1</m:t>
            </m:r>
          </m:sub>
        </m:sSub>
        <m:r>
          <m:rPr>
            <m:sty m:val="p"/>
          </m:rPr>
          <m:t>]</m:t>
        </m:r>
      </m:oMath>
      <w:r>
        <w:rPr>
          <w:lang w:val="es-AR"/>
        </w:rPr>
        <w:t xml:space="preserve"> </w:t>
      </w:r>
      <w:r>
        <w:rPr>
          <w:lang w:val="es-AR"/>
        </w:rPr>
        <w:t xml:space="preserve">un polinomio de tercer grado</w:t>
      </w:r>
    </w:p>
    <w:p>
      <w:pPr>
        <w:pStyle w:val="BodyText"/>
      </w:pPr>
      <m:oMathPara>
        <m:oMathParaPr>
          <m:jc m:val="center"/>
        </m:oMathParaPr>
        <m:oMath>
          <m:sSub>
            <m:e>
              <m:r>
                <m:t>S</m:t>
              </m:r>
            </m:e>
            <m:sub>
              <m:r>
                <m:t>i</m:t>
              </m:r>
            </m:sub>
          </m:sSub>
          <m:r>
            <m:rPr>
              <m:sty m:val="p"/>
            </m:rPr>
            <m:t>(</m:t>
          </m:r>
          <m:r>
            <m:t>t</m:t>
          </m:r>
          <m:r>
            <m:rPr>
              <m:sty m:val="p"/>
            </m:rPr>
            <m:t>)</m:t>
          </m:r>
          <m:r>
            <m:rPr>
              <m:sty m:val="p"/>
            </m:rPr>
            <m:t>=</m:t>
          </m:r>
          <m:sSub>
            <m:e>
              <m:r>
                <m:t>a</m:t>
              </m:r>
            </m:e>
            <m:sub>
              <m:r>
                <m:t>i</m:t>
              </m:r>
            </m:sub>
          </m:sSub>
          <m:r>
            <m:rPr>
              <m:sty m:val="p"/>
            </m:rPr>
            <m:t>+</m:t>
          </m:r>
          <m:sSub>
            <m:e>
              <m:r>
                <m:t>b</m:t>
              </m:r>
            </m:e>
            <m:sub>
              <m:r>
                <m:t>i</m:t>
              </m:r>
            </m:sub>
          </m:sSub>
          <m:r>
            <m:rPr>
              <m:sty m:val="p"/>
            </m:rPr>
            <m:t>(</m:t>
          </m:r>
          <m:r>
            <m:t>t</m:t>
          </m:r>
          <m:r>
            <m:rPr>
              <m:sty m:val="p"/>
            </m:rPr>
            <m:t>−</m:t>
          </m:r>
          <m:sSub>
            <m:e>
              <m:r>
                <m:t>t</m:t>
              </m:r>
            </m:e>
            <m:sub>
              <m:r>
                <m:t>i</m:t>
              </m:r>
            </m:sub>
          </m:sSub>
          <m:r>
            <m:rPr>
              <m:sty m:val="p"/>
            </m:rPr>
            <m:t>)</m:t>
          </m:r>
          <m:r>
            <m:rPr>
              <m:sty m:val="p"/>
            </m:rPr>
            <m:t>+</m:t>
          </m:r>
          <m:sSub>
            <m:e>
              <m:r>
                <m:t>c</m:t>
              </m:r>
            </m:e>
            <m:sub>
              <m:r>
                <m:t>i</m:t>
              </m:r>
            </m:sub>
          </m:sSub>
          <m:r>
            <m:rPr>
              <m:sty m:val="p"/>
            </m:rPr>
            <m:t>(</m:t>
          </m:r>
          <m:r>
            <m:t>t</m:t>
          </m:r>
          <m:r>
            <m:rPr>
              <m:sty m:val="p"/>
            </m:rPr>
            <m:t>−</m:t>
          </m:r>
          <m:sSub>
            <m:e>
              <m:r>
                <m:t>t</m:t>
              </m:r>
            </m:e>
            <m:sub>
              <m:r>
                <m:t>i</m:t>
              </m:r>
            </m:sub>
          </m:sSub>
          <m:sSup>
            <m:e>
              <m:r>
                <m:rPr>
                  <m:sty m:val="p"/>
                </m:rPr>
                <m:t>)</m:t>
              </m:r>
            </m:e>
            <m:sup>
              <m:r>
                <m:t>2</m:t>
              </m:r>
            </m:sup>
          </m:sSup>
          <m:r>
            <m:rPr>
              <m:sty m:val="p"/>
            </m:rPr>
            <m:t>+</m:t>
          </m:r>
          <m:sSub>
            <m:e>
              <m:r>
                <m:t>d</m:t>
              </m:r>
            </m:e>
            <m:sub>
              <m:r>
                <m:t>i</m:t>
              </m:r>
            </m:sub>
          </m:sSub>
          <m:r>
            <m:rPr>
              <m:sty m:val="p"/>
            </m:rPr>
            <m:t>(</m:t>
          </m:r>
          <m:r>
            <m:t>t</m:t>
          </m:r>
          <m:r>
            <m:rPr>
              <m:sty m:val="p"/>
            </m:rPr>
            <m:t>−</m:t>
          </m:r>
          <m:sSub>
            <m:e>
              <m:r>
                <m:t>t</m:t>
              </m:r>
            </m:e>
            <m:sub>
              <m:r>
                <m:t>i</m:t>
              </m:r>
            </m:sub>
          </m:sSub>
          <m:sSup>
            <m:e>
              <m:r>
                <m:rPr>
                  <m:sty m:val="p"/>
                </m:rPr>
                <m:t>)</m:t>
              </m:r>
            </m:e>
            <m:sup>
              <m:r>
                <m:t>3</m:t>
              </m:r>
            </m:sup>
          </m:sSup>
          <m:r>
            <m:rPr>
              <m:sty m:val="p"/>
            </m:rPr>
            <m:t>,</m:t>
          </m:r>
          <m:r>
            <m:t>  </m:t>
          </m:r>
          <m:sSub>
            <m:e>
              <m:r>
                <m:t>a</m:t>
              </m:r>
            </m:e>
            <m:sub>
              <m:r>
                <m:t>i</m:t>
              </m:r>
            </m:sub>
          </m:sSub>
          <m:r>
            <m:rPr>
              <m:sty m:val="p"/>
            </m:rPr>
            <m:t>=</m:t>
          </m:r>
          <m:r>
            <m:t>S</m:t>
          </m:r>
          <m:r>
            <m:rPr>
              <m:sty m:val="p"/>
            </m:rPr>
            <m:t>(</m:t>
          </m:r>
          <m:sSub>
            <m:e>
              <m:r>
                <m:t>t</m:t>
              </m:r>
            </m:e>
            <m:sub>
              <m:r>
                <m:t>i</m:t>
              </m:r>
            </m:sub>
          </m:sSub>
          <m:r>
            <m:rPr>
              <m:sty m:val="p"/>
            </m:rPr>
            <m:t>)</m:t>
          </m:r>
        </m:oMath>
      </m:oMathPara>
    </w:p>
    <w:p>
      <w:pPr>
        <w:pStyle w:val="FirstParagraph"/>
      </w:pPr>
      <w:r>
        <w:rPr>
          <w:lang w:val="es-AR"/>
        </w:rPr>
        <w:t xml:space="preserve">que cumple en cada nodo interior las condiciones de continuidad de la función, de la primera y de la segunda derivada:</w:t>
      </w:r>
    </w:p>
    <w:p>
      <w:pPr>
        <w:pStyle w:val="BodyText"/>
      </w:pPr>
      <m:oMathPara>
        <m:oMathParaPr>
          <m:jc m:val="center"/>
        </m:oMathParaPr>
        <m:oMath>
          <m:sSub>
            <m:e>
              <m:r>
                <m:t>S</m:t>
              </m:r>
            </m:e>
            <m:sub>
              <m:r>
                <m:t>i</m:t>
              </m:r>
            </m:sub>
          </m:sSub>
          <m:r>
            <m:rPr>
              <m:sty m:val="p"/>
            </m:rPr>
            <m:t>(</m:t>
          </m:r>
          <m:sSub>
            <m:e>
              <m:r>
                <m:t>t</m:t>
              </m:r>
            </m:e>
            <m:sub>
              <m:r>
                <m:t>i</m:t>
              </m:r>
              <m:r>
                <m:rPr>
                  <m:sty m:val="p"/>
                </m:rPr>
                <m:t>+</m:t>
              </m:r>
              <m:r>
                <m:t>1</m:t>
              </m:r>
            </m:sub>
          </m:sSub>
          <m:r>
            <m:rPr>
              <m:sty m:val="p"/>
            </m:rPr>
            <m:t>)</m:t>
          </m:r>
          <m:r>
            <m:rPr>
              <m:sty m:val="p"/>
            </m:rPr>
            <m:t>=</m:t>
          </m:r>
          <m:sSub>
            <m:e>
              <m:r>
                <m:t>S</m:t>
              </m:r>
            </m:e>
            <m:sub>
              <m:r>
                <m:t>i</m:t>
              </m:r>
              <m:r>
                <m:rPr>
                  <m:sty m:val="p"/>
                </m:rPr>
                <m:t>+</m:t>
              </m:r>
              <m:r>
                <m:t>1</m:t>
              </m:r>
            </m:sub>
          </m:sSub>
          <m:r>
            <m:rPr>
              <m:sty m:val="p"/>
            </m:rPr>
            <m:t>(</m:t>
          </m:r>
          <m:sSub>
            <m:e>
              <m:r>
                <m:t>t</m:t>
              </m:r>
            </m:e>
            <m:sub>
              <m:r>
                <m:t>i</m:t>
              </m:r>
              <m:r>
                <m:rPr>
                  <m:sty m:val="p"/>
                </m:rPr>
                <m:t>+</m:t>
              </m:r>
              <m:r>
                <m:t>1</m:t>
              </m:r>
            </m:sub>
          </m:sSub>
          <m:r>
            <m:rPr>
              <m:sty m:val="p"/>
            </m:rPr>
            <m:t>)</m:t>
          </m:r>
          <m:r>
            <m:rPr>
              <m:sty m:val="p"/>
            </m:rPr>
            <m:t>,</m:t>
          </m:r>
          <m:r>
            <m:t>  </m:t>
          </m:r>
          <m:sSubSup>
            <m:e>
              <m:r>
                <m:t>S</m:t>
              </m:r>
            </m:e>
            <m:sub>
              <m:r>
                <m:t>i</m:t>
              </m:r>
            </m:sub>
            <m:sup>
              <m:r>
                <m:rPr>
                  <m:sty m:val="p"/>
                </m:rPr>
                <m:t>′</m:t>
              </m:r>
            </m:sup>
          </m:sSubSup>
          <m:r>
            <m:rPr>
              <m:sty m:val="p"/>
            </m:rPr>
            <m:t>(</m:t>
          </m:r>
          <m:sSub>
            <m:e>
              <m:r>
                <m:t>t</m:t>
              </m:r>
            </m:e>
            <m:sub>
              <m:r>
                <m:t>i</m:t>
              </m:r>
              <m:r>
                <m:rPr>
                  <m:sty m:val="p"/>
                </m:rPr>
                <m:t>+</m:t>
              </m:r>
              <m:r>
                <m:t>1</m:t>
              </m:r>
            </m:sub>
          </m:sSub>
          <m:r>
            <m:rPr>
              <m:sty m:val="p"/>
            </m:rPr>
            <m:t>)</m:t>
          </m:r>
          <m:r>
            <m:rPr>
              <m:sty m:val="p"/>
            </m:rPr>
            <m:t>=</m:t>
          </m:r>
          <m:sSubSup>
            <m:e>
              <m:r>
                <m:t>S</m:t>
              </m:r>
            </m:e>
            <m:sub>
              <m:r>
                <m:t>i</m:t>
              </m:r>
              <m:r>
                <m:rPr>
                  <m:sty m:val="p"/>
                </m:rPr>
                <m:t>+</m:t>
              </m:r>
              <m:r>
                <m:t>1</m:t>
              </m:r>
            </m:sub>
            <m:sup>
              <m:r>
                <m:rPr>
                  <m:sty m:val="p"/>
                </m:rPr>
                <m:t>′</m:t>
              </m:r>
            </m:sup>
          </m:sSubSup>
          <m:r>
            <m:rPr>
              <m:sty m:val="p"/>
            </m:rPr>
            <m:t>(</m:t>
          </m:r>
          <m:sSub>
            <m:e>
              <m:r>
                <m:t>t</m:t>
              </m:r>
            </m:e>
            <m:sub>
              <m:r>
                <m:t>i</m:t>
              </m:r>
              <m:r>
                <m:rPr>
                  <m:sty m:val="p"/>
                </m:rPr>
                <m:t>+</m:t>
              </m:r>
              <m:r>
                <m:t>1</m:t>
              </m:r>
            </m:sub>
          </m:sSub>
          <m:r>
            <m:rPr>
              <m:sty m:val="p"/>
            </m:rPr>
            <m:t>)</m:t>
          </m:r>
          <m:r>
            <m:rPr>
              <m:sty m:val="p"/>
            </m:rPr>
            <m:t>,</m:t>
          </m:r>
          <m:r>
            <m:t>  </m:t>
          </m:r>
          <m:sSubSup>
            <m:e>
              <m:r>
                <m:t>S</m:t>
              </m:r>
            </m:e>
            <m:sub>
              <m:r>
                <m:t>i</m:t>
              </m:r>
            </m:sub>
            <m:sup>
              <m:r>
                <m:rPr>
                  <m:sty m:val="p"/>
                </m:rPr>
                <m:t>″</m:t>
              </m:r>
            </m:sup>
          </m:sSubSup>
          <m:r>
            <m:rPr>
              <m:sty m:val="p"/>
            </m:rPr>
            <m:t>(</m:t>
          </m:r>
          <m:sSub>
            <m:e>
              <m:r>
                <m:t>t</m:t>
              </m:r>
            </m:e>
            <m:sub>
              <m:r>
                <m:t>i</m:t>
              </m:r>
              <m:r>
                <m:rPr>
                  <m:sty m:val="p"/>
                </m:rPr>
                <m:t>+</m:t>
              </m:r>
              <m:r>
                <m:t>1</m:t>
              </m:r>
            </m:sub>
          </m:sSub>
          <m:r>
            <m:rPr>
              <m:sty m:val="p"/>
            </m:rPr>
            <m:t>)</m:t>
          </m:r>
          <m:r>
            <m:rPr>
              <m:sty m:val="p"/>
            </m:rPr>
            <m:t>=</m:t>
          </m:r>
          <m:sSubSup>
            <m:e>
              <m:r>
                <m:t>S</m:t>
              </m:r>
            </m:e>
            <m:sub>
              <m:r>
                <m:t>i</m:t>
              </m:r>
              <m:r>
                <m:rPr>
                  <m:sty m:val="p"/>
                </m:rPr>
                <m:t>+</m:t>
              </m:r>
              <m:r>
                <m:t>1</m:t>
              </m:r>
            </m:sub>
            <m:sup>
              <m:r>
                <m:rPr>
                  <m:sty m:val="p"/>
                </m:rPr>
                <m:t>″</m:t>
              </m:r>
            </m:sup>
          </m:sSubSup>
          <m:r>
            <m:rPr>
              <m:sty m:val="p"/>
            </m:rPr>
            <m:t>(</m:t>
          </m:r>
          <m:sSub>
            <m:e>
              <m:r>
                <m:t>t</m:t>
              </m:r>
            </m:e>
            <m:sub>
              <m:r>
                <m:t>i</m:t>
              </m:r>
              <m:r>
                <m:rPr>
                  <m:sty m:val="p"/>
                </m:rPr>
                <m:t>+</m:t>
              </m:r>
              <m:r>
                <m:t>1</m:t>
              </m:r>
            </m:sub>
          </m:sSub>
          <m:r>
            <m:rPr>
              <m:sty m:val="p"/>
            </m:rPr>
            <m:t>)</m:t>
          </m:r>
        </m:oMath>
      </m:oMathPara>
    </w:p>
    <w:p>
      <w:pPr>
        <w:pStyle w:val="FirstParagraph"/>
      </w:pPr>
      <w:r>
        <w:rPr>
          <w:lang w:val="es-AR"/>
        </w:rPr>
        <w:t xml:space="preserve">En la trazadora natural los bordes se dejan libres imponiendo derivada segunda nula en los extremos:</w:t>
      </w:r>
    </w:p>
    <w:p>
      <w:pPr>
        <w:pStyle w:val="BodyText"/>
      </w:pPr>
      <m:oMathPara>
        <m:oMathParaPr>
          <m:jc m:val="center"/>
        </m:oMathParaPr>
        <m:oMath>
          <m:sSubSup>
            <m:e>
              <m:r>
                <m:t>S</m:t>
              </m:r>
            </m:e>
            <m:sub>
              <m:r>
                <m:t>0</m:t>
              </m:r>
            </m:sub>
            <m:sup>
              <m:r>
                <m:rPr>
                  <m:sty m:val="p"/>
                </m:rPr>
                <m:t>″</m:t>
              </m:r>
            </m:sup>
          </m:sSubSup>
          <m:r>
            <m:rPr>
              <m:sty m:val="p"/>
            </m:rPr>
            <m:t>(</m:t>
          </m:r>
          <m:sSub>
            <m:e>
              <m:r>
                <m:t>t</m:t>
              </m:r>
            </m:e>
            <m:sub>
              <m:r>
                <m:t>0</m:t>
              </m:r>
            </m:sub>
          </m:sSub>
          <m:r>
            <m:rPr>
              <m:sty m:val="p"/>
            </m:rPr>
            <m:t>)</m:t>
          </m:r>
          <m:r>
            <m:rPr>
              <m:sty m:val="p"/>
            </m:rPr>
            <m:t>=</m:t>
          </m:r>
          <m:sSubSup>
            <m:e>
              <m:r>
                <m:t>S</m:t>
              </m:r>
            </m:e>
            <m:sub>
              <m:r>
                <m:t>n</m:t>
              </m:r>
              <m:r>
                <m:rPr>
                  <m:sty m:val="p"/>
                </m:rPr>
                <m:t>−</m:t>
              </m:r>
              <m:r>
                <m:t>1</m:t>
              </m:r>
            </m:sub>
            <m:sup>
              <m:r>
                <m:rPr>
                  <m:sty m:val="p"/>
                </m:rPr>
                <m:t>″</m:t>
              </m:r>
            </m:sup>
          </m:sSubSup>
          <m:r>
            <m:rPr>
              <m:sty m:val="p"/>
            </m:rPr>
            <m:t>(</m:t>
          </m:r>
          <m:sSub>
            <m:e>
              <m:r>
                <m:t>t</m:t>
              </m:r>
            </m:e>
            <m:sub>
              <m:r>
                <m:t>n</m:t>
              </m:r>
            </m:sub>
          </m:sSub>
          <m:r>
            <m:rPr>
              <m:sty m:val="p"/>
            </m:rPr>
            <m:t>)</m:t>
          </m:r>
          <m:r>
            <m:rPr>
              <m:sty m:val="p"/>
            </m:rPr>
            <m:t>=</m:t>
          </m:r>
          <m:r>
            <m:t>0</m:t>
          </m:r>
        </m:oMath>
      </m:oMathPara>
    </w:p>
    <w:p>
      <w:pPr>
        <w:pStyle w:val="FirstParagraph"/>
      </w:pPr>
      <w:r>
        <w:rPr>
          <w:lang w:val="es-AR"/>
        </w:rPr>
        <w:t xml:space="preserve">Los coeficientes se obtuvieron con el algoritmo de Burden y Faires transcripto en los apuntes. Con</w:t>
      </w:r>
      <w:r>
        <w:rPr>
          <w:lang w:val="es-AR"/>
        </w:rPr>
        <w:t xml:space="preserve"> </w:t>
      </w:r>
      <m:oMath>
        <m:sSub>
          <m:e>
            <m:r>
              <m:t>h</m:t>
            </m:r>
          </m:e>
          <m:sub>
            <m:r>
              <m:t>j</m:t>
            </m:r>
          </m:sub>
        </m:sSub>
        <m:r>
          <m:rPr>
            <m:sty m:val="p"/>
          </m:rPr>
          <m:t>=</m:t>
        </m:r>
        <m:sSub>
          <m:e>
            <m:r>
              <m:t>t</m:t>
            </m:r>
          </m:e>
          <m:sub>
            <m:r>
              <m:t>j</m:t>
            </m:r>
            <m:r>
              <m:rPr>
                <m:sty m:val="p"/>
              </m:rPr>
              <m:t>+</m:t>
            </m:r>
            <m:r>
              <m:t>1</m:t>
            </m:r>
          </m:sub>
        </m:sSub>
        <m:r>
          <m:rPr>
            <m:sty m:val="p"/>
          </m:rPr>
          <m:t>−</m:t>
        </m:r>
        <m:sSub>
          <m:e>
            <m:r>
              <m:t>t</m:t>
            </m:r>
          </m:e>
          <m:sub>
            <m:r>
              <m:t>j</m:t>
            </m:r>
          </m:sub>
        </m:sSub>
        <m:r>
          <m:rPr>
            <m:sty m:val="p"/>
          </m:rPr>
          <m:t>=</m:t>
        </m:r>
        <m:r>
          <m:t>1</m:t>
        </m:r>
      </m:oMath>
      <w:r>
        <w:rPr>
          <w:lang w:val="es-AR"/>
        </w:rPr>
        <w:t xml:space="preserve">, el paso 2 calcula</w:t>
      </w:r>
    </w:p>
    <w:p>
      <w:pPr>
        <w:pStyle w:val="BodyText"/>
      </w:pPr>
      <m:oMathPara>
        <m:oMathParaPr>
          <m:jc m:val="center"/>
        </m:oMathParaPr>
        <m:oMath>
          <m:sSub>
            <m:e>
              <m:r>
                <m:t>α</m:t>
              </m:r>
            </m:e>
            <m:sub>
              <m:r>
                <m:t>j</m:t>
              </m:r>
            </m:sub>
          </m:sSub>
          <m:r>
            <m:rPr>
              <m:sty m:val="p"/>
            </m:rPr>
            <m:t>=</m:t>
          </m:r>
          <m:f>
            <m:fPr>
              <m:type m:val="bar"/>
            </m:fPr>
            <m:num>
              <m:r>
                <m:t>3</m:t>
              </m:r>
            </m:num>
            <m:den>
              <m:sSub>
                <m:e>
                  <m:r>
                    <m:t>h</m:t>
                  </m:r>
                </m:e>
                <m:sub>
                  <m:r>
                    <m:t>j</m:t>
                  </m:r>
                </m:sub>
              </m:sSub>
            </m:den>
          </m:f>
          <m:d>
            <m:dPr>
              <m:begChr m:val="("/>
              <m:sepChr m:val=""/>
              <m:endChr m:val=")"/>
              <m:grow/>
            </m:dPr>
            <m:e>
              <m:sSub>
                <m:e>
                  <m:r>
                    <m:t>a</m:t>
                  </m:r>
                </m:e>
                <m:sub>
                  <m:r>
                    <m:t>j</m:t>
                  </m:r>
                  <m:r>
                    <m:rPr>
                      <m:sty m:val="p"/>
                    </m:rPr>
                    <m:t>+</m:t>
                  </m:r>
                  <m:r>
                    <m:t>1</m:t>
                  </m:r>
                </m:sub>
              </m:sSub>
              <m:r>
                <m:rPr>
                  <m:sty m:val="p"/>
                </m:rPr>
                <m:t>−</m:t>
              </m:r>
              <m:sSub>
                <m:e>
                  <m:r>
                    <m:t>a</m:t>
                  </m:r>
                </m:e>
                <m:sub>
                  <m:r>
                    <m:t>j</m:t>
                  </m:r>
                </m:sub>
              </m:sSub>
            </m:e>
          </m:d>
          <m:r>
            <m:rPr>
              <m:sty m:val="p"/>
            </m:rPr>
            <m:t>−</m:t>
          </m:r>
          <m:f>
            <m:fPr>
              <m:type m:val="bar"/>
            </m:fPr>
            <m:num>
              <m:r>
                <m:t>3</m:t>
              </m:r>
            </m:num>
            <m:den>
              <m:sSub>
                <m:e>
                  <m:r>
                    <m:t>h</m:t>
                  </m:r>
                </m:e>
                <m:sub>
                  <m:r>
                    <m:t>j</m:t>
                  </m:r>
                  <m:r>
                    <m:rPr>
                      <m:sty m:val="p"/>
                    </m:rPr>
                    <m:t>−</m:t>
                  </m:r>
                  <m:r>
                    <m:t>1</m:t>
                  </m:r>
                </m:sub>
              </m:sSub>
            </m:den>
          </m:f>
          <m:d>
            <m:dPr>
              <m:begChr m:val="("/>
              <m:sepChr m:val=""/>
              <m:endChr m:val=")"/>
              <m:grow/>
            </m:dPr>
            <m:e>
              <m:sSub>
                <m:e>
                  <m:r>
                    <m:t>a</m:t>
                  </m:r>
                </m:e>
                <m:sub>
                  <m:r>
                    <m:t>j</m:t>
                  </m:r>
                </m:sub>
              </m:sSub>
              <m:r>
                <m:rPr>
                  <m:sty m:val="p"/>
                </m:rPr>
                <m:t>−</m:t>
              </m:r>
              <m:sSub>
                <m:e>
                  <m:r>
                    <m:t>a</m:t>
                  </m:r>
                </m:e>
                <m:sub>
                  <m:r>
                    <m:t>j</m:t>
                  </m:r>
                  <m:r>
                    <m:rPr>
                      <m:sty m:val="p"/>
                    </m:rPr>
                    <m:t>−</m:t>
                  </m:r>
                  <m:r>
                    <m:t>1</m:t>
                  </m:r>
                </m:sub>
              </m:sSub>
            </m:e>
          </m:d>
          <m:r>
            <m:rPr>
              <m:sty m:val="p"/>
            </m:rPr>
            <m:t>,</m:t>
          </m:r>
          <m:r>
            <m:t>  </m:t>
          </m:r>
          <m:r>
            <m:t>j</m:t>
          </m:r>
          <m:r>
            <m:rPr>
              <m:sty m:val="p"/>
            </m:rPr>
            <m:t>=</m:t>
          </m:r>
          <m:r>
            <m:t>1</m:t>
          </m:r>
          <m:r>
            <m:rPr>
              <m:sty m:val="p"/>
            </m:rPr>
            <m:t>,</m:t>
          </m:r>
          <m:r>
            <m:rPr>
              <m:sty m:val="p"/>
            </m:rPr>
            <m:t>…</m:t>
          </m:r>
          <m:r>
            <m:rPr>
              <m:sty m:val="p"/>
            </m:rPr>
            <m:t>,</m:t>
          </m:r>
          <m:r>
            <m:t>n</m:t>
          </m:r>
          <m:r>
            <m:rPr>
              <m:sty m:val="p"/>
            </m:rPr>
            <m:t>−</m:t>
          </m:r>
          <m:r>
            <m:t>1</m:t>
          </m:r>
        </m:oMath>
      </m:oMathPara>
    </w:p>
    <w:p>
      <w:pPr>
        <w:pStyle w:val="FirstParagraph"/>
      </w:pPr>
      <w:r>
        <w:rPr>
          <w:lang w:val="es-AR"/>
        </w:rPr>
        <w:t xml:space="preserve">Los pasos 3 a 5 resuelven el sistema tridiagonal resultante:</w:t>
      </w:r>
    </w:p>
    <w:p>
      <w:pPr>
        <w:pStyle w:val="BodyText"/>
      </w:pPr>
      <m:oMathPara>
        <m:oMathParaPr>
          <m:jc m:val="center"/>
        </m:oMathParaPr>
        <m:oMath>
          <m:sSub>
            <m:e>
              <m:r>
                <m:t>l</m:t>
              </m:r>
            </m:e>
            <m:sub>
              <m:r>
                <m:t>j</m:t>
              </m:r>
            </m:sub>
          </m:sSub>
          <m:r>
            <m:rPr>
              <m:sty m:val="p"/>
            </m:rPr>
            <m:t>=</m:t>
          </m:r>
          <m:r>
            <m:t>2</m:t>
          </m:r>
          <m:d>
            <m:dPr>
              <m:begChr m:val="("/>
              <m:sepChr m:val=""/>
              <m:endChr m:val=")"/>
              <m:grow/>
            </m:dPr>
            <m:e>
              <m:sSub>
                <m:e>
                  <m:r>
                    <m:t>t</m:t>
                  </m:r>
                </m:e>
                <m:sub>
                  <m:r>
                    <m:t>j</m:t>
                  </m:r>
                  <m:r>
                    <m:rPr>
                      <m:sty m:val="p"/>
                    </m:rPr>
                    <m:t>+</m:t>
                  </m:r>
                  <m:r>
                    <m:t>1</m:t>
                  </m:r>
                </m:sub>
              </m:sSub>
              <m:r>
                <m:rPr>
                  <m:sty m:val="p"/>
                </m:rPr>
                <m:t>−</m:t>
              </m:r>
              <m:sSub>
                <m:e>
                  <m:r>
                    <m:t>t</m:t>
                  </m:r>
                </m:e>
                <m:sub>
                  <m:r>
                    <m:t>j</m:t>
                  </m:r>
                  <m:r>
                    <m:rPr>
                      <m:sty m:val="p"/>
                    </m:rPr>
                    <m:t>−</m:t>
                  </m:r>
                  <m:r>
                    <m:t>1</m:t>
                  </m:r>
                </m:sub>
              </m:sSub>
            </m:e>
          </m:d>
          <m:r>
            <m:rPr>
              <m:sty m:val="p"/>
            </m:rPr>
            <m:t>−</m:t>
          </m:r>
          <m:sSub>
            <m:e>
              <m:r>
                <m:t>h</m:t>
              </m:r>
            </m:e>
            <m:sub>
              <m:r>
                <m:t>j</m:t>
              </m:r>
              <m:r>
                <m:rPr>
                  <m:sty m:val="p"/>
                </m:rPr>
                <m:t>−</m:t>
              </m:r>
              <m:r>
                <m:t>1</m:t>
              </m:r>
            </m:sub>
          </m:sSub>
          <m:r>
            <m:t> </m:t>
          </m:r>
          <m:sSub>
            <m:e>
              <m:r>
                <m:t>μ</m:t>
              </m:r>
            </m:e>
            <m:sub>
              <m:r>
                <m:t>j</m:t>
              </m:r>
              <m:r>
                <m:rPr>
                  <m:sty m:val="p"/>
                </m:rPr>
                <m:t>−</m:t>
              </m:r>
              <m:r>
                <m:t>1</m:t>
              </m:r>
            </m:sub>
          </m:sSub>
          <m:r>
            <m:rPr>
              <m:sty m:val="p"/>
            </m:rPr>
            <m:t>,</m:t>
          </m:r>
          <m:r>
            <m:t>  </m:t>
          </m:r>
          <m:sSub>
            <m:e>
              <m:r>
                <m:t>μ</m:t>
              </m:r>
            </m:e>
            <m:sub>
              <m:r>
                <m:t>j</m:t>
              </m:r>
            </m:sub>
          </m:sSub>
          <m:r>
            <m:rPr>
              <m:sty m:val="p"/>
            </m:rPr>
            <m:t>=</m:t>
          </m:r>
          <m:f>
            <m:fPr>
              <m:type m:val="bar"/>
            </m:fPr>
            <m:num>
              <m:sSub>
                <m:e>
                  <m:r>
                    <m:t>h</m:t>
                  </m:r>
                </m:e>
                <m:sub>
                  <m:r>
                    <m:t>j</m:t>
                  </m:r>
                </m:sub>
              </m:sSub>
            </m:num>
            <m:den>
              <m:sSub>
                <m:e>
                  <m:r>
                    <m:t>l</m:t>
                  </m:r>
                </m:e>
                <m:sub>
                  <m:r>
                    <m:t>j</m:t>
                  </m:r>
                </m:sub>
              </m:sSub>
            </m:den>
          </m:f>
          <m:r>
            <m:rPr>
              <m:sty m:val="p"/>
            </m:rPr>
            <m:t>,</m:t>
          </m:r>
          <m:r>
            <m:t>  </m:t>
          </m:r>
          <m:sSub>
            <m:e>
              <m:r>
                <m:t>z</m:t>
              </m:r>
            </m:e>
            <m:sub>
              <m:r>
                <m:t>j</m:t>
              </m:r>
            </m:sub>
          </m:sSub>
          <m:r>
            <m:rPr>
              <m:sty m:val="p"/>
            </m:rPr>
            <m:t>=</m:t>
          </m:r>
          <m:f>
            <m:fPr>
              <m:type m:val="bar"/>
            </m:fPr>
            <m:num>
              <m:sSub>
                <m:e>
                  <m:r>
                    <m:t>α</m:t>
                  </m:r>
                </m:e>
                <m:sub>
                  <m:r>
                    <m:t>j</m:t>
                  </m:r>
                </m:sub>
              </m:sSub>
              <m:r>
                <m:rPr>
                  <m:sty m:val="p"/>
                </m:rPr>
                <m:t>−</m:t>
              </m:r>
              <m:sSub>
                <m:e>
                  <m:r>
                    <m:t>h</m:t>
                  </m:r>
                </m:e>
                <m:sub>
                  <m:r>
                    <m:t>j</m:t>
                  </m:r>
                  <m:r>
                    <m:rPr>
                      <m:sty m:val="p"/>
                    </m:rPr>
                    <m:t>−</m:t>
                  </m:r>
                  <m:r>
                    <m:t>1</m:t>
                  </m:r>
                </m:sub>
              </m:sSub>
              <m:r>
                <m:t> </m:t>
              </m:r>
              <m:sSub>
                <m:e>
                  <m:r>
                    <m:t>z</m:t>
                  </m:r>
                </m:e>
                <m:sub>
                  <m:r>
                    <m:t>j</m:t>
                  </m:r>
                  <m:r>
                    <m:rPr>
                      <m:sty m:val="p"/>
                    </m:rPr>
                    <m:t>−</m:t>
                  </m:r>
                  <m:r>
                    <m:t>1</m:t>
                  </m:r>
                </m:sub>
              </m:sSub>
            </m:num>
            <m:den>
              <m:sSub>
                <m:e>
                  <m:r>
                    <m:t>l</m:t>
                  </m:r>
                </m:e>
                <m:sub>
                  <m:r>
                    <m:t>j</m:t>
                  </m:r>
                </m:sub>
              </m:sSub>
            </m:den>
          </m:f>
        </m:oMath>
      </m:oMathPara>
    </w:p>
    <w:p>
      <w:pPr>
        <w:pStyle w:val="FirstParagraph"/>
      </w:pPr>
      <w:r>
        <w:rPr>
          <w:lang w:val="es-AR"/>
        </w:rPr>
        <w:t xml:space="preserve">Por último, el paso 6 obtiene por sustitución hacia atrás</w:t>
      </w:r>
    </w:p>
    <w:p>
      <w:pPr>
        <w:pStyle w:val="BodyText"/>
      </w:pPr>
      <m:oMathPara>
        <m:oMathParaPr>
          <m:jc m:val="center"/>
        </m:oMathParaPr>
        <m:oMath>
          <m:sSub>
            <m:e>
              <m:r>
                <m:t>c</m:t>
              </m:r>
            </m:e>
            <m:sub>
              <m:r>
                <m:t>i</m:t>
              </m:r>
            </m:sub>
          </m:sSub>
          <m:r>
            <m:rPr>
              <m:sty m:val="p"/>
            </m:rPr>
            <m:t>=</m:t>
          </m:r>
          <m:sSub>
            <m:e>
              <m:r>
                <m:t>z</m:t>
              </m:r>
            </m:e>
            <m:sub>
              <m:r>
                <m:t>i</m:t>
              </m:r>
            </m:sub>
          </m:sSub>
          <m:r>
            <m:rPr>
              <m:sty m:val="p"/>
            </m:rPr>
            <m:t>−</m:t>
          </m:r>
          <m:sSub>
            <m:e>
              <m:r>
                <m:t>μ</m:t>
              </m:r>
            </m:e>
            <m:sub>
              <m:r>
                <m:t>i</m:t>
              </m:r>
            </m:sub>
          </m:sSub>
          <m:r>
            <m:t> </m:t>
          </m:r>
          <m:sSub>
            <m:e>
              <m:r>
                <m:t>c</m:t>
              </m:r>
            </m:e>
            <m:sub>
              <m:r>
                <m:t>i</m:t>
              </m:r>
              <m:r>
                <m:rPr>
                  <m:sty m:val="p"/>
                </m:rPr>
                <m:t>+</m:t>
              </m:r>
              <m:r>
                <m:t>1</m:t>
              </m:r>
            </m:sub>
          </m:sSub>
          <m:r>
            <m:rPr>
              <m:sty m:val="p"/>
            </m:rPr>
            <m:t>,</m:t>
          </m:r>
          <m:r>
            <m:t>  </m:t>
          </m:r>
          <m:sSub>
            <m:e>
              <m:r>
                <m:t>b</m:t>
              </m:r>
            </m:e>
            <m:sub>
              <m:r>
                <m:t>i</m:t>
              </m:r>
            </m:sub>
          </m:sSub>
          <m:r>
            <m:rPr>
              <m:sty m:val="p"/>
            </m:rPr>
            <m:t>=</m:t>
          </m:r>
          <m:f>
            <m:fPr>
              <m:type m:val="bar"/>
            </m:fPr>
            <m:num>
              <m:sSub>
                <m:e>
                  <m:r>
                    <m:t>a</m:t>
                  </m:r>
                </m:e>
                <m:sub>
                  <m:r>
                    <m:t>i</m:t>
                  </m:r>
                  <m:r>
                    <m:rPr>
                      <m:sty m:val="p"/>
                    </m:rPr>
                    <m:t>+</m:t>
                  </m:r>
                  <m:r>
                    <m:t>1</m:t>
                  </m:r>
                </m:sub>
              </m:sSub>
              <m:r>
                <m:rPr>
                  <m:sty m:val="p"/>
                </m:rPr>
                <m:t>−</m:t>
              </m:r>
              <m:sSub>
                <m:e>
                  <m:r>
                    <m:t>a</m:t>
                  </m:r>
                </m:e>
                <m:sub>
                  <m:r>
                    <m:t>i</m:t>
                  </m:r>
                </m:sub>
              </m:sSub>
            </m:num>
            <m:den>
              <m:sSub>
                <m:e>
                  <m:r>
                    <m:t>h</m:t>
                  </m:r>
                </m:e>
                <m:sub>
                  <m:r>
                    <m:t>i</m:t>
                  </m:r>
                </m:sub>
              </m:sSub>
            </m:den>
          </m:f>
          <m:r>
            <m:rPr>
              <m:sty m:val="p"/>
            </m:rPr>
            <m:t>−</m:t>
          </m:r>
          <m:f>
            <m:fPr>
              <m:type m:val="bar"/>
            </m:fPr>
            <m:num>
              <m:sSub>
                <m:e>
                  <m:r>
                    <m:t>h</m:t>
                  </m:r>
                </m:e>
                <m:sub>
                  <m:r>
                    <m:t>i</m:t>
                  </m:r>
                </m:sub>
              </m:sSub>
              <m:d>
                <m:dPr>
                  <m:begChr m:val="("/>
                  <m:sepChr m:val=""/>
                  <m:endChr m:val=")"/>
                  <m:grow/>
                </m:dPr>
                <m:e>
                  <m:sSub>
                    <m:e>
                      <m:r>
                        <m:t>c</m:t>
                      </m:r>
                    </m:e>
                    <m:sub>
                      <m:r>
                        <m:t>i</m:t>
                      </m:r>
                      <m:r>
                        <m:rPr>
                          <m:sty m:val="p"/>
                        </m:rPr>
                        <m:t>+</m:t>
                      </m:r>
                      <m:r>
                        <m:t>1</m:t>
                      </m:r>
                    </m:sub>
                  </m:sSub>
                  <m:r>
                    <m:rPr>
                      <m:sty m:val="p"/>
                    </m:rPr>
                    <m:t>+</m:t>
                  </m:r>
                  <m:r>
                    <m:t>2</m:t>
                  </m:r>
                  <m:sSub>
                    <m:e>
                      <m:r>
                        <m:t>c</m:t>
                      </m:r>
                    </m:e>
                    <m:sub>
                      <m:r>
                        <m:t>i</m:t>
                      </m:r>
                    </m:sub>
                  </m:sSub>
                </m:e>
              </m:d>
            </m:num>
            <m:den>
              <m:r>
                <m:t>3</m:t>
              </m:r>
            </m:den>
          </m:f>
          <m:r>
            <m:rPr>
              <m:sty m:val="p"/>
            </m:rPr>
            <m:t>,</m:t>
          </m:r>
          <m:r>
            <m:t>  </m:t>
          </m:r>
          <m:sSub>
            <m:e>
              <m:r>
                <m:t>d</m:t>
              </m:r>
            </m:e>
            <m:sub>
              <m:r>
                <m:t>i</m:t>
              </m:r>
            </m:sub>
          </m:sSub>
          <m:r>
            <m:rPr>
              <m:sty m:val="p"/>
            </m:rPr>
            <m:t>=</m:t>
          </m:r>
          <m:f>
            <m:fPr>
              <m:type m:val="bar"/>
            </m:fPr>
            <m:num>
              <m:sSub>
                <m:e>
                  <m:r>
                    <m:t>c</m:t>
                  </m:r>
                </m:e>
                <m:sub>
                  <m:r>
                    <m:t>i</m:t>
                  </m:r>
                  <m:r>
                    <m:rPr>
                      <m:sty m:val="p"/>
                    </m:rPr>
                    <m:t>+</m:t>
                  </m:r>
                  <m:r>
                    <m:t>1</m:t>
                  </m:r>
                </m:sub>
              </m:sSub>
              <m:r>
                <m:rPr>
                  <m:sty m:val="p"/>
                </m:rPr>
                <m:t>−</m:t>
              </m:r>
              <m:sSub>
                <m:e>
                  <m:r>
                    <m:t>c</m:t>
                  </m:r>
                </m:e>
                <m:sub>
                  <m:r>
                    <m:t>i</m:t>
                  </m:r>
                </m:sub>
              </m:sSub>
            </m:num>
            <m:den>
              <m:r>
                <m:t>3</m:t>
              </m:r>
              <m:sSub>
                <m:e>
                  <m:r>
                    <m:t>h</m:t>
                  </m:r>
                </m:e>
                <m:sub>
                  <m:r>
                    <m:t>i</m:t>
                  </m:r>
                </m:sub>
              </m:sSub>
            </m:den>
          </m:f>
        </m:oMath>
      </m:oMathPara>
    </w:p>
    <w:p>
      <w:pPr>
        <w:pStyle w:val="FirstParagraph"/>
      </w:pPr>
      <w:r>
        <w:rPr>
          <w:lang w:val="es-AR"/>
        </w:rPr>
        <w:t xml:space="preserve">A modo de ejemplo, el tramo</w:t>
      </w:r>
      <w:r>
        <w:rPr>
          <w:lang w:val="es-AR"/>
        </w:rPr>
        <w:t xml:space="preserve"> </w:t>
      </w:r>
      <m:oMath>
        <m:r>
          <m:rPr>
            <m:sty m:val="p"/>
          </m:rPr>
          <m:t>[</m:t>
        </m:r>
        <m:r>
          <m:t>35</m:t>
        </m:r>
        <m:r>
          <m:rPr>
            <m:sty m:val="p"/>
          </m:rPr>
          <m:t>;</m:t>
        </m:r>
        <m:r>
          <m:t>36</m:t>
        </m:r>
        <m:r>
          <m:rPr>
            <m:sty m:val="p"/>
          </m:rPr>
          <m:t>]</m:t>
        </m:r>
      </m:oMath>
      <w:r>
        <w:rPr>
          <w:lang w:val="es-AR"/>
        </w:rPr>
        <w:t xml:space="preserve">, que contiene el cruce de los 100 millones, resulta:</w:t>
      </w:r>
    </w:p>
    <w:p>
      <w:pPr>
        <w:pStyle w:val="BodyText"/>
      </w:pPr>
      <m:oMathPara>
        <m:oMathParaPr>
          <m:jc m:val="center"/>
        </m:oMathParaPr>
        <m:oMath>
          <m:sSub>
            <m:e>
              <m:r>
                <m:t>S</m:t>
              </m:r>
            </m:e>
            <m:sub>
              <m:r>
                <m:t>35</m:t>
              </m:r>
            </m:sub>
          </m:sSub>
          <m:r>
            <m:rPr>
              <m:sty m:val="p"/>
            </m:rPr>
            <m:t>(</m:t>
          </m:r>
          <m:r>
            <m:t>t</m:t>
          </m:r>
          <m:r>
            <m:rPr>
              <m:sty m:val="p"/>
            </m:rPr>
            <m:t>)</m:t>
          </m:r>
          <m:r>
            <m:rPr>
              <m:sty m:val="p"/>
            </m:rPr>
            <m:t>=</m:t>
          </m:r>
          <m:r>
            <m:t>99</m:t>
          </m:r>
          <m:r>
            <m:rPr>
              <m:sty m:val="p"/>
            </m:rPr>
            <m:t>,</m:t>
          </m:r>
          <m:r>
            <m:t>6022</m:t>
          </m:r>
          <m:r>
            <m:rPr>
              <m:sty m:val="p"/>
            </m:rPr>
            <m:t>+</m:t>
          </m:r>
          <m:r>
            <m:t>3</m:t>
          </m:r>
          <m:r>
            <m:rPr>
              <m:sty m:val="p"/>
            </m:rPr>
            <m:t>,</m:t>
          </m:r>
          <m:r>
            <m:t>204511</m:t>
          </m:r>
          <m:r>
            <m:t> </m:t>
          </m:r>
          <m:r>
            <m:rPr>
              <m:sty m:val="p"/>
            </m:rPr>
            <m:t>(</m:t>
          </m:r>
          <m:r>
            <m:t>t</m:t>
          </m:r>
          <m:r>
            <m:rPr>
              <m:sty m:val="p"/>
            </m:rPr>
            <m:t>−</m:t>
          </m:r>
          <m:r>
            <m:t>35</m:t>
          </m:r>
          <m:r>
            <m:rPr>
              <m:sty m:val="p"/>
            </m:rPr>
            <m:t>)</m:t>
          </m:r>
          <m:r>
            <m:rPr>
              <m:sty m:val="p"/>
            </m:rPr>
            <m:t>−</m:t>
          </m:r>
          <m:r>
            <m:t>0</m:t>
          </m:r>
          <m:r>
            <m:rPr>
              <m:sty m:val="p"/>
            </m:rPr>
            <m:t>,</m:t>
          </m:r>
          <m:r>
            <m:t>057865</m:t>
          </m:r>
          <m:r>
            <m:t> </m:t>
          </m:r>
          <m:r>
            <m:rPr>
              <m:sty m:val="p"/>
            </m:rPr>
            <m:t>(</m:t>
          </m:r>
          <m:r>
            <m:t>t</m:t>
          </m:r>
          <m:r>
            <m:rPr>
              <m:sty m:val="p"/>
            </m:rPr>
            <m:t>−</m:t>
          </m:r>
          <m:r>
            <m:t>35</m:t>
          </m:r>
          <m:sSup>
            <m:e>
              <m:r>
                <m:rPr>
                  <m:sty m:val="p"/>
                </m:rPr>
                <m:t>)</m:t>
              </m:r>
            </m:e>
            <m:sup>
              <m:r>
                <m:t>2</m:t>
              </m:r>
            </m:sup>
          </m:sSup>
          <m:r>
            <m:rPr>
              <m:sty m:val="p"/>
            </m:rPr>
            <m:t>−</m:t>
          </m:r>
          <m:r>
            <m:t>0</m:t>
          </m:r>
          <m:r>
            <m:rPr>
              <m:sty m:val="p"/>
            </m:rPr>
            <m:t>,</m:t>
          </m:r>
          <m:r>
            <m:t>010708</m:t>
          </m:r>
          <m:r>
            <m:t> </m:t>
          </m:r>
          <m:r>
            <m:rPr>
              <m:sty m:val="p"/>
            </m:rPr>
            <m:t>(</m:t>
          </m:r>
          <m:r>
            <m:t>t</m:t>
          </m:r>
          <m:r>
            <m:rPr>
              <m:sty m:val="p"/>
            </m:rPr>
            <m:t>−</m:t>
          </m:r>
          <m:r>
            <m:t>35</m:t>
          </m:r>
          <m:sSup>
            <m:e>
              <m:r>
                <m:rPr>
                  <m:sty m:val="p"/>
                </m:rPr>
                <m:t>)</m:t>
              </m:r>
            </m:e>
            <m:sup>
              <m:r>
                <m:t>3</m:t>
              </m:r>
            </m:sup>
          </m:sSup>
        </m:oMath>
      </m:oMathPara>
    </w:p>
    <w:p>
      <w:pPr>
        <w:pStyle w:val="FirstParagraph"/>
      </w:pPr>
      <w:r>
        <w:rPr>
          <w:lang w:val="es-AR"/>
        </w:rPr>
        <w:t xml:space="preserve">La Figura 1 compara ambos modelos con los datos.</w:t>
      </w:r>
    </w:p>
    <w:p>
      <w:pPr>
        <w:pStyle w:val="CaptionedFigure"/>
      </w:pPr>
      <w:r>
        <w:drawing>
          <wp:inline>
            <wp:extent cx="5334000" cy="3200400"/>
            <wp:effectExtent b="0" l="0" r="0" t="0"/>
            <wp:docPr descr="Figura 1. Reproducciones acumuladas de «Rosa Pastel» en Spotify México, regresión polinomial de grado 3, trazadora cúbica natural y raíces de f(t) = S(t) - 100 obtenidas con cada modelo." title="" id="25" name="Picture"/>
            <a:graphic>
              <a:graphicData uri="http://schemas.openxmlformats.org/drawingml/2006/picture">
                <pic:pic>
                  <pic:nvPicPr>
                    <pic:cNvPr descr="img/grafico_1_ajuste_curva_streams.png" id="26" name="Picture"/>
                    <pic:cNvPicPr>
                      <a:picLocks noChangeArrowheads="1" noChangeAspect="1"/>
                    </pic:cNvPicPr>
                  </pic:nvPicPr>
                  <pic:blipFill>
                    <a:blip r:embed="rId24"/>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lang w:val="es-AR"/>
        </w:rPr>
        <w:t xml:space="preserve">Figura 1. Reproducciones acumuladas de «Rosa Pastel» en Spotify México, regresión polinomial de grado 3, trazadora cúbica natural y raíces de</w:t>
      </w:r>
      <w:r>
        <w:rPr>
          <w:lang w:val="es-AR"/>
        </w:rPr>
        <w:t xml:space="preserve"> </w:t>
      </w:r>
      <m:oMath>
        <m:r>
          <m:t>f</m:t>
        </m:r>
        <m:r>
          <m:rPr>
            <m:sty m:val="p"/>
          </m:rPr>
          <m:t>(</m:t>
        </m:r>
        <m:r>
          <m:t>t</m:t>
        </m:r>
        <m:r>
          <m:rPr>
            <m:sty m:val="p"/>
          </m:rPr>
          <m:t>)</m:t>
        </m:r>
        <m:r>
          <m:rPr>
            <m:sty m:val="p"/>
          </m:rPr>
          <m:t>=</m:t>
        </m:r>
        <m:r>
          <m:t>S</m:t>
        </m:r>
        <m:r>
          <m:rPr>
            <m:sty m:val="p"/>
          </m:rPr>
          <m:t>(</m:t>
        </m:r>
        <m:r>
          <m:t>t</m:t>
        </m:r>
        <m:r>
          <m:rPr>
            <m:sty m:val="p"/>
          </m:rPr>
          <m:t>)</m:t>
        </m:r>
        <m:r>
          <m:rPr>
            <m:sty m:val="p"/>
          </m:rPr>
          <m:t>−</m:t>
        </m:r>
        <m:r>
          <m:t>100</m:t>
        </m:r>
      </m:oMath>
      <w:r>
        <w:rPr>
          <w:lang w:val="es-AR"/>
        </w:rPr>
        <w:t xml:space="preserve"> </w:t>
      </w:r>
      <w:r>
        <w:rPr>
          <w:lang w:val="es-AR"/>
        </w:rPr>
        <w:t xml:space="preserve">obtenidas con cada modelo.</w:t>
      </w:r>
    </w:p>
    <w:bookmarkEnd w:id="27"/>
    <w:bookmarkEnd w:id="28"/>
    <w:bookmarkStart w:id="37" w:name="X4968d1847c8d8a9fc7ae02015d177c8f7a484d9"/>
    <w:p>
      <w:pPr>
        <w:pStyle w:val="Heading2"/>
      </w:pPr>
      <w:r>
        <w:rPr>
          <w:lang w:val="es-AR"/>
        </w:rPr>
        <w:t xml:space="preserve">3.2. Búsqueda de raíces: instante en que se superan los 100 millones</w:t>
      </w:r>
    </w:p>
    <w:bookmarkStart w:id="29" w:name="planteo-de-la-ecuación"/>
    <w:p>
      <w:pPr>
        <w:pStyle w:val="Heading3"/>
      </w:pPr>
      <w:r>
        <w:rPr>
          <w:lang w:val="es-AR"/>
        </w:rPr>
        <w:t xml:space="preserve">3.2.1. Planteo de la ecuación</w:t>
      </w:r>
    </w:p>
    <w:p>
      <w:pPr>
        <w:pStyle w:val="FirstParagraph"/>
      </w:pPr>
      <w:r>
        <w:rPr>
          <w:lang w:val="es-AR"/>
        </w:rPr>
        <w:t xml:space="preserve">Sobre el modelo de regresión, el instante buscado es la raíz de</w:t>
      </w:r>
    </w:p>
    <w:p>
      <w:pPr>
        <w:pStyle w:val="BodyText"/>
      </w:pPr>
      <m:oMathPara>
        <m:oMathParaPr>
          <m:jc m:val="center"/>
        </m:oMathParaPr>
        <m:oMath>
          <m:r>
            <m:t>f</m:t>
          </m:r>
          <m:r>
            <m:rPr>
              <m:sty m:val="p"/>
            </m:rPr>
            <m:t>(</m:t>
          </m:r>
          <m:r>
            <m:t>t</m:t>
          </m:r>
          <m:r>
            <m:rPr>
              <m:sty m:val="p"/>
            </m:rPr>
            <m:t>)</m:t>
          </m:r>
          <m:r>
            <m:rPr>
              <m:sty m:val="p"/>
            </m:rPr>
            <m:t>=</m:t>
          </m:r>
          <m:acc>
            <m:accPr>
              <m:chr m:val="̂"/>
            </m:accPr>
            <m:e>
              <m:r>
                <m:t>S</m:t>
              </m:r>
            </m:e>
          </m:acc>
          <m:r>
            <m:rPr>
              <m:sty m:val="p"/>
            </m:rPr>
            <m:t>(</m:t>
          </m:r>
          <m:r>
            <m:t>t</m:t>
          </m:r>
          <m:r>
            <m:rPr>
              <m:sty m:val="p"/>
            </m:rPr>
            <m:t>)</m:t>
          </m:r>
          <m:r>
            <m:rPr>
              <m:sty m:val="p"/>
            </m:rPr>
            <m:t>−</m:t>
          </m:r>
          <m:r>
            <m:t>100</m:t>
          </m:r>
          <m:r>
            <m:rPr>
              <m:sty m:val="p"/>
            </m:rPr>
            <m:t>=</m:t>
          </m:r>
          <m:r>
            <m:rPr>
              <m:sty m:val="p"/>
            </m:rPr>
            <m:t>−</m:t>
          </m:r>
          <m:r>
            <m:t>0</m:t>
          </m:r>
          <m:r>
            <m:rPr>
              <m:sty m:val="p"/>
            </m:rPr>
            <m:t>,</m:t>
          </m:r>
          <m:r>
            <m:t>000839</m:t>
          </m:r>
          <m:r>
            <m:t> </m:t>
          </m:r>
          <m:sSup>
            <m:e>
              <m:r>
                <m:t>t</m:t>
              </m:r>
            </m:e>
            <m:sup>
              <m:r>
                <m:t>3</m:t>
              </m:r>
            </m:sup>
          </m:sSup>
          <m:r>
            <m:rPr>
              <m:sty m:val="p"/>
            </m:rPr>
            <m:t>+</m:t>
          </m:r>
          <m:r>
            <m:t>0</m:t>
          </m:r>
          <m:r>
            <m:rPr>
              <m:sty m:val="p"/>
            </m:rPr>
            <m:t>,</m:t>
          </m:r>
          <m:r>
            <m:t>076977</m:t>
          </m:r>
          <m:r>
            <m:t> </m:t>
          </m:r>
          <m:sSup>
            <m:e>
              <m:r>
                <m:t>t</m:t>
              </m:r>
            </m:e>
            <m:sup>
              <m:r>
                <m:t>2</m:t>
              </m:r>
            </m:sup>
          </m:sSup>
          <m:r>
            <m:rPr>
              <m:sty m:val="p"/>
            </m:rPr>
            <m:t>+</m:t>
          </m:r>
          <m:r>
            <m:t>1</m:t>
          </m:r>
          <m:r>
            <m:rPr>
              <m:sty m:val="p"/>
            </m:rPr>
            <m:t>,</m:t>
          </m:r>
          <m:r>
            <m:t>081162</m:t>
          </m:r>
          <m:r>
            <m:t> </m:t>
          </m:r>
          <m:r>
            <m:t>t</m:t>
          </m:r>
          <m:r>
            <m:rPr>
              <m:sty m:val="p"/>
            </m:rPr>
            <m:t>−</m:t>
          </m:r>
          <m:r>
            <m:t>97</m:t>
          </m:r>
          <m:r>
            <m:rPr>
              <m:sty m:val="p"/>
            </m:rPr>
            <m:t>,</m:t>
          </m:r>
          <m:r>
            <m:t>927102</m:t>
          </m:r>
        </m:oMath>
      </m:oMathPara>
    </w:p>
    <w:p>
      <w:pPr>
        <w:pStyle w:val="FirstParagraph"/>
      </w:pPr>
      <w:r>
        <w:rPr>
          <w:lang w:val="es-AR"/>
        </w:rPr>
        <w:t xml:space="preserve">Se resolvió con dos métodos de naturaleza distinta: el método de Bisección, que es un método cerrado, y el método de Newton-Raphson, que es un método abierto. Ambos se aplicaron con la tolerancia</w:t>
      </w:r>
      <w:r>
        <w:rPr>
          <w:lang w:val="es-AR"/>
        </w:rPr>
        <w:t xml:space="preserve"> </w:t>
      </w:r>
      <m:oMath>
        <m:r>
          <m:t>ε</m:t>
        </m:r>
        <m:r>
          <m:rPr>
            <m:sty m:val="p"/>
          </m:rPr>
          <m:t>=</m:t>
        </m:r>
        <m:sSup>
          <m:e>
            <m:r>
              <m:t>10</m:t>
            </m:r>
          </m:e>
          <m:sup>
            <m:r>
              <m:rPr>
                <m:sty m:val="p"/>
              </m:rPr>
              <m:t>−</m:t>
            </m:r>
            <m:r>
              <m:t>4</m:t>
            </m:r>
          </m:sup>
        </m:sSup>
        <m:r>
          <m:t> </m:t>
        </m:r>
        <m:r>
          <m:rPr>
            <m:sty m:val="p"/>
          </m:rPr>
          <m:t>%</m:t>
        </m:r>
      </m:oMath>
      <w:r>
        <w:rPr>
          <w:lang w:val="es-AR"/>
        </w:rPr>
        <w:t xml:space="preserve"> </w:t>
      </w:r>
      <w:r>
        <w:rPr>
          <w:lang w:val="es-AR"/>
        </w:rPr>
        <w:t xml:space="preserve">definida en la sección 2.4.</w:t>
      </w:r>
    </w:p>
    <w:bookmarkEnd w:id="29"/>
    <w:bookmarkStart w:id="30" w:name="método-de-bisección"/>
    <w:p>
      <w:pPr>
        <w:pStyle w:val="Heading3"/>
      </w:pPr>
      <w:r>
        <w:rPr>
          <w:lang w:val="es-AR"/>
        </w:rPr>
        <w:t xml:space="preserve">3.2.2. Método de Bisección</w:t>
      </w:r>
    </w:p>
    <w:p>
      <w:pPr>
        <w:pStyle w:val="FirstParagraph"/>
      </w:pPr>
      <w:r>
        <w:rPr>
          <w:b/>
          <w:bCs/>
          <w:lang w:val="es-AR"/>
        </w:rPr>
        <w:t xml:space="preserve">Justificación.</w:t>
      </w:r>
      <w:r>
        <w:rPr>
          <w:lang w:val="es-AR"/>
        </w:rPr>
        <w:t xml:space="preserve"> </w:t>
      </w:r>
      <w:r>
        <w:rPr>
          <w:lang w:val="es-AR"/>
        </w:rPr>
        <w:t xml:space="preserve">El método de Bisección (cap. 3.2) solo exige que la función sea continua y cambie de signo en el intervalo; en esas condiciones converge siempre. Por eso es el método más confiable para acotar la raíz.</w:t>
      </w:r>
    </w:p>
    <w:p>
      <w:pPr>
        <w:pStyle w:val="BodyText"/>
      </w:pPr>
      <w:r>
        <w:rPr>
          <w:lang w:val="es-AR"/>
        </w:rPr>
        <w:t xml:space="preserve">El intervalo inicial se tomó de los datos: el acumulado medido pasa de</w:t>
      </w:r>
      <w:r>
        <w:rPr>
          <w:lang w:val="es-AR"/>
        </w:rPr>
        <w:t xml:space="preserve"> </w:t>
      </w:r>
      <m:oMath>
        <m:sSub>
          <m:e>
            <m:r>
              <m:t>S</m:t>
            </m:r>
          </m:e>
          <m:sub>
            <m:r>
              <m:t>35</m:t>
            </m:r>
          </m:sub>
        </m:sSub>
        <m:r>
          <m:rPr>
            <m:sty m:val="p"/>
          </m:rPr>
          <m:t>=</m:t>
        </m:r>
        <m:r>
          <m:t>99</m:t>
        </m:r>
        <m:r>
          <m:rPr>
            <m:sty m:val="p"/>
          </m:rPr>
          <m:t>,</m:t>
        </m:r>
        <m:r>
          <m:t>602</m:t>
        </m:r>
      </m:oMath>
      <w:r>
        <w:rPr>
          <w:lang w:val="es-AR"/>
        </w:rPr>
        <w:t xml:space="preserve"> </w:t>
      </w:r>
      <w:r>
        <w:rPr>
          <w:lang w:val="es-AR"/>
        </w:rPr>
        <w:t xml:space="preserve">M a</w:t>
      </w:r>
      <w:r>
        <w:rPr>
          <w:lang w:val="es-AR"/>
        </w:rPr>
        <w:t xml:space="preserve"> </w:t>
      </w:r>
      <m:oMath>
        <m:sSub>
          <m:e>
            <m:r>
              <m:t>S</m:t>
            </m:r>
          </m:e>
          <m:sub>
            <m:r>
              <m:t>36</m:t>
            </m:r>
          </m:sub>
        </m:sSub>
        <m:r>
          <m:rPr>
            <m:sty m:val="p"/>
          </m:rPr>
          <m:t>=</m:t>
        </m:r>
        <m:r>
          <m:t>102</m:t>
        </m:r>
        <m:r>
          <m:rPr>
            <m:sty m:val="p"/>
          </m:rPr>
          <m:t>,</m:t>
        </m:r>
        <m:r>
          <m:t>738</m:t>
        </m:r>
      </m:oMath>
      <w:r>
        <w:rPr>
          <w:lang w:val="es-AR"/>
        </w:rPr>
        <w:t xml:space="preserve"> </w:t>
      </w:r>
      <w:r>
        <w:rPr>
          <w:lang w:val="es-AR"/>
        </w:rPr>
        <w:t xml:space="preserve">M, por lo que se adoptó</w:t>
      </w:r>
      <w:r>
        <w:rPr>
          <w:lang w:val="es-AR"/>
        </w:rPr>
        <w:t xml:space="preserve"> </w:t>
      </w:r>
      <m:oMath>
        <m:r>
          <m:rPr>
            <m:sty m:val="p"/>
          </m:rPr>
          <m:t>[</m:t>
        </m:r>
        <m:r>
          <m:t>a</m:t>
        </m:r>
        <m:r>
          <m:rPr>
            <m:sty m:val="p"/>
          </m:rPr>
          <m:t>;</m:t>
        </m:r>
        <m:r>
          <m:t>b</m:t>
        </m:r>
        <m:r>
          <m:rPr>
            <m:sty m:val="p"/>
          </m:rPr>
          <m:t>]</m:t>
        </m:r>
        <m:r>
          <m:rPr>
            <m:sty m:val="p"/>
          </m:rPr>
          <m:t>=</m:t>
        </m:r>
        <m:r>
          <m:rPr>
            <m:sty m:val="p"/>
          </m:rPr>
          <m:t>[</m:t>
        </m:r>
        <m:r>
          <m:t>35</m:t>
        </m:r>
        <m:r>
          <m:rPr>
            <m:sty m:val="p"/>
          </m:rPr>
          <m:t>;</m:t>
        </m:r>
        <m:r>
          <m:t>36</m:t>
        </m:r>
        <m:r>
          <m:rPr>
            <m:sty m:val="p"/>
          </m:rPr>
          <m:t>]</m:t>
        </m:r>
      </m:oMath>
      <w:r>
        <w:rPr>
          <w:lang w:val="es-AR"/>
        </w:rPr>
        <w:t xml:space="preserve">. Sobre el modelo se verifica el cambio de signo:</w:t>
      </w:r>
    </w:p>
    <w:p>
      <w:pPr>
        <w:pStyle w:val="BodyText"/>
      </w:pPr>
      <m:oMathPara>
        <m:oMathParaPr>
          <m:jc m:val="center"/>
        </m:oMathParaPr>
        <m:oMath>
          <m:r>
            <m:t>f</m:t>
          </m:r>
          <m:r>
            <m:rPr>
              <m:sty m:val="p"/>
            </m:rPr>
            <m:t>(</m:t>
          </m:r>
          <m:r>
            <m:t>35</m:t>
          </m:r>
          <m:r>
            <m:rPr>
              <m:sty m:val="p"/>
            </m:rPr>
            <m:t>)</m:t>
          </m:r>
          <m:r>
            <m:rPr>
              <m:sty m:val="p"/>
            </m:rPr>
            <m:t>=</m:t>
          </m:r>
          <m:r>
            <m:rPr>
              <m:sty m:val="p"/>
            </m:rPr>
            <m:t>−</m:t>
          </m:r>
          <m:r>
            <m:t>1</m:t>
          </m:r>
          <m:r>
            <m:rPr>
              <m:sty m:val="p"/>
            </m:rPr>
            <m:t>,</m:t>
          </m:r>
          <m:r>
            <m:t>7584</m:t>
          </m:r>
          <m:r>
            <m:rPr>
              <m:sty m:val="p"/>
            </m:rPr>
            <m:t>&lt;</m:t>
          </m:r>
          <m:r>
            <m:t>0</m:t>
          </m:r>
          <m:r>
            <m:rPr>
              <m:sty m:val="p"/>
            </m:rPr>
            <m:t>,</m:t>
          </m:r>
          <m:r>
            <m:t>  </m:t>
          </m:r>
          <m:r>
            <m:t>f</m:t>
          </m:r>
          <m:r>
            <m:rPr>
              <m:sty m:val="p"/>
            </m:rPr>
            <m:t>(</m:t>
          </m:r>
          <m:r>
            <m:t>36</m:t>
          </m:r>
          <m:r>
            <m:rPr>
              <m:sty m:val="p"/>
            </m:rPr>
            <m:t>)</m:t>
          </m:r>
          <m:r>
            <m:rPr>
              <m:sty m:val="p"/>
            </m:rPr>
            <m:t>=</m:t>
          </m:r>
          <m:r>
            <m:t>1</m:t>
          </m:r>
          <m:r>
            <m:rPr>
              <m:sty m:val="p"/>
            </m:rPr>
            <m:t>,</m:t>
          </m:r>
          <m:r>
            <m:t>6162</m:t>
          </m:r>
          <m:r>
            <m:rPr>
              <m:sty m:val="p"/>
            </m:rPr>
            <m:t>&gt;</m:t>
          </m:r>
          <m:r>
            <m:t>0</m:t>
          </m:r>
          <m:r>
            <m:t> </m:t>
          </m:r>
          <m:r>
            <m:rPr>
              <m:sty m:val="p"/>
            </m:rPr>
            <m:t>⇒</m:t>
          </m:r>
          <m:r>
            <m:t> </m:t>
          </m:r>
          <m:r>
            <m:t>f</m:t>
          </m:r>
          <m:r>
            <m:rPr>
              <m:sty m:val="p"/>
            </m:rPr>
            <m:t>(</m:t>
          </m:r>
          <m:r>
            <m:t>35</m:t>
          </m:r>
          <m:r>
            <m:rPr>
              <m:sty m:val="p"/>
            </m:rPr>
            <m:t>)</m:t>
          </m:r>
          <m:r>
            <m:t> </m:t>
          </m:r>
          <m:r>
            <m:t>f</m:t>
          </m:r>
          <m:r>
            <m:rPr>
              <m:sty m:val="p"/>
            </m:rPr>
            <m:t>(</m:t>
          </m:r>
          <m:r>
            <m:t>36</m:t>
          </m:r>
          <m:r>
            <m:rPr>
              <m:sty m:val="p"/>
            </m:rPr>
            <m:t>)</m:t>
          </m:r>
          <m:r>
            <m:rPr>
              <m:sty m:val="p"/>
            </m:rPr>
            <m:t>&lt;</m:t>
          </m:r>
          <m:r>
            <m:t>0</m:t>
          </m:r>
        </m:oMath>
      </m:oMathPara>
    </w:p>
    <w:p>
      <w:pPr>
        <w:pStyle w:val="FirstParagraph"/>
      </w:pPr>
      <w:r>
        <w:rPr>
          <w:lang w:val="es-AR"/>
        </w:rPr>
        <w:t xml:space="preserve">Como</w:t>
      </w:r>
      <w:r>
        <w:rPr>
          <w:lang w:val="es-AR"/>
        </w:rPr>
        <w:t xml:space="preserve"> </w:t>
      </w:r>
      <m:oMath>
        <m:r>
          <m:t>f</m:t>
        </m:r>
      </m:oMath>
      <w:r>
        <w:rPr>
          <w:lang w:val="es-AR"/>
        </w:rPr>
        <w:t xml:space="preserve"> </w:t>
      </w:r>
      <w:r>
        <w:rPr>
          <w:lang w:val="es-AR"/>
        </w:rPr>
        <w:t xml:space="preserve">es un polinomio, es continua, por lo que existe al menos una raíz en el intervalo. En cada iteración se calcula el punto medio</w:t>
      </w:r>
    </w:p>
    <w:p>
      <w:pPr>
        <w:pStyle w:val="BodyText"/>
      </w:pPr>
      <m:oMathPara>
        <m:oMathParaPr>
          <m:jc m:val="center"/>
        </m:oMathParaPr>
        <m:oMath>
          <m:sSub>
            <m:e>
              <m:r>
                <m:t>x</m:t>
              </m:r>
            </m:e>
            <m:sub>
              <m:r>
                <m:t>r</m:t>
              </m:r>
            </m:sub>
          </m:sSub>
          <m:r>
            <m:rPr>
              <m:sty m:val="p"/>
            </m:rPr>
            <m:t>=</m:t>
          </m:r>
          <m:f>
            <m:fPr>
              <m:type m:val="bar"/>
            </m:fPr>
            <m:num>
              <m:r>
                <m:t>a</m:t>
              </m:r>
              <m:r>
                <m:rPr>
                  <m:sty m:val="p"/>
                </m:rPr>
                <m:t>+</m:t>
              </m:r>
              <m:r>
                <m:t>b</m:t>
              </m:r>
            </m:num>
            <m:den>
              <m:r>
                <m:t>2</m:t>
              </m:r>
            </m:den>
          </m:f>
        </m:oMath>
      </m:oMathPara>
    </w:p>
    <w:p>
      <w:pPr>
        <w:pStyle w:val="FirstParagraph"/>
      </w:pPr>
      <w:r>
        <w:rPr>
          <w:lang w:val="es-AR"/>
        </w:rPr>
        <w:t xml:space="preserve">Si</w:t>
      </w:r>
      <w:r>
        <w:rPr>
          <w:lang w:val="es-AR"/>
        </w:rPr>
        <w:t xml:space="preserve"> </w:t>
      </w:r>
      <m:oMath>
        <m:r>
          <m:t>f</m:t>
        </m:r>
        <m:r>
          <m:rPr>
            <m:sty m:val="p"/>
          </m:rPr>
          <m:t>(</m:t>
        </m:r>
        <m:r>
          <m:t>a</m:t>
        </m:r>
        <m:r>
          <m:rPr>
            <m:sty m:val="p"/>
          </m:rPr>
          <m:t>)</m:t>
        </m:r>
        <m:r>
          <m:t> </m:t>
        </m:r>
        <m:r>
          <m:t>f</m:t>
        </m:r>
        <m:r>
          <m:rPr>
            <m:sty m:val="p"/>
          </m:rPr>
          <m:t>(</m:t>
        </m:r>
        <m:sSub>
          <m:e>
            <m:r>
              <m:t>x</m:t>
            </m:r>
          </m:e>
          <m:sub>
            <m:r>
              <m:t>r</m:t>
            </m:r>
          </m:sub>
        </m:sSub>
        <m:r>
          <m:rPr>
            <m:sty m:val="p"/>
          </m:rPr>
          <m:t>)</m:t>
        </m:r>
        <m:r>
          <m:rPr>
            <m:sty m:val="p"/>
          </m:rPr>
          <m:t>&lt;</m:t>
        </m:r>
        <m:r>
          <m:t>0</m:t>
        </m:r>
      </m:oMath>
      <w:r>
        <w:rPr>
          <w:lang w:val="es-AR"/>
        </w:rPr>
        <w:t xml:space="preserve">, la raíz está en</w:t>
      </w:r>
      <w:r>
        <w:rPr>
          <w:lang w:val="es-AR"/>
        </w:rPr>
        <w:t xml:space="preserve"> </w:t>
      </w:r>
      <m:oMath>
        <m:r>
          <m:rPr>
            <m:sty m:val="p"/>
          </m:rPr>
          <m:t>[</m:t>
        </m:r>
        <m:r>
          <m:t>a</m:t>
        </m:r>
        <m:r>
          <m:rPr>
            <m:sty m:val="p"/>
          </m:rPr>
          <m:t>;</m:t>
        </m:r>
        <m:sSub>
          <m:e>
            <m:r>
              <m:t>x</m:t>
            </m:r>
          </m:e>
          <m:sub>
            <m:r>
              <m:t>r</m:t>
            </m:r>
          </m:sub>
        </m:sSub>
        <m:r>
          <m:rPr>
            <m:sty m:val="p"/>
          </m:rPr>
          <m:t>]</m:t>
        </m:r>
      </m:oMath>
      <w:r>
        <w:rPr>
          <w:lang w:val="es-AR"/>
        </w:rPr>
        <w:t xml:space="preserve"> </w:t>
      </w:r>
      <w:r>
        <w:rPr>
          <w:lang w:val="es-AR"/>
        </w:rPr>
        <w:t xml:space="preserve">y se toma</w:t>
      </w:r>
      <w:r>
        <w:rPr>
          <w:lang w:val="es-AR"/>
        </w:rPr>
        <w:t xml:space="preserve"> </w:t>
      </w:r>
      <m:oMath>
        <m:r>
          <m:t>b</m:t>
        </m:r>
        <m:r>
          <m:rPr>
            <m:sty m:val="p"/>
          </m:rPr>
          <m:t>=</m:t>
        </m:r>
        <m:sSub>
          <m:e>
            <m:r>
              <m:t>x</m:t>
            </m:r>
          </m:e>
          <m:sub>
            <m:r>
              <m:t>r</m:t>
            </m:r>
          </m:sub>
        </m:sSub>
      </m:oMath>
      <w:r>
        <w:rPr>
          <w:lang w:val="es-AR"/>
        </w:rPr>
        <w:t xml:space="preserve">; en caso contrario está en</w:t>
      </w:r>
      <w:r>
        <w:rPr>
          <w:lang w:val="es-AR"/>
        </w:rPr>
        <w:t xml:space="preserve"> </w:t>
      </w:r>
      <m:oMath>
        <m:r>
          <m:rPr>
            <m:sty m:val="p"/>
          </m:rPr>
          <m:t>[</m:t>
        </m:r>
        <m:sSub>
          <m:e>
            <m:r>
              <m:t>x</m:t>
            </m:r>
          </m:e>
          <m:sub>
            <m:r>
              <m:t>r</m:t>
            </m:r>
          </m:sub>
        </m:sSub>
        <m:r>
          <m:rPr>
            <m:sty m:val="p"/>
          </m:rPr>
          <m:t>;</m:t>
        </m:r>
        <m:r>
          <m:t>b</m:t>
        </m:r>
        <m:r>
          <m:rPr>
            <m:sty m:val="p"/>
          </m:rPr>
          <m:t>]</m:t>
        </m:r>
      </m:oMath>
      <w:r>
        <w:rPr>
          <w:lang w:val="es-AR"/>
        </w:rPr>
        <w:t xml:space="preserve"> </w:t>
      </w:r>
      <w:r>
        <w:rPr>
          <w:lang w:val="es-AR"/>
        </w:rPr>
        <w:t xml:space="preserve">y se toma</w:t>
      </w:r>
      <w:r>
        <w:rPr>
          <w:lang w:val="es-AR"/>
        </w:rPr>
        <w:t xml:space="preserve"> </w:t>
      </w:r>
      <m:oMath>
        <m:r>
          <m:t>a</m:t>
        </m:r>
        <m:r>
          <m:rPr>
            <m:sty m:val="p"/>
          </m:rPr>
          <m:t>=</m:t>
        </m:r>
        <m:sSub>
          <m:e>
            <m:r>
              <m:t>x</m:t>
            </m:r>
          </m:e>
          <m:sub>
            <m:r>
              <m:t>r</m:t>
            </m:r>
          </m:sub>
        </m:sSub>
      </m:oMath>
      <w:r>
        <w:rPr>
          <w:lang w:val="es-AR"/>
        </w:rPr>
        <w:t xml:space="preserve">. La Tabla 2 muestra el proceso. En la primera iteración no existe una aproximación previa, por lo que el error no está definido.</w:t>
      </w:r>
    </w:p>
    <w:p>
      <w:pPr>
        <w:pStyle w:val="TableCaption"/>
      </w:pPr>
      <w:r>
        <w:rPr>
          <w:lang w:val="es-AR"/>
        </w:rPr>
        <w:t xml:space="preserve">Tabla 2. Método de Bisección aplicado a</w:t>
      </w:r>
      <w:r>
        <w:rPr>
          <w:lang w:val="es-AR"/>
        </w:rPr>
        <w:t xml:space="preserve"> </w:t>
      </w:r>
      <m:oMath>
        <m:r>
          <m:t>f</m:t>
        </m:r>
        <m:r>
          <m:rPr>
            <m:sty m:val="p"/>
          </m:rPr>
          <m:t>(</m:t>
        </m:r>
        <m:r>
          <m:t>t</m:t>
        </m:r>
        <m:r>
          <m:rPr>
            <m:sty m:val="p"/>
          </m:rPr>
          <m:t>)</m:t>
        </m:r>
        <m:r>
          <m:rPr>
            <m:sty m:val="p"/>
          </m:rPr>
          <m:t>=</m:t>
        </m:r>
        <m:acc>
          <m:accPr>
            <m:chr m:val="̂"/>
          </m:accPr>
          <m:e>
            <m:r>
              <m:t>S</m:t>
            </m:r>
          </m:e>
        </m:acc>
        <m:r>
          <m:rPr>
            <m:sty m:val="p"/>
          </m:rPr>
          <m:t>(</m:t>
        </m:r>
        <m:r>
          <m:t>t</m:t>
        </m:r>
        <m:r>
          <m:rPr>
            <m:sty m:val="p"/>
          </m:rPr>
          <m:t>)</m:t>
        </m:r>
        <m:r>
          <m:rPr>
            <m:sty m:val="p"/>
          </m:rPr>
          <m:t>−</m:t>
        </m:r>
        <m:r>
          <m:t>100</m:t>
        </m:r>
      </m:oMath>
      <w:r>
        <w:rPr>
          <w:lang w:val="es-AR"/>
        </w:rPr>
        <w:t xml:space="preserve"> </w:t>
      </w:r>
      <w:r>
        <w:rPr>
          <w:lang w:val="es-AR"/>
        </w:rPr>
        <w:t xml:space="preserve">en el intervalo</w:t>
      </w:r>
      <w:r>
        <w:rPr>
          <w:lang w:val="es-AR"/>
        </w:rPr>
        <w:t xml:space="preserve"> </w:t>
      </w:r>
      <m:oMath>
        <m:r>
          <m:rPr>
            <m:sty m:val="p"/>
          </m:rPr>
          <m:t>[</m:t>
        </m:r>
        <m:r>
          <m:t>35</m:t>
        </m:r>
        <m:r>
          <m:rPr>
            <m:sty m:val="p"/>
          </m:rPr>
          <m:t>;</m:t>
        </m:r>
        <m:r>
          <m:t>36</m:t>
        </m:r>
        <m:r>
          <m:rPr>
            <m:sty m:val="p"/>
          </m:rPr>
          <m:t>]</m:t>
        </m:r>
      </m:oMath>
      <w:r>
        <w:rPr>
          <w:lang w:val="es-AR"/>
        </w:rPr>
        <w:t xml:space="preserve">.</w:t>
      </w:r>
    </w:p>
    <w:tbl>
      <w:tblPr>
        <w:tblStyle w:val="Table"/>
        <w:tblW w:type="dxa" w:w="8783"/>
        <w:tblLook w:firstRow="1" w:lastRow="0" w:firstColumn="0" w:lastColumn="0" w:noHBand="0" w:noVBand="0" w:val="0020"/>
        <w:tblCaption w:val="Tabla 2. Método de Bisección aplicado a f(t) = \hat S(t) - 100 en el intervalo [35; 36]."/>
      </w:tblPr>
      <w:tblGrid>
        <w:gridCol w:w="373"/>
        <w:gridCol w:w="1028"/>
        <w:gridCol w:w="1028"/>
        <w:gridCol w:w="1028"/>
        <w:gridCol w:w="1028"/>
        <w:gridCol w:w="1121"/>
        <w:gridCol w:w="2056"/>
        <w:gridCol w:w="1121"/>
      </w:tblGrid>
      <w:tr>
        <w:trPr>
          <w:tblHeader w:val="on"/>
        </w:trPr>
        <w:tc>
          <w:tcPr>
            <w:tcW w:type="dxa" w:w="373"/>
          </w:tcPr>
          <w:p>
            <w:pPr>
              <w:pStyle w:val="TableText"/>
              <w:jc w:val="center"/>
            </w:pPr>
            <m:oMath>
              <m:r>
                <m:t>i</m:t>
              </m:r>
            </m:oMath>
            <w:r>
              <w:rPr>
                <w:lang w:val="es-AR"/>
              </w:rPr>
              <w:t xml:space="preserve">​</w:t>
            </w:r>
          </w:p>
        </w:tc>
        <w:tc>
          <w:tcPr>
            <w:tcW w:type="dxa" w:w="1028"/>
          </w:tcPr>
          <w:p>
            <w:pPr>
              <w:pStyle w:val="TableText"/>
              <w:jc w:val="center"/>
            </w:pPr>
            <m:oMath>
              <m:r>
                <m:t>a</m:t>
              </m:r>
            </m:oMath>
            <w:r>
              <w:rPr>
                <w:lang w:val="es-AR"/>
              </w:rPr>
              <w:t xml:space="preserve">​</w:t>
            </w:r>
          </w:p>
        </w:tc>
        <w:tc>
          <w:tcPr>
            <w:tcW w:type="dxa" w:w="1028"/>
          </w:tcPr>
          <w:p>
            <w:pPr>
              <w:pStyle w:val="TableText"/>
              <w:jc w:val="center"/>
            </w:pPr>
            <m:oMath>
              <m:r>
                <m:t>b</m:t>
              </m:r>
            </m:oMath>
            <w:r>
              <w:rPr>
                <w:lang w:val="es-AR"/>
              </w:rPr>
              <w:t xml:space="preserve">​</w:t>
            </w:r>
          </w:p>
        </w:tc>
        <w:tc>
          <w:tcPr>
            <w:tcW w:type="dxa" w:w="1028"/>
          </w:tcPr>
          <w:p>
            <w:pPr>
              <w:pStyle w:val="TableText"/>
              <w:jc w:val="center"/>
            </w:pPr>
            <m:oMath>
              <m:sSub>
                <m:e>
                  <m:r>
                    <m:t>x</m:t>
                  </m:r>
                </m:e>
                <m:sub>
                  <m:r>
                    <m:t>r</m:t>
                  </m:r>
                </m:sub>
              </m:sSub>
            </m:oMath>
            <w:r>
              <w:rPr>
                <w:lang w:val="es-AR"/>
              </w:rPr>
              <w:t xml:space="preserve">​</w:t>
            </w:r>
          </w:p>
        </w:tc>
        <w:tc>
          <w:tcPr>
            <w:tcW w:type="dxa" w:w="1028"/>
          </w:tcPr>
          <w:p>
            <w:pPr>
              <w:pStyle w:val="TableText"/>
              <w:jc w:val="center"/>
            </w:pPr>
            <m:oMath>
              <m:r>
                <m:t>f</m:t>
              </m:r>
              <m:r>
                <m:rPr>
                  <m:sty m:val="p"/>
                </m:rPr>
                <m:t>(</m:t>
              </m:r>
              <m:r>
                <m:t>a</m:t>
              </m:r>
              <m:r>
                <m:rPr>
                  <m:sty m:val="p"/>
                </m:rPr>
                <m:t>)</m:t>
              </m:r>
            </m:oMath>
            <w:r>
              <w:rPr>
                <w:lang w:val="es-AR"/>
              </w:rPr>
              <w:t xml:space="preserve">​</w:t>
            </w:r>
          </w:p>
        </w:tc>
        <w:tc>
          <w:tcPr>
            <w:tcW w:type="dxa" w:w="1121"/>
          </w:tcPr>
          <w:p>
            <w:pPr>
              <w:pStyle w:val="TableText"/>
              <w:jc w:val="center"/>
            </w:pPr>
            <m:oMath>
              <m:r>
                <m:t>f</m:t>
              </m:r>
              <m:r>
                <m:rPr>
                  <m:sty m:val="p"/>
                </m:rPr>
                <m:t>(</m:t>
              </m:r>
              <m:sSub>
                <m:e>
                  <m:r>
                    <m:t>x</m:t>
                  </m:r>
                </m:e>
                <m:sub>
                  <m:r>
                    <m:t>r</m:t>
                  </m:r>
                </m:sub>
              </m:sSub>
              <m:r>
                <m:rPr>
                  <m:sty m:val="p"/>
                </m:rPr>
                <m:t>)</m:t>
              </m:r>
            </m:oMath>
            <w:r>
              <w:rPr>
                <w:lang w:val="es-AR"/>
              </w:rPr>
              <w:t xml:space="preserve">​</w:t>
            </w:r>
          </w:p>
        </w:tc>
        <w:tc>
          <w:tcPr>
            <w:tcW w:type="dxa" w:w="2056"/>
          </w:tcPr>
          <w:p>
            <w:pPr>
              <w:pStyle w:val="TableText"/>
              <w:jc w:val="center"/>
            </w:pPr>
            <m:oMath>
              <m:r>
                <m:t>f</m:t>
              </m:r>
              <m:r>
                <m:rPr>
                  <m:sty m:val="p"/>
                </m:rPr>
                <m:t>(</m:t>
              </m:r>
              <m:r>
                <m:t>a</m:t>
              </m:r>
              <m:r>
                <m:rPr>
                  <m:sty m:val="p"/>
                </m:rPr>
                <m:t>)</m:t>
              </m:r>
              <m:r>
                <m:t> </m:t>
              </m:r>
              <m:r>
                <m:t>f</m:t>
              </m:r>
              <m:r>
                <m:rPr>
                  <m:sty m:val="p"/>
                </m:rPr>
                <m:t>(</m:t>
              </m:r>
              <m:sSub>
                <m:e>
                  <m:r>
                    <m:t>x</m:t>
                  </m:r>
                </m:e>
                <m:sub>
                  <m:r>
                    <m:t>r</m:t>
                  </m:r>
                </m:sub>
              </m:sSub>
              <m:r>
                <m:rPr>
                  <m:sty m:val="p"/>
                </m:rPr>
                <m:t>)</m:t>
              </m:r>
            </m:oMath>
            <w:r>
              <w:rPr>
                <w:lang w:val="es-AR"/>
              </w:rPr>
              <w:t xml:space="preserve">​</w:t>
            </w:r>
          </w:p>
        </w:tc>
        <w:tc>
          <w:tcPr>
            <w:tcW w:type="dxa" w:w="1121"/>
          </w:tcPr>
          <w:p>
            <w:pPr>
              <w:pStyle w:val="TableText"/>
              <w:jc w:val="center"/>
            </w:pPr>
            <m:oMath>
              <m:r>
                <m:rPr>
                  <m:sty m:val="p"/>
                </m:rPr>
                <m:t>|</m:t>
              </m:r>
              <m:sSub>
                <m:e>
                  <m:r>
                    <m:t>E</m:t>
                  </m:r>
                </m:e>
                <m:sub>
                  <m:r>
                    <m:t>r</m:t>
                  </m:r>
                  <m:r>
                    <m:t>a</m:t>
                  </m:r>
                </m:sub>
              </m:sSub>
              <m:r>
                <m:rPr>
                  <m:sty m:val="p"/>
                </m:rPr>
                <m:t>|</m:t>
              </m:r>
            </m:oMath>
            <w:r>
              <w:rPr>
                <w:lang w:val="es-AR"/>
              </w:rPr>
              <w:t xml:space="preserve"> </w:t>
            </w:r>
            <w:r>
              <w:rPr>
                <w:lang w:val="es-AR"/>
              </w:rPr>
              <w:t xml:space="preserve">(%)</w:t>
            </w:r>
          </w:p>
        </w:tc>
      </w:tr>
      <w:tr>
        <w:tc>
          <w:tcPr>
            <w:tcW w:type="dxa" w:w="373"/>
          </w:tcPr>
          <w:p>
            <w:pPr>
              <w:pStyle w:val="TableText"/>
              <w:jc w:val="center"/>
            </w:pPr>
            <w:r>
              <w:rPr>
                <w:lang w:val="es-AR"/>
              </w:rPr>
              <w:t xml:space="preserve">1</w:t>
            </w:r>
          </w:p>
        </w:tc>
        <w:tc>
          <w:tcPr>
            <w:tcW w:type="dxa" w:w="1028"/>
          </w:tcPr>
          <w:p>
            <w:pPr>
              <w:pStyle w:val="TableText"/>
              <w:jc w:val="center"/>
            </w:pPr>
            <w:r>
              <w:rPr>
                <w:lang w:val="es-AR"/>
              </w:rPr>
              <w:t xml:space="preserve">35,000000</w:t>
            </w:r>
          </w:p>
        </w:tc>
        <w:tc>
          <w:tcPr>
            <w:tcW w:type="dxa" w:w="1028"/>
          </w:tcPr>
          <w:p>
            <w:pPr>
              <w:pStyle w:val="TableText"/>
              <w:jc w:val="center"/>
            </w:pPr>
            <w:r>
              <w:rPr>
                <w:lang w:val="es-AR"/>
              </w:rPr>
              <w:t xml:space="preserve">36,000000</w:t>
            </w:r>
          </w:p>
        </w:tc>
        <w:tc>
          <w:tcPr>
            <w:tcW w:type="dxa" w:w="1028"/>
          </w:tcPr>
          <w:p>
            <w:pPr>
              <w:pStyle w:val="TableText"/>
              <w:jc w:val="center"/>
            </w:pPr>
            <w:r>
              <w:rPr>
                <w:lang w:val="es-AR"/>
              </w:rPr>
              <w:t xml:space="preserve">35,500000</w:t>
            </w:r>
          </w:p>
        </w:tc>
        <w:tc>
          <w:tcPr>
            <w:tcW w:type="dxa" w:w="1028"/>
          </w:tcPr>
          <w:p>
            <w:pPr>
              <w:pStyle w:val="TableText"/>
              <w:jc w:val="center"/>
            </w:pPr>
            <w:r>
              <w:rPr>
                <w:lang w:val="es-AR"/>
              </w:rPr>
              <w:t xml:space="preserve">−1,758365</w:t>
            </w:r>
          </w:p>
        </w:tc>
        <w:tc>
          <w:tcPr>
            <w:tcW w:type="dxa" w:w="1121"/>
          </w:tcPr>
          <w:p>
            <w:pPr>
              <w:pStyle w:val="TableText"/>
              <w:jc w:val="center"/>
            </w:pPr>
            <w:r>
              <w:rPr>
                <w:lang w:val="es-AR"/>
              </w:rPr>
              <w:t xml:space="preserve">−0,067989</w:t>
            </w:r>
          </w:p>
        </w:tc>
        <w:tc>
          <w:tcPr>
            <w:tcW w:type="dxa" w:w="2056"/>
          </w:tcPr>
          <w:p>
            <w:pPr>
              <w:pStyle w:val="TableText"/>
              <w:jc w:val="center"/>
            </w:pPr>
            <w:r>
              <w:rPr>
                <w:lang w:val="es-AR"/>
              </w:rPr>
              <w:t xml:space="preserve">&gt; 0</w:t>
            </w:r>
          </w:p>
        </w:tc>
        <w:tc>
          <w:tcPr>
            <w:tcW w:type="dxa" w:w="1121"/>
          </w:tcPr>
          <w:p>
            <w:pPr>
              <w:pStyle w:val="TableText"/>
              <w:jc w:val="center"/>
            </w:pPr>
            <w:r>
              <w:rPr>
                <w:lang w:val="es-AR"/>
              </w:rPr>
              <w:t xml:space="preserve">—</w:t>
            </w:r>
          </w:p>
        </w:tc>
      </w:tr>
      <w:tr>
        <w:tc>
          <w:tcPr>
            <w:tcW w:type="dxa" w:w="373"/>
          </w:tcPr>
          <w:p>
            <w:pPr>
              <w:pStyle w:val="TableText"/>
              <w:jc w:val="center"/>
            </w:pPr>
            <w:r>
              <w:rPr>
                <w:lang w:val="es-AR"/>
              </w:rPr>
              <w:t xml:space="preserve">2</w:t>
            </w:r>
          </w:p>
        </w:tc>
        <w:tc>
          <w:tcPr>
            <w:tcW w:type="dxa" w:w="1028"/>
          </w:tcPr>
          <w:p>
            <w:pPr>
              <w:pStyle w:val="TableText"/>
              <w:jc w:val="center"/>
            </w:pPr>
            <w:r>
              <w:rPr>
                <w:lang w:val="es-AR"/>
              </w:rPr>
              <w:t xml:space="preserve">35,500000</w:t>
            </w:r>
          </w:p>
        </w:tc>
        <w:tc>
          <w:tcPr>
            <w:tcW w:type="dxa" w:w="1028"/>
          </w:tcPr>
          <w:p>
            <w:pPr>
              <w:pStyle w:val="TableText"/>
              <w:jc w:val="center"/>
            </w:pPr>
            <w:r>
              <w:rPr>
                <w:lang w:val="es-AR"/>
              </w:rPr>
              <w:t xml:space="preserve">36,000000</w:t>
            </w:r>
          </w:p>
        </w:tc>
        <w:tc>
          <w:tcPr>
            <w:tcW w:type="dxa" w:w="1028"/>
          </w:tcPr>
          <w:p>
            <w:pPr>
              <w:pStyle w:val="TableText"/>
              <w:jc w:val="center"/>
            </w:pPr>
            <w:r>
              <w:rPr>
                <w:lang w:val="es-AR"/>
              </w:rPr>
              <w:t xml:space="preserve">35,750000</w:t>
            </w:r>
          </w:p>
        </w:tc>
        <w:tc>
          <w:tcPr>
            <w:tcW w:type="dxa" w:w="1028"/>
          </w:tcPr>
          <w:p>
            <w:pPr>
              <w:pStyle w:val="TableText"/>
              <w:jc w:val="center"/>
            </w:pPr>
            <w:r>
              <w:rPr>
                <w:lang w:val="es-AR"/>
              </w:rPr>
              <w:t xml:space="preserve">−0,067989</w:t>
            </w:r>
          </w:p>
        </w:tc>
        <w:tc>
          <w:tcPr>
            <w:tcW w:type="dxa" w:w="1121"/>
          </w:tcPr>
          <w:p>
            <w:pPr>
              <w:pStyle w:val="TableText"/>
              <w:jc w:val="center"/>
            </w:pPr>
            <w:r>
              <w:rPr>
                <w:lang w:val="es-AR"/>
              </w:rPr>
              <w:t xml:space="preserve">0,774919</w:t>
            </w:r>
          </w:p>
        </w:tc>
        <w:tc>
          <w:tcPr>
            <w:tcW w:type="dxa" w:w="2056"/>
          </w:tcPr>
          <w:p>
            <w:pPr>
              <w:pStyle w:val="TableText"/>
              <w:jc w:val="center"/>
            </w:pPr>
            <w:r>
              <w:rPr>
                <w:lang w:val="es-AR"/>
              </w:rPr>
              <w:t xml:space="preserve">&lt; 0</w:t>
            </w:r>
          </w:p>
        </w:tc>
        <w:tc>
          <w:tcPr>
            <w:tcW w:type="dxa" w:w="1121"/>
          </w:tcPr>
          <w:p>
            <w:pPr>
              <w:pStyle w:val="TableText"/>
              <w:jc w:val="center"/>
            </w:pPr>
            <w:r>
              <w:rPr>
                <w:lang w:val="es-AR"/>
              </w:rPr>
              <w:t xml:space="preserve">0,6993</w:t>
            </w:r>
          </w:p>
        </w:tc>
      </w:tr>
      <w:tr>
        <w:tc>
          <w:tcPr>
            <w:tcW w:type="dxa" w:w="373"/>
          </w:tcPr>
          <w:p>
            <w:pPr>
              <w:pStyle w:val="TableText"/>
              <w:jc w:val="center"/>
            </w:pPr>
            <w:r>
              <w:rPr>
                <w:lang w:val="es-AR"/>
              </w:rPr>
              <w:t xml:space="preserve">3</w:t>
            </w:r>
          </w:p>
        </w:tc>
        <w:tc>
          <w:tcPr>
            <w:tcW w:type="dxa" w:w="1028"/>
          </w:tcPr>
          <w:p>
            <w:pPr>
              <w:pStyle w:val="TableText"/>
              <w:jc w:val="center"/>
            </w:pPr>
            <w:r>
              <w:rPr>
                <w:lang w:val="es-AR"/>
              </w:rPr>
              <w:t xml:space="preserve">35,500000</w:t>
            </w:r>
          </w:p>
        </w:tc>
        <w:tc>
          <w:tcPr>
            <w:tcW w:type="dxa" w:w="1028"/>
          </w:tcPr>
          <w:p>
            <w:pPr>
              <w:pStyle w:val="TableText"/>
              <w:jc w:val="center"/>
            </w:pPr>
            <w:r>
              <w:rPr>
                <w:lang w:val="es-AR"/>
              </w:rPr>
              <w:t xml:space="preserve">35,750000</w:t>
            </w:r>
          </w:p>
        </w:tc>
        <w:tc>
          <w:tcPr>
            <w:tcW w:type="dxa" w:w="1028"/>
          </w:tcPr>
          <w:p>
            <w:pPr>
              <w:pStyle w:val="TableText"/>
              <w:jc w:val="center"/>
            </w:pPr>
            <w:r>
              <w:rPr>
                <w:lang w:val="es-AR"/>
              </w:rPr>
              <w:t xml:space="preserve">35,625000</w:t>
            </w:r>
          </w:p>
        </w:tc>
        <w:tc>
          <w:tcPr>
            <w:tcW w:type="dxa" w:w="1028"/>
          </w:tcPr>
          <w:p>
            <w:pPr>
              <w:pStyle w:val="TableText"/>
              <w:jc w:val="center"/>
            </w:pPr>
            <w:r>
              <w:rPr>
                <w:lang w:val="es-AR"/>
              </w:rPr>
              <w:t xml:space="preserve">−0,067989</w:t>
            </w:r>
          </w:p>
        </w:tc>
        <w:tc>
          <w:tcPr>
            <w:tcW w:type="dxa" w:w="1121"/>
          </w:tcPr>
          <w:p>
            <w:pPr>
              <w:pStyle w:val="TableText"/>
              <w:jc w:val="center"/>
            </w:pPr>
            <w:r>
              <w:rPr>
                <w:lang w:val="es-AR"/>
              </w:rPr>
              <w:t xml:space="preserve">0,353663</w:t>
            </w:r>
          </w:p>
        </w:tc>
        <w:tc>
          <w:tcPr>
            <w:tcW w:type="dxa" w:w="2056"/>
          </w:tcPr>
          <w:p>
            <w:pPr>
              <w:pStyle w:val="TableText"/>
              <w:jc w:val="center"/>
            </w:pPr>
            <w:r>
              <w:rPr>
                <w:lang w:val="es-AR"/>
              </w:rPr>
              <w:t xml:space="preserve">&lt; 0</w:t>
            </w:r>
          </w:p>
        </w:tc>
        <w:tc>
          <w:tcPr>
            <w:tcW w:type="dxa" w:w="1121"/>
          </w:tcPr>
          <w:p>
            <w:pPr>
              <w:pStyle w:val="TableText"/>
              <w:jc w:val="center"/>
            </w:pPr>
            <w:r>
              <w:rPr>
                <w:lang w:val="es-AR"/>
              </w:rPr>
              <w:t xml:space="preserve">0,3509</w:t>
            </w:r>
          </w:p>
        </w:tc>
      </w:tr>
      <w:tr>
        <w:tc>
          <w:tcPr>
            <w:tcW w:type="dxa" w:w="373"/>
          </w:tcPr>
          <w:p>
            <w:pPr>
              <w:pStyle w:val="TableText"/>
              <w:jc w:val="center"/>
            </w:pPr>
            <w:r>
              <w:rPr>
                <w:lang w:val="es-AR"/>
              </w:rPr>
              <w:t xml:space="preserve">4</w:t>
            </w:r>
          </w:p>
        </w:tc>
        <w:tc>
          <w:tcPr>
            <w:tcW w:type="dxa" w:w="1028"/>
          </w:tcPr>
          <w:p>
            <w:pPr>
              <w:pStyle w:val="TableText"/>
              <w:jc w:val="center"/>
            </w:pPr>
            <w:r>
              <w:rPr>
                <w:lang w:val="es-AR"/>
              </w:rPr>
              <w:t xml:space="preserve">35,500000</w:t>
            </w:r>
          </w:p>
        </w:tc>
        <w:tc>
          <w:tcPr>
            <w:tcW w:type="dxa" w:w="1028"/>
          </w:tcPr>
          <w:p>
            <w:pPr>
              <w:pStyle w:val="TableText"/>
              <w:jc w:val="center"/>
            </w:pPr>
            <w:r>
              <w:rPr>
                <w:lang w:val="es-AR"/>
              </w:rPr>
              <w:t xml:space="preserve">35,625000</w:t>
            </w:r>
          </w:p>
        </w:tc>
        <w:tc>
          <w:tcPr>
            <w:tcW w:type="dxa" w:w="1028"/>
          </w:tcPr>
          <w:p>
            <w:pPr>
              <w:pStyle w:val="TableText"/>
              <w:jc w:val="center"/>
            </w:pPr>
            <w:r>
              <w:rPr>
                <w:lang w:val="es-AR"/>
              </w:rPr>
              <w:t xml:space="preserve">35,562500</w:t>
            </w:r>
          </w:p>
        </w:tc>
        <w:tc>
          <w:tcPr>
            <w:tcW w:type="dxa" w:w="1028"/>
          </w:tcPr>
          <w:p>
            <w:pPr>
              <w:pStyle w:val="TableText"/>
              <w:jc w:val="center"/>
            </w:pPr>
            <w:r>
              <w:rPr>
                <w:lang w:val="es-AR"/>
              </w:rPr>
              <w:t xml:space="preserve">−0,067989</w:t>
            </w:r>
          </w:p>
        </w:tc>
        <w:tc>
          <w:tcPr>
            <w:tcW w:type="dxa" w:w="1121"/>
          </w:tcPr>
          <w:p>
            <w:pPr>
              <w:pStyle w:val="TableText"/>
              <w:jc w:val="center"/>
            </w:pPr>
            <w:r>
              <w:rPr>
                <w:lang w:val="es-AR"/>
              </w:rPr>
              <w:t xml:space="preserve">0,142886</w:t>
            </w:r>
          </w:p>
        </w:tc>
        <w:tc>
          <w:tcPr>
            <w:tcW w:type="dxa" w:w="2056"/>
          </w:tcPr>
          <w:p>
            <w:pPr>
              <w:pStyle w:val="TableText"/>
              <w:jc w:val="center"/>
            </w:pPr>
            <w:r>
              <w:rPr>
                <w:lang w:val="es-AR"/>
              </w:rPr>
              <w:t xml:space="preserve">&lt; 0</w:t>
            </w:r>
          </w:p>
        </w:tc>
        <w:tc>
          <w:tcPr>
            <w:tcW w:type="dxa" w:w="1121"/>
          </w:tcPr>
          <w:p>
            <w:pPr>
              <w:pStyle w:val="TableText"/>
              <w:jc w:val="center"/>
            </w:pPr>
            <w:r>
              <w:rPr>
                <w:lang w:val="es-AR"/>
              </w:rPr>
              <w:t xml:space="preserve">0,1757</w:t>
            </w:r>
          </w:p>
        </w:tc>
      </w:tr>
      <w:tr>
        <w:tc>
          <w:tcPr>
            <w:tcW w:type="dxa" w:w="373"/>
          </w:tcPr>
          <w:p>
            <w:pPr>
              <w:pStyle w:val="TableText"/>
              <w:jc w:val="center"/>
            </w:pPr>
            <w:r>
              <w:rPr>
                <w:lang w:val="es-AR"/>
              </w:rPr>
              <w:t xml:space="preserve">5</w:t>
            </w:r>
          </w:p>
        </w:tc>
        <w:tc>
          <w:tcPr>
            <w:tcW w:type="dxa" w:w="1028"/>
          </w:tcPr>
          <w:p>
            <w:pPr>
              <w:pStyle w:val="TableText"/>
              <w:jc w:val="center"/>
            </w:pPr>
            <w:r>
              <w:rPr>
                <w:lang w:val="es-AR"/>
              </w:rPr>
              <w:t xml:space="preserve">35,500000</w:t>
            </w:r>
          </w:p>
        </w:tc>
        <w:tc>
          <w:tcPr>
            <w:tcW w:type="dxa" w:w="1028"/>
          </w:tcPr>
          <w:p>
            <w:pPr>
              <w:pStyle w:val="TableText"/>
              <w:jc w:val="center"/>
            </w:pPr>
            <w:r>
              <w:rPr>
                <w:lang w:val="es-AR"/>
              </w:rPr>
              <w:t xml:space="preserve">35,562500</w:t>
            </w:r>
          </w:p>
        </w:tc>
        <w:tc>
          <w:tcPr>
            <w:tcW w:type="dxa" w:w="1028"/>
          </w:tcPr>
          <w:p>
            <w:pPr>
              <w:pStyle w:val="TableText"/>
              <w:jc w:val="center"/>
            </w:pPr>
            <w:r>
              <w:rPr>
                <w:lang w:val="es-AR"/>
              </w:rPr>
              <w:t xml:space="preserve">35,531250</w:t>
            </w:r>
          </w:p>
        </w:tc>
        <w:tc>
          <w:tcPr>
            <w:tcW w:type="dxa" w:w="1028"/>
          </w:tcPr>
          <w:p>
            <w:pPr>
              <w:pStyle w:val="TableText"/>
              <w:jc w:val="center"/>
            </w:pPr>
            <w:r>
              <w:rPr>
                <w:lang w:val="es-AR"/>
              </w:rPr>
              <w:t xml:space="preserve">−0,067989</w:t>
            </w:r>
          </w:p>
        </w:tc>
        <w:tc>
          <w:tcPr>
            <w:tcW w:type="dxa" w:w="1121"/>
          </w:tcPr>
          <w:p>
            <w:pPr>
              <w:pStyle w:val="TableText"/>
              <w:jc w:val="center"/>
            </w:pPr>
            <w:r>
              <w:rPr>
                <w:lang w:val="es-AR"/>
              </w:rPr>
              <w:t xml:space="preserve">0,037460</w:t>
            </w:r>
          </w:p>
        </w:tc>
        <w:tc>
          <w:tcPr>
            <w:tcW w:type="dxa" w:w="2056"/>
          </w:tcPr>
          <w:p>
            <w:pPr>
              <w:pStyle w:val="TableText"/>
              <w:jc w:val="center"/>
            </w:pPr>
            <w:r>
              <w:rPr>
                <w:lang w:val="es-AR"/>
              </w:rPr>
              <w:t xml:space="preserve">&lt; 0</w:t>
            </w:r>
          </w:p>
        </w:tc>
        <w:tc>
          <w:tcPr>
            <w:tcW w:type="dxa" w:w="1121"/>
          </w:tcPr>
          <w:p>
            <w:pPr>
              <w:pStyle w:val="TableText"/>
              <w:jc w:val="center"/>
            </w:pPr>
            <w:r>
              <w:rPr>
                <w:lang w:val="es-AR"/>
              </w:rPr>
              <w:t xml:space="preserve">0,0880</w:t>
            </w:r>
          </w:p>
        </w:tc>
      </w:tr>
      <w:tr>
        <w:tc>
          <w:tcPr>
            <w:tcW w:type="dxa" w:w="373"/>
          </w:tcPr>
          <w:p>
            <w:pPr>
              <w:pStyle w:val="TableText"/>
              <w:jc w:val="center"/>
            </w:pPr>
            <w:r>
              <w:rPr>
                <w:lang w:val="es-AR"/>
              </w:rPr>
              <w:t xml:space="preserve">6</w:t>
            </w:r>
          </w:p>
        </w:tc>
        <w:tc>
          <w:tcPr>
            <w:tcW w:type="dxa" w:w="1028"/>
          </w:tcPr>
          <w:p>
            <w:pPr>
              <w:pStyle w:val="TableText"/>
              <w:jc w:val="center"/>
            </w:pPr>
            <w:r>
              <w:rPr>
                <w:lang w:val="es-AR"/>
              </w:rPr>
              <w:t xml:space="preserve">35,500000</w:t>
            </w:r>
          </w:p>
        </w:tc>
        <w:tc>
          <w:tcPr>
            <w:tcW w:type="dxa" w:w="1028"/>
          </w:tcPr>
          <w:p>
            <w:pPr>
              <w:pStyle w:val="TableText"/>
              <w:jc w:val="center"/>
            </w:pPr>
            <w:r>
              <w:rPr>
                <w:lang w:val="es-AR"/>
              </w:rPr>
              <w:t xml:space="preserve">35,531250</w:t>
            </w:r>
          </w:p>
        </w:tc>
        <w:tc>
          <w:tcPr>
            <w:tcW w:type="dxa" w:w="1028"/>
          </w:tcPr>
          <w:p>
            <w:pPr>
              <w:pStyle w:val="TableText"/>
              <w:jc w:val="center"/>
            </w:pPr>
            <w:r>
              <w:rPr>
                <w:lang w:val="es-AR"/>
              </w:rPr>
              <w:t xml:space="preserve">35,515625</w:t>
            </w:r>
          </w:p>
        </w:tc>
        <w:tc>
          <w:tcPr>
            <w:tcW w:type="dxa" w:w="1028"/>
          </w:tcPr>
          <w:p>
            <w:pPr>
              <w:pStyle w:val="TableText"/>
              <w:jc w:val="center"/>
            </w:pPr>
            <w:r>
              <w:rPr>
                <w:lang w:val="es-AR"/>
              </w:rPr>
              <w:t xml:space="preserve">−0,067989</w:t>
            </w:r>
          </w:p>
        </w:tc>
        <w:tc>
          <w:tcPr>
            <w:tcW w:type="dxa" w:w="1121"/>
          </w:tcPr>
          <w:p>
            <w:pPr>
              <w:pStyle w:val="TableText"/>
              <w:jc w:val="center"/>
            </w:pPr>
            <w:r>
              <w:rPr>
                <w:lang w:val="es-AR"/>
              </w:rPr>
              <w:t xml:space="preserve">−0,015262</w:t>
            </w:r>
          </w:p>
        </w:tc>
        <w:tc>
          <w:tcPr>
            <w:tcW w:type="dxa" w:w="2056"/>
          </w:tcPr>
          <w:p>
            <w:pPr>
              <w:pStyle w:val="TableText"/>
              <w:jc w:val="center"/>
            </w:pPr>
            <w:r>
              <w:rPr>
                <w:lang w:val="es-AR"/>
              </w:rPr>
              <w:t xml:space="preserve">&gt; 0</w:t>
            </w:r>
          </w:p>
        </w:tc>
        <w:tc>
          <w:tcPr>
            <w:tcW w:type="dxa" w:w="1121"/>
          </w:tcPr>
          <w:p>
            <w:pPr>
              <w:pStyle w:val="TableText"/>
              <w:jc w:val="center"/>
            </w:pPr>
            <w:r>
              <w:rPr>
                <w:lang w:val="es-AR"/>
              </w:rPr>
              <w:t xml:space="preserve">0,0440</w:t>
            </w:r>
          </w:p>
        </w:tc>
      </w:tr>
      <w:tr>
        <w:tc>
          <w:tcPr>
            <w:tcW w:type="dxa" w:w="373"/>
          </w:tcPr>
          <w:p>
            <w:pPr>
              <w:pStyle w:val="TableText"/>
              <w:jc w:val="center"/>
            </w:pPr>
            <w:r>
              <w:rPr>
                <w:lang w:val="es-AR"/>
              </w:rPr>
              <w:t xml:space="preserve">7</w:t>
            </w:r>
          </w:p>
        </w:tc>
        <w:tc>
          <w:tcPr>
            <w:tcW w:type="dxa" w:w="1028"/>
          </w:tcPr>
          <w:p>
            <w:pPr>
              <w:pStyle w:val="TableText"/>
              <w:jc w:val="center"/>
            </w:pPr>
            <w:r>
              <w:rPr>
                <w:lang w:val="es-AR"/>
              </w:rPr>
              <w:t xml:space="preserve">35,515625</w:t>
            </w:r>
          </w:p>
        </w:tc>
        <w:tc>
          <w:tcPr>
            <w:tcW w:type="dxa" w:w="1028"/>
          </w:tcPr>
          <w:p>
            <w:pPr>
              <w:pStyle w:val="TableText"/>
              <w:jc w:val="center"/>
            </w:pPr>
            <w:r>
              <w:rPr>
                <w:lang w:val="es-AR"/>
              </w:rPr>
              <w:t xml:space="preserve">35,531250</w:t>
            </w:r>
          </w:p>
        </w:tc>
        <w:tc>
          <w:tcPr>
            <w:tcW w:type="dxa" w:w="1028"/>
          </w:tcPr>
          <w:p>
            <w:pPr>
              <w:pStyle w:val="TableText"/>
              <w:jc w:val="center"/>
            </w:pPr>
            <w:r>
              <w:rPr>
                <w:lang w:val="es-AR"/>
              </w:rPr>
              <w:t xml:space="preserve">35,523438</w:t>
            </w:r>
          </w:p>
        </w:tc>
        <w:tc>
          <w:tcPr>
            <w:tcW w:type="dxa" w:w="1028"/>
          </w:tcPr>
          <w:p>
            <w:pPr>
              <w:pStyle w:val="TableText"/>
              <w:jc w:val="center"/>
            </w:pPr>
            <w:r>
              <w:rPr>
                <w:lang w:val="es-AR"/>
              </w:rPr>
              <w:t xml:space="preserve">−0,015262</w:t>
            </w:r>
          </w:p>
        </w:tc>
        <w:tc>
          <w:tcPr>
            <w:tcW w:type="dxa" w:w="1121"/>
          </w:tcPr>
          <w:p>
            <w:pPr>
              <w:pStyle w:val="TableText"/>
              <w:jc w:val="center"/>
            </w:pPr>
            <w:r>
              <w:rPr>
                <w:lang w:val="es-AR"/>
              </w:rPr>
              <w:t xml:space="preserve">0,011100</w:t>
            </w:r>
          </w:p>
        </w:tc>
        <w:tc>
          <w:tcPr>
            <w:tcW w:type="dxa" w:w="2056"/>
          </w:tcPr>
          <w:p>
            <w:pPr>
              <w:pStyle w:val="TableText"/>
              <w:jc w:val="center"/>
            </w:pPr>
            <w:r>
              <w:rPr>
                <w:lang w:val="es-AR"/>
              </w:rPr>
              <w:t xml:space="preserve">&lt; 0</w:t>
            </w:r>
          </w:p>
        </w:tc>
        <w:tc>
          <w:tcPr>
            <w:tcW w:type="dxa" w:w="1121"/>
          </w:tcPr>
          <w:p>
            <w:pPr>
              <w:pStyle w:val="TableText"/>
              <w:jc w:val="center"/>
            </w:pPr>
            <w:r>
              <w:rPr>
                <w:lang w:val="es-AR"/>
              </w:rPr>
              <w:t xml:space="preserve">0,0220</w:t>
            </w:r>
          </w:p>
        </w:tc>
      </w:tr>
      <w:tr>
        <w:tc>
          <w:tcPr>
            <w:tcW w:type="dxa" w:w="373"/>
          </w:tcPr>
          <w:p>
            <w:pPr>
              <w:pStyle w:val="TableText"/>
              <w:jc w:val="center"/>
            </w:pPr>
            <w:r>
              <w:rPr>
                <w:lang w:val="es-AR"/>
              </w:rPr>
              <w:t xml:space="preserve">8</w:t>
            </w:r>
          </w:p>
        </w:tc>
        <w:tc>
          <w:tcPr>
            <w:tcW w:type="dxa" w:w="1028"/>
          </w:tcPr>
          <w:p>
            <w:pPr>
              <w:pStyle w:val="TableText"/>
              <w:jc w:val="center"/>
            </w:pPr>
            <w:r>
              <w:rPr>
                <w:lang w:val="es-AR"/>
              </w:rPr>
              <w:t xml:space="preserve">35,515625</w:t>
            </w:r>
          </w:p>
        </w:tc>
        <w:tc>
          <w:tcPr>
            <w:tcW w:type="dxa" w:w="1028"/>
          </w:tcPr>
          <w:p>
            <w:pPr>
              <w:pStyle w:val="TableText"/>
              <w:jc w:val="center"/>
            </w:pPr>
            <w:r>
              <w:rPr>
                <w:lang w:val="es-AR"/>
              </w:rPr>
              <w:t xml:space="preserve">35,523438</w:t>
            </w:r>
          </w:p>
        </w:tc>
        <w:tc>
          <w:tcPr>
            <w:tcW w:type="dxa" w:w="1028"/>
          </w:tcPr>
          <w:p>
            <w:pPr>
              <w:pStyle w:val="TableText"/>
              <w:jc w:val="center"/>
            </w:pPr>
            <w:r>
              <w:rPr>
                <w:lang w:val="es-AR"/>
              </w:rPr>
              <w:t xml:space="preserve">35,519531</w:t>
            </w:r>
          </w:p>
        </w:tc>
        <w:tc>
          <w:tcPr>
            <w:tcW w:type="dxa" w:w="1028"/>
          </w:tcPr>
          <w:p>
            <w:pPr>
              <w:pStyle w:val="TableText"/>
              <w:jc w:val="center"/>
            </w:pPr>
            <w:r>
              <w:rPr>
                <w:lang w:val="es-AR"/>
              </w:rPr>
              <w:t xml:space="preserve">−0,015262</w:t>
            </w:r>
          </w:p>
        </w:tc>
        <w:tc>
          <w:tcPr>
            <w:tcW w:type="dxa" w:w="1121"/>
          </w:tcPr>
          <w:p>
            <w:pPr>
              <w:pStyle w:val="TableText"/>
              <w:jc w:val="center"/>
            </w:pPr>
            <w:r>
              <w:rPr>
                <w:lang w:val="es-AR"/>
              </w:rPr>
              <w:t xml:space="preserve">−0,002081</w:t>
            </w:r>
          </w:p>
        </w:tc>
        <w:tc>
          <w:tcPr>
            <w:tcW w:type="dxa" w:w="2056"/>
          </w:tcPr>
          <w:p>
            <w:pPr>
              <w:pStyle w:val="TableText"/>
              <w:jc w:val="center"/>
            </w:pPr>
            <w:r>
              <w:rPr>
                <w:lang w:val="es-AR"/>
              </w:rPr>
              <w:t xml:space="preserve">&gt; 0</w:t>
            </w:r>
          </w:p>
        </w:tc>
        <w:tc>
          <w:tcPr>
            <w:tcW w:type="dxa" w:w="1121"/>
          </w:tcPr>
          <w:p>
            <w:pPr>
              <w:pStyle w:val="TableText"/>
              <w:jc w:val="center"/>
            </w:pPr>
            <w:r>
              <w:rPr>
                <w:lang w:val="es-AR"/>
              </w:rPr>
              <w:t xml:space="preserve">0,0110</w:t>
            </w:r>
          </w:p>
        </w:tc>
      </w:tr>
      <w:tr>
        <w:tc>
          <w:tcPr>
            <w:tcW w:type="dxa" w:w="373"/>
          </w:tcPr>
          <w:p>
            <w:pPr>
              <w:pStyle w:val="TableText"/>
              <w:jc w:val="center"/>
            </w:pPr>
            <w:r>
              <w:rPr>
                <w:lang w:val="es-AR"/>
              </w:rPr>
              <w:t xml:space="preserve">9</w:t>
            </w:r>
          </w:p>
        </w:tc>
        <w:tc>
          <w:tcPr>
            <w:tcW w:type="dxa" w:w="1028"/>
          </w:tcPr>
          <w:p>
            <w:pPr>
              <w:pStyle w:val="TableText"/>
              <w:jc w:val="center"/>
            </w:pPr>
            <w:r>
              <w:rPr>
                <w:lang w:val="es-AR"/>
              </w:rPr>
              <w:t xml:space="preserve">35,519531</w:t>
            </w:r>
          </w:p>
        </w:tc>
        <w:tc>
          <w:tcPr>
            <w:tcW w:type="dxa" w:w="1028"/>
          </w:tcPr>
          <w:p>
            <w:pPr>
              <w:pStyle w:val="TableText"/>
              <w:jc w:val="center"/>
            </w:pPr>
            <w:r>
              <w:rPr>
                <w:lang w:val="es-AR"/>
              </w:rPr>
              <w:t xml:space="preserve">35,523438</w:t>
            </w:r>
          </w:p>
        </w:tc>
        <w:tc>
          <w:tcPr>
            <w:tcW w:type="dxa" w:w="1028"/>
          </w:tcPr>
          <w:p>
            <w:pPr>
              <w:pStyle w:val="TableText"/>
              <w:jc w:val="center"/>
            </w:pPr>
            <w:r>
              <w:rPr>
                <w:lang w:val="es-AR"/>
              </w:rPr>
              <w:t xml:space="preserve">35,521484</w:t>
            </w:r>
          </w:p>
        </w:tc>
        <w:tc>
          <w:tcPr>
            <w:tcW w:type="dxa" w:w="1028"/>
          </w:tcPr>
          <w:p>
            <w:pPr>
              <w:pStyle w:val="TableText"/>
              <w:jc w:val="center"/>
            </w:pPr>
            <w:r>
              <w:rPr>
                <w:lang w:val="es-AR"/>
              </w:rPr>
              <w:t xml:space="preserve">−0,002081</w:t>
            </w:r>
          </w:p>
        </w:tc>
        <w:tc>
          <w:tcPr>
            <w:tcW w:type="dxa" w:w="1121"/>
          </w:tcPr>
          <w:p>
            <w:pPr>
              <w:pStyle w:val="TableText"/>
              <w:jc w:val="center"/>
            </w:pPr>
            <w:r>
              <w:rPr>
                <w:lang w:val="es-AR"/>
              </w:rPr>
              <w:t xml:space="preserve">0,004510</w:t>
            </w:r>
          </w:p>
        </w:tc>
        <w:tc>
          <w:tcPr>
            <w:tcW w:type="dxa" w:w="2056"/>
          </w:tcPr>
          <w:p>
            <w:pPr>
              <w:pStyle w:val="TableText"/>
              <w:jc w:val="center"/>
            </w:pPr>
            <w:r>
              <w:rPr>
                <w:lang w:val="es-AR"/>
              </w:rPr>
              <w:t xml:space="preserve">&lt; 0</w:t>
            </w:r>
          </w:p>
        </w:tc>
        <w:tc>
          <w:tcPr>
            <w:tcW w:type="dxa" w:w="1121"/>
          </w:tcPr>
          <w:p>
            <w:pPr>
              <w:pStyle w:val="TableText"/>
              <w:jc w:val="center"/>
            </w:pPr>
            <w:r>
              <w:rPr>
                <w:lang w:val="es-AR"/>
              </w:rPr>
              <w:t xml:space="preserve">0,005498</w:t>
            </w:r>
          </w:p>
        </w:tc>
      </w:tr>
      <w:tr>
        <w:tc>
          <w:tcPr>
            <w:tcW w:type="dxa" w:w="373"/>
          </w:tcPr>
          <w:p>
            <w:pPr>
              <w:pStyle w:val="TableText"/>
              <w:jc w:val="center"/>
            </w:pPr>
            <w:r>
              <w:rPr>
                <w:lang w:val="es-AR"/>
              </w:rPr>
              <w:t xml:space="preserve">10</w:t>
            </w:r>
          </w:p>
        </w:tc>
        <w:tc>
          <w:tcPr>
            <w:tcW w:type="dxa" w:w="1028"/>
          </w:tcPr>
          <w:p>
            <w:pPr>
              <w:pStyle w:val="TableText"/>
              <w:jc w:val="center"/>
            </w:pPr>
            <w:r>
              <w:rPr>
                <w:lang w:val="es-AR"/>
              </w:rPr>
              <w:t xml:space="preserve">35,519531</w:t>
            </w:r>
          </w:p>
        </w:tc>
        <w:tc>
          <w:tcPr>
            <w:tcW w:type="dxa" w:w="1028"/>
          </w:tcPr>
          <w:p>
            <w:pPr>
              <w:pStyle w:val="TableText"/>
              <w:jc w:val="center"/>
            </w:pPr>
            <w:r>
              <w:rPr>
                <w:lang w:val="es-AR"/>
              </w:rPr>
              <w:t xml:space="preserve">35,521484</w:t>
            </w:r>
          </w:p>
        </w:tc>
        <w:tc>
          <w:tcPr>
            <w:tcW w:type="dxa" w:w="1028"/>
          </w:tcPr>
          <w:p>
            <w:pPr>
              <w:pStyle w:val="TableText"/>
              <w:jc w:val="center"/>
            </w:pPr>
            <w:r>
              <w:rPr>
                <w:lang w:val="es-AR"/>
              </w:rPr>
              <w:t xml:space="preserve">35,520508</w:t>
            </w:r>
          </w:p>
        </w:tc>
        <w:tc>
          <w:tcPr>
            <w:tcW w:type="dxa" w:w="1028"/>
          </w:tcPr>
          <w:p>
            <w:pPr>
              <w:pStyle w:val="TableText"/>
              <w:jc w:val="center"/>
            </w:pPr>
            <w:r>
              <w:rPr>
                <w:lang w:val="es-AR"/>
              </w:rPr>
              <w:t xml:space="preserve">−0,002081</w:t>
            </w:r>
          </w:p>
        </w:tc>
        <w:tc>
          <w:tcPr>
            <w:tcW w:type="dxa" w:w="1121"/>
          </w:tcPr>
          <w:p>
            <w:pPr>
              <w:pStyle w:val="TableText"/>
              <w:jc w:val="center"/>
            </w:pPr>
            <w:r>
              <w:rPr>
                <w:lang w:val="es-AR"/>
              </w:rPr>
              <w:t xml:space="preserve">0,001215</w:t>
            </w:r>
          </w:p>
        </w:tc>
        <w:tc>
          <w:tcPr>
            <w:tcW w:type="dxa" w:w="2056"/>
          </w:tcPr>
          <w:p>
            <w:pPr>
              <w:pStyle w:val="TableText"/>
              <w:jc w:val="center"/>
            </w:pPr>
            <w:r>
              <w:rPr>
                <w:lang w:val="es-AR"/>
              </w:rPr>
              <w:t xml:space="preserve">&lt; 0</w:t>
            </w:r>
          </w:p>
        </w:tc>
        <w:tc>
          <w:tcPr>
            <w:tcW w:type="dxa" w:w="1121"/>
          </w:tcPr>
          <w:p>
            <w:pPr>
              <w:pStyle w:val="TableText"/>
              <w:jc w:val="center"/>
            </w:pPr>
            <w:r>
              <w:rPr>
                <w:lang w:val="es-AR"/>
              </w:rPr>
              <w:t xml:space="preserve">0,002749</w:t>
            </w:r>
          </w:p>
        </w:tc>
      </w:tr>
      <w:tr>
        <w:tc>
          <w:tcPr>
            <w:tcW w:type="dxa" w:w="373"/>
          </w:tcPr>
          <w:p>
            <w:pPr>
              <w:pStyle w:val="TableText"/>
              <w:jc w:val="center"/>
            </w:pPr>
            <w:r>
              <w:rPr>
                <w:lang w:val="es-AR"/>
              </w:rPr>
              <w:t xml:space="preserve">11</w:t>
            </w:r>
          </w:p>
        </w:tc>
        <w:tc>
          <w:tcPr>
            <w:tcW w:type="dxa" w:w="1028"/>
          </w:tcPr>
          <w:p>
            <w:pPr>
              <w:pStyle w:val="TableText"/>
              <w:jc w:val="center"/>
            </w:pPr>
            <w:r>
              <w:rPr>
                <w:lang w:val="es-AR"/>
              </w:rPr>
              <w:t xml:space="preserve">35,519531</w:t>
            </w:r>
          </w:p>
        </w:tc>
        <w:tc>
          <w:tcPr>
            <w:tcW w:type="dxa" w:w="1028"/>
          </w:tcPr>
          <w:p>
            <w:pPr>
              <w:pStyle w:val="TableText"/>
              <w:jc w:val="center"/>
            </w:pPr>
            <w:r>
              <w:rPr>
                <w:lang w:val="es-AR"/>
              </w:rPr>
              <w:t xml:space="preserve">35,520508</w:t>
            </w:r>
          </w:p>
        </w:tc>
        <w:tc>
          <w:tcPr>
            <w:tcW w:type="dxa" w:w="1028"/>
          </w:tcPr>
          <w:p>
            <w:pPr>
              <w:pStyle w:val="TableText"/>
              <w:jc w:val="center"/>
            </w:pPr>
            <w:r>
              <w:rPr>
                <w:lang w:val="es-AR"/>
              </w:rPr>
              <w:t xml:space="preserve">35,520020</w:t>
            </w:r>
          </w:p>
        </w:tc>
        <w:tc>
          <w:tcPr>
            <w:tcW w:type="dxa" w:w="1028"/>
          </w:tcPr>
          <w:p>
            <w:pPr>
              <w:pStyle w:val="TableText"/>
              <w:jc w:val="center"/>
            </w:pPr>
            <w:r>
              <w:rPr>
                <w:lang w:val="es-AR"/>
              </w:rPr>
              <w:t xml:space="preserve">−0,002081</w:t>
            </w:r>
          </w:p>
        </w:tc>
        <w:tc>
          <w:tcPr>
            <w:tcW w:type="dxa" w:w="1121"/>
          </w:tcPr>
          <w:p>
            <w:pPr>
              <w:pStyle w:val="TableText"/>
              <w:jc w:val="center"/>
            </w:pPr>
            <w:r>
              <w:rPr>
                <w:lang w:val="es-AR"/>
              </w:rPr>
              <w:t xml:space="preserve">−0,000433</w:t>
            </w:r>
          </w:p>
        </w:tc>
        <w:tc>
          <w:tcPr>
            <w:tcW w:type="dxa" w:w="2056"/>
          </w:tcPr>
          <w:p>
            <w:pPr>
              <w:pStyle w:val="TableText"/>
              <w:jc w:val="center"/>
            </w:pPr>
            <w:r>
              <w:rPr>
                <w:lang w:val="es-AR"/>
              </w:rPr>
              <w:t xml:space="preserve">&gt; 0</w:t>
            </w:r>
          </w:p>
        </w:tc>
        <w:tc>
          <w:tcPr>
            <w:tcW w:type="dxa" w:w="1121"/>
          </w:tcPr>
          <w:p>
            <w:pPr>
              <w:pStyle w:val="TableText"/>
              <w:jc w:val="center"/>
            </w:pPr>
            <w:r>
              <w:rPr>
                <w:lang w:val="es-AR"/>
              </w:rPr>
              <w:t xml:space="preserve">0,001375</w:t>
            </w:r>
          </w:p>
        </w:tc>
      </w:tr>
      <w:tr>
        <w:tc>
          <w:tcPr>
            <w:tcW w:type="dxa" w:w="373"/>
          </w:tcPr>
          <w:p>
            <w:pPr>
              <w:pStyle w:val="TableText"/>
              <w:jc w:val="center"/>
            </w:pPr>
            <w:r>
              <w:rPr>
                <w:lang w:val="es-AR"/>
              </w:rPr>
              <w:t xml:space="preserve">12</w:t>
            </w:r>
          </w:p>
        </w:tc>
        <w:tc>
          <w:tcPr>
            <w:tcW w:type="dxa" w:w="1028"/>
          </w:tcPr>
          <w:p>
            <w:pPr>
              <w:pStyle w:val="TableText"/>
              <w:jc w:val="center"/>
            </w:pPr>
            <w:r>
              <w:rPr>
                <w:lang w:val="es-AR"/>
              </w:rPr>
              <w:t xml:space="preserve">35,520020</w:t>
            </w:r>
          </w:p>
        </w:tc>
        <w:tc>
          <w:tcPr>
            <w:tcW w:type="dxa" w:w="1028"/>
          </w:tcPr>
          <w:p>
            <w:pPr>
              <w:pStyle w:val="TableText"/>
              <w:jc w:val="center"/>
            </w:pPr>
            <w:r>
              <w:rPr>
                <w:lang w:val="es-AR"/>
              </w:rPr>
              <w:t xml:space="preserve">35,520508</w:t>
            </w:r>
          </w:p>
        </w:tc>
        <w:tc>
          <w:tcPr>
            <w:tcW w:type="dxa" w:w="1028"/>
          </w:tcPr>
          <w:p>
            <w:pPr>
              <w:pStyle w:val="TableText"/>
              <w:jc w:val="center"/>
            </w:pPr>
            <w:r>
              <w:rPr>
                <w:lang w:val="es-AR"/>
              </w:rPr>
              <w:t xml:space="preserve">35,520264</w:t>
            </w:r>
          </w:p>
        </w:tc>
        <w:tc>
          <w:tcPr>
            <w:tcW w:type="dxa" w:w="1028"/>
          </w:tcPr>
          <w:p>
            <w:pPr>
              <w:pStyle w:val="TableText"/>
              <w:jc w:val="center"/>
            </w:pPr>
            <w:r>
              <w:rPr>
                <w:lang w:val="es-AR"/>
              </w:rPr>
              <w:t xml:space="preserve">−0,000433</w:t>
            </w:r>
          </w:p>
        </w:tc>
        <w:tc>
          <w:tcPr>
            <w:tcW w:type="dxa" w:w="1121"/>
          </w:tcPr>
          <w:p>
            <w:pPr>
              <w:pStyle w:val="TableText"/>
              <w:jc w:val="center"/>
            </w:pPr>
            <w:r>
              <w:rPr>
                <w:lang w:val="es-AR"/>
              </w:rPr>
              <w:t xml:space="preserve">0,000391</w:t>
            </w:r>
          </w:p>
        </w:tc>
        <w:tc>
          <w:tcPr>
            <w:tcW w:type="dxa" w:w="2056"/>
          </w:tcPr>
          <w:p>
            <w:pPr>
              <w:pStyle w:val="TableText"/>
              <w:jc w:val="center"/>
            </w:pPr>
            <w:r>
              <w:rPr>
                <w:lang w:val="es-AR"/>
              </w:rPr>
              <w:t xml:space="preserve">&lt; 0</w:t>
            </w:r>
          </w:p>
        </w:tc>
        <w:tc>
          <w:tcPr>
            <w:tcW w:type="dxa" w:w="1121"/>
          </w:tcPr>
          <w:p>
            <w:pPr>
              <w:pStyle w:val="TableText"/>
              <w:jc w:val="center"/>
            </w:pPr>
            <w:r>
              <w:rPr>
                <w:lang w:val="es-AR"/>
              </w:rPr>
              <w:t xml:space="preserve">0,000687</w:t>
            </w:r>
          </w:p>
        </w:tc>
      </w:tr>
      <w:tr>
        <w:tc>
          <w:tcPr>
            <w:tcW w:type="dxa" w:w="373"/>
          </w:tcPr>
          <w:p>
            <w:pPr>
              <w:pStyle w:val="TableText"/>
              <w:jc w:val="center"/>
            </w:pPr>
            <w:r>
              <w:rPr>
                <w:lang w:val="es-AR"/>
              </w:rPr>
              <w:t xml:space="preserve">13</w:t>
            </w:r>
          </w:p>
        </w:tc>
        <w:tc>
          <w:tcPr>
            <w:tcW w:type="dxa" w:w="1028"/>
          </w:tcPr>
          <w:p>
            <w:pPr>
              <w:pStyle w:val="TableText"/>
              <w:jc w:val="center"/>
            </w:pPr>
            <w:r>
              <w:rPr>
                <w:lang w:val="es-AR"/>
              </w:rPr>
              <w:t xml:space="preserve">35,520020</w:t>
            </w:r>
          </w:p>
        </w:tc>
        <w:tc>
          <w:tcPr>
            <w:tcW w:type="dxa" w:w="1028"/>
          </w:tcPr>
          <w:p>
            <w:pPr>
              <w:pStyle w:val="TableText"/>
              <w:jc w:val="center"/>
            </w:pPr>
            <w:r>
              <w:rPr>
                <w:lang w:val="es-AR"/>
              </w:rPr>
              <w:t xml:space="preserve">35,520264</w:t>
            </w:r>
          </w:p>
        </w:tc>
        <w:tc>
          <w:tcPr>
            <w:tcW w:type="dxa" w:w="1028"/>
          </w:tcPr>
          <w:p>
            <w:pPr>
              <w:pStyle w:val="TableText"/>
              <w:jc w:val="center"/>
            </w:pPr>
            <w:r>
              <w:rPr>
                <w:lang w:val="es-AR"/>
              </w:rPr>
              <w:t xml:space="preserve">35,520142</w:t>
            </w:r>
          </w:p>
        </w:tc>
        <w:tc>
          <w:tcPr>
            <w:tcW w:type="dxa" w:w="1028"/>
          </w:tcPr>
          <w:p>
            <w:pPr>
              <w:pStyle w:val="TableText"/>
              <w:jc w:val="center"/>
            </w:pPr>
            <w:r>
              <w:rPr>
                <w:lang w:val="es-AR"/>
              </w:rPr>
              <w:t xml:space="preserve">−0,000433</w:t>
            </w:r>
          </w:p>
        </w:tc>
        <w:tc>
          <w:tcPr>
            <w:tcW w:type="dxa" w:w="1121"/>
          </w:tcPr>
          <w:p>
            <w:pPr>
              <w:pStyle w:val="TableText"/>
              <w:jc w:val="center"/>
            </w:pPr>
            <w:r>
              <w:rPr>
                <w:lang w:val="es-AR"/>
              </w:rPr>
              <w:t xml:space="preserve">−0,000021</w:t>
            </w:r>
          </w:p>
        </w:tc>
        <w:tc>
          <w:tcPr>
            <w:tcW w:type="dxa" w:w="2056"/>
          </w:tcPr>
          <w:p>
            <w:pPr>
              <w:pStyle w:val="TableText"/>
              <w:jc w:val="center"/>
            </w:pPr>
            <w:r>
              <w:rPr>
                <w:lang w:val="es-AR"/>
              </w:rPr>
              <w:t xml:space="preserve">&gt; 0</w:t>
            </w:r>
          </w:p>
        </w:tc>
        <w:tc>
          <w:tcPr>
            <w:tcW w:type="dxa" w:w="1121"/>
          </w:tcPr>
          <w:p>
            <w:pPr>
              <w:pStyle w:val="TableText"/>
              <w:jc w:val="center"/>
            </w:pPr>
            <w:r>
              <w:rPr>
                <w:lang w:val="es-AR"/>
              </w:rPr>
              <w:t xml:space="preserve">0,000344</w:t>
            </w:r>
          </w:p>
        </w:tc>
      </w:tr>
      <w:tr>
        <w:tc>
          <w:tcPr>
            <w:tcW w:type="dxa" w:w="373"/>
          </w:tcPr>
          <w:p>
            <w:pPr>
              <w:pStyle w:val="TableText"/>
              <w:jc w:val="center"/>
            </w:pPr>
            <w:r>
              <w:rPr>
                <w:lang w:val="es-AR"/>
              </w:rPr>
              <w:t xml:space="preserve">14</w:t>
            </w:r>
          </w:p>
        </w:tc>
        <w:tc>
          <w:tcPr>
            <w:tcW w:type="dxa" w:w="1028"/>
          </w:tcPr>
          <w:p>
            <w:pPr>
              <w:pStyle w:val="TableText"/>
              <w:jc w:val="center"/>
            </w:pPr>
            <w:r>
              <w:rPr>
                <w:lang w:val="es-AR"/>
              </w:rPr>
              <w:t xml:space="preserve">35,520142</w:t>
            </w:r>
          </w:p>
        </w:tc>
        <w:tc>
          <w:tcPr>
            <w:tcW w:type="dxa" w:w="1028"/>
          </w:tcPr>
          <w:p>
            <w:pPr>
              <w:pStyle w:val="TableText"/>
              <w:jc w:val="center"/>
            </w:pPr>
            <w:r>
              <w:rPr>
                <w:lang w:val="es-AR"/>
              </w:rPr>
              <w:t xml:space="preserve">35,520264</w:t>
            </w:r>
          </w:p>
        </w:tc>
        <w:tc>
          <w:tcPr>
            <w:tcW w:type="dxa" w:w="1028"/>
          </w:tcPr>
          <w:p>
            <w:pPr>
              <w:pStyle w:val="TableText"/>
              <w:jc w:val="center"/>
            </w:pPr>
            <w:r>
              <w:rPr>
                <w:lang w:val="es-AR"/>
              </w:rPr>
              <w:t xml:space="preserve">35,520203</w:t>
            </w:r>
          </w:p>
        </w:tc>
        <w:tc>
          <w:tcPr>
            <w:tcW w:type="dxa" w:w="1028"/>
          </w:tcPr>
          <w:p>
            <w:pPr>
              <w:pStyle w:val="TableText"/>
              <w:jc w:val="center"/>
            </w:pPr>
            <w:r>
              <w:rPr>
                <w:lang w:val="es-AR"/>
              </w:rPr>
              <w:t xml:space="preserve">−0,000021</w:t>
            </w:r>
          </w:p>
        </w:tc>
        <w:tc>
          <w:tcPr>
            <w:tcW w:type="dxa" w:w="1121"/>
          </w:tcPr>
          <w:p>
            <w:pPr>
              <w:pStyle w:val="TableText"/>
              <w:jc w:val="center"/>
            </w:pPr>
            <w:r>
              <w:rPr>
                <w:lang w:val="es-AR"/>
              </w:rPr>
              <w:t xml:space="preserve">0,000185</w:t>
            </w:r>
          </w:p>
        </w:tc>
        <w:tc>
          <w:tcPr>
            <w:tcW w:type="dxa" w:w="2056"/>
          </w:tcPr>
          <w:p>
            <w:pPr>
              <w:pStyle w:val="TableText"/>
              <w:jc w:val="center"/>
            </w:pPr>
            <w:r>
              <w:rPr>
                <w:lang w:val="es-AR"/>
              </w:rPr>
              <w:t xml:space="preserve">&lt; 0</w:t>
            </w:r>
          </w:p>
        </w:tc>
        <w:tc>
          <w:tcPr>
            <w:tcW w:type="dxa" w:w="1121"/>
          </w:tcPr>
          <w:p>
            <w:pPr>
              <w:pStyle w:val="TableText"/>
              <w:jc w:val="center"/>
            </w:pPr>
            <w:r>
              <w:rPr>
                <w:lang w:val="es-AR"/>
              </w:rPr>
              <w:t xml:space="preserve">0,000172</w:t>
            </w:r>
          </w:p>
        </w:tc>
      </w:tr>
      <w:tr>
        <w:tc>
          <w:tcPr>
            <w:tcW w:type="dxa" w:w="373"/>
          </w:tcPr>
          <w:p>
            <w:pPr>
              <w:pStyle w:val="TableText"/>
              <w:jc w:val="center"/>
            </w:pPr>
            <w:r>
              <w:rPr>
                <w:lang w:val="es-AR"/>
              </w:rPr>
              <w:t xml:space="preserve">15</w:t>
            </w:r>
          </w:p>
        </w:tc>
        <w:tc>
          <w:tcPr>
            <w:tcW w:type="dxa" w:w="1028"/>
          </w:tcPr>
          <w:p>
            <w:pPr>
              <w:pStyle w:val="TableText"/>
              <w:jc w:val="center"/>
            </w:pPr>
            <w:r>
              <w:rPr>
                <w:lang w:val="es-AR"/>
              </w:rPr>
              <w:t xml:space="preserve">35,520142</w:t>
            </w:r>
          </w:p>
        </w:tc>
        <w:tc>
          <w:tcPr>
            <w:tcW w:type="dxa" w:w="1028"/>
          </w:tcPr>
          <w:p>
            <w:pPr>
              <w:pStyle w:val="TableText"/>
              <w:jc w:val="center"/>
            </w:pPr>
            <w:r>
              <w:rPr>
                <w:lang w:val="es-AR"/>
              </w:rPr>
              <w:t xml:space="preserve">35,520203</w:t>
            </w:r>
          </w:p>
        </w:tc>
        <w:tc>
          <w:tcPr>
            <w:tcW w:type="dxa" w:w="1028"/>
          </w:tcPr>
          <w:p>
            <w:pPr>
              <w:pStyle w:val="TableText"/>
              <w:jc w:val="center"/>
            </w:pPr>
            <w:r>
              <w:rPr>
                <w:lang w:val="es-AR"/>
              </w:rPr>
              <w:t xml:space="preserve">35,520172</w:t>
            </w:r>
          </w:p>
        </w:tc>
        <w:tc>
          <w:tcPr>
            <w:tcW w:type="dxa" w:w="1028"/>
          </w:tcPr>
          <w:p>
            <w:pPr>
              <w:pStyle w:val="TableText"/>
              <w:jc w:val="center"/>
            </w:pPr>
            <w:r>
              <w:rPr>
                <w:lang w:val="es-AR"/>
              </w:rPr>
              <w:t xml:space="preserve">−0,000021</w:t>
            </w:r>
          </w:p>
        </w:tc>
        <w:tc>
          <w:tcPr>
            <w:tcW w:type="dxa" w:w="1121"/>
          </w:tcPr>
          <w:p>
            <w:pPr>
              <w:pStyle w:val="TableText"/>
              <w:jc w:val="center"/>
            </w:pPr>
            <w:r>
              <w:rPr>
                <w:lang w:val="es-AR"/>
              </w:rPr>
              <w:t xml:space="preserve">0,000082</w:t>
            </w:r>
          </w:p>
        </w:tc>
        <w:tc>
          <w:tcPr>
            <w:tcW w:type="dxa" w:w="2056"/>
          </w:tcPr>
          <w:p>
            <w:pPr>
              <w:pStyle w:val="TableText"/>
              <w:jc w:val="center"/>
            </w:pPr>
            <w:r>
              <w:rPr>
                <w:lang w:val="es-AR"/>
              </w:rPr>
              <w:t xml:space="preserve">&lt; 0</w:t>
            </w:r>
          </w:p>
        </w:tc>
        <w:tc>
          <w:tcPr>
            <w:tcW w:type="dxa" w:w="1121"/>
          </w:tcPr>
          <w:p>
            <w:pPr>
              <w:pStyle w:val="TableText"/>
              <w:jc w:val="center"/>
            </w:pPr>
            <w:r>
              <w:rPr>
                <w:lang w:val="es-AR"/>
              </w:rPr>
              <w:t xml:space="preserve">0,000086</w:t>
            </w:r>
          </w:p>
        </w:tc>
      </w:tr>
    </w:tbl>
    <w:p>
      <w:pPr>
        <w:pStyle w:val="BodyText"/>
        <w:spacing w:before="240"/>
      </w:pPr>
      <w:r>
        <w:rPr>
          <w:lang w:val="es-AR"/>
        </w:rPr>
        <w:t xml:space="preserve">El método alcanzó la tolerancia en la iteración 15, con</w:t>
      </w:r>
      <w:r>
        <w:rPr>
          <w:lang w:val="es-AR"/>
        </w:rPr>
        <w:t xml:space="preserve"> </w:t>
      </w:r>
      <m:oMath>
        <m:r>
          <m:rPr>
            <m:sty m:val="p"/>
          </m:rPr>
          <m:t>|</m:t>
        </m:r>
        <m:sSub>
          <m:e>
            <m:r>
              <m:t>E</m:t>
            </m:r>
          </m:e>
          <m:sub>
            <m:r>
              <m:t>r</m:t>
            </m:r>
            <m:r>
              <m:t>a</m:t>
            </m:r>
          </m:sub>
        </m:sSub>
        <m:r>
          <m:rPr>
            <m:sty m:val="p"/>
          </m:rPr>
          <m:t>|</m:t>
        </m:r>
        <m:r>
          <m:rPr>
            <m:sty m:val="p"/>
          </m:rPr>
          <m:t>=</m:t>
        </m:r>
        <m:r>
          <m:t>0</m:t>
        </m:r>
        <m:r>
          <m:rPr>
            <m:sty m:val="p"/>
          </m:rPr>
          <m:t>,</m:t>
        </m:r>
        <m:r>
          <m:t>000086</m:t>
        </m:r>
        <m:r>
          <m:t> </m:t>
        </m:r>
        <m:r>
          <m:rPr>
            <m:sty m:val="p"/>
          </m:rPr>
          <m:t>%</m:t>
        </m:r>
      </m:oMath>
      <w:r>
        <w:rPr>
          <w:lang w:val="es-AR"/>
        </w:rPr>
        <w:t xml:space="preserve">:</w:t>
      </w:r>
    </w:p>
    <w:p>
      <w:pPr>
        <w:pStyle w:val="BodyText"/>
      </w:pPr>
      <m:oMathPara>
        <m:oMathParaPr>
          <m:jc m:val="center"/>
        </m:oMathParaPr>
        <m:oMath>
          <m:sSubSup>
            <m:e>
              <m:r>
                <m:t>t</m:t>
              </m:r>
            </m:e>
            <m:sub>
              <m:r>
                <m:rPr>
                  <m:nor/>
                </m:rPr>
                <m:t>Bis</m:t>
              </m:r>
            </m:sub>
            <m:sup>
              <m:r>
                <m:rPr>
                  <m:sty m:val="p"/>
                </m:rPr>
                <m:t>*</m:t>
              </m:r>
            </m:sup>
          </m:sSubSup>
          <m:r>
            <m:rPr>
              <m:sty m:val="p"/>
            </m:rPr>
            <m:t>=</m:t>
          </m:r>
          <m:r>
            <m:t>35</m:t>
          </m:r>
          <m:r>
            <m:rPr>
              <m:sty m:val="p"/>
            </m:rPr>
            <m:t>,</m:t>
          </m:r>
          <m:r>
            <m:t>520172</m:t>
          </m:r>
          <m:r>
            <m:t> </m:t>
          </m:r>
          <m:r>
            <m:rPr>
              <m:nor/>
            </m:rPr>
            <m:t>semanas</m:t>
          </m:r>
        </m:oMath>
      </m:oMathPara>
    </w:p>
    <w:bookmarkEnd w:id="30"/>
    <w:bookmarkStart w:id="31" w:name="método-de-newton-raphson"/>
    <w:p>
      <w:pPr>
        <w:pStyle w:val="Heading3"/>
      </w:pPr>
      <w:r>
        <w:rPr>
          <w:lang w:val="es-AR"/>
        </w:rPr>
        <w:t xml:space="preserve">3.2.3. Método de Newton-Raphson</w:t>
      </w:r>
    </w:p>
    <w:p>
      <w:pPr>
        <w:pStyle w:val="FirstParagraph"/>
      </w:pPr>
      <w:r>
        <w:rPr>
          <w:b/>
          <w:bCs/>
          <w:lang w:val="es-AR"/>
        </w:rPr>
        <w:t xml:space="preserve">Justificación.</w:t>
      </w:r>
      <w:r>
        <w:rPr>
          <w:lang w:val="es-AR"/>
        </w:rPr>
        <w:t xml:space="preserve"> </w:t>
      </w:r>
      <w:r>
        <w:rPr>
          <w:lang w:val="es-AR"/>
        </w:rPr>
        <w:t xml:space="preserve">El modelo es un polinomio, por lo que su derivada se obtiene analíticamente sin dificultad. En esas condiciones el método de Newton-Raphson (cap. 3.4), deducido a partir del desarrollo de Taylor truncado en el término de primera derivada, ofrece una convergencia mucho más rápida que la Bisección. La fórmula recurrente es</w:t>
      </w:r>
    </w:p>
    <w:p>
      <w:pPr>
        <w:pStyle w:val="BodyText"/>
      </w:pPr>
      <m:oMathPara>
        <m:oMathParaPr>
          <m:jc m:val="center"/>
        </m:oMathParaPr>
        <m:oMath>
          <m:sSub>
            <m:e>
              <m:r>
                <m:t>t</m:t>
              </m:r>
            </m:e>
            <m:sub>
              <m:r>
                <m:t>i</m:t>
              </m:r>
              <m:r>
                <m:rPr>
                  <m:sty m:val="p"/>
                </m:rPr>
                <m:t>+</m:t>
              </m:r>
              <m:r>
                <m:t>1</m:t>
              </m:r>
            </m:sub>
          </m:sSub>
          <m:r>
            <m:rPr>
              <m:sty m:val="p"/>
            </m:rPr>
            <m:t>=</m:t>
          </m:r>
          <m:sSub>
            <m:e>
              <m:r>
                <m:t>t</m:t>
              </m:r>
            </m:e>
            <m:sub>
              <m:r>
                <m:t>i</m:t>
              </m:r>
            </m:sub>
          </m:sSub>
          <m:r>
            <m:rPr>
              <m:sty m:val="p"/>
            </m:rPr>
            <m:t>−</m:t>
          </m:r>
          <m:f>
            <m:fPr>
              <m:type m:val="bar"/>
            </m:fPr>
            <m:num>
              <m:r>
                <m:t>f</m:t>
              </m:r>
              <m:r>
                <m:rPr>
                  <m:sty m:val="p"/>
                </m:rPr>
                <m:t>(</m:t>
              </m:r>
              <m:sSub>
                <m:e>
                  <m:r>
                    <m:t>t</m:t>
                  </m:r>
                </m:e>
                <m:sub>
                  <m:r>
                    <m:t>i</m:t>
                  </m:r>
                </m:sub>
              </m:sSub>
              <m:r>
                <m:rPr>
                  <m:sty m:val="p"/>
                </m:rPr>
                <m:t>)</m:t>
              </m:r>
            </m:num>
            <m:den>
              <m:sSup>
                <m:e>
                  <m:r>
                    <m:t>f</m:t>
                  </m:r>
                </m:e>
                <m:sup>
                  <m:r>
                    <m:rPr>
                      <m:sty m:val="p"/>
                    </m:rPr>
                    <m:t>′</m:t>
                  </m:r>
                </m:sup>
              </m:sSup>
              <m:r>
                <m:rPr>
                  <m:sty m:val="p"/>
                </m:rPr>
                <m:t>(</m:t>
              </m:r>
              <m:sSub>
                <m:e>
                  <m:r>
                    <m:t>t</m:t>
                  </m:r>
                </m:e>
                <m:sub>
                  <m:r>
                    <m:t>i</m:t>
                  </m:r>
                </m:sub>
              </m:sSub>
              <m:r>
                <m:rPr>
                  <m:sty m:val="p"/>
                </m:rPr>
                <m:t>)</m:t>
              </m:r>
            </m:den>
          </m:f>
        </m:oMath>
      </m:oMathPara>
    </w:p>
    <w:p>
      <w:pPr>
        <w:pStyle w:val="FirstParagraph"/>
      </w:pPr>
      <w:r>
        <w:rPr>
          <w:lang w:val="es-AR"/>
        </w:rPr>
        <w:t xml:space="preserve">con</w:t>
      </w:r>
    </w:p>
    <w:p>
      <w:pPr>
        <w:pStyle w:val="BodyText"/>
      </w:pPr>
      <m:oMathPara>
        <m:oMathParaPr>
          <m:jc m:val="center"/>
        </m:oMathParaPr>
        <m:oMath>
          <m:sSup>
            <m:e>
              <m:r>
                <m:t>f</m:t>
              </m:r>
            </m:e>
            <m:sup>
              <m:r>
                <m:rPr>
                  <m:sty m:val="p"/>
                </m:rPr>
                <m:t>′</m:t>
              </m:r>
            </m:sup>
          </m:sSup>
          <m:r>
            <m:rPr>
              <m:sty m:val="p"/>
            </m:rPr>
            <m:t>(</m:t>
          </m:r>
          <m:r>
            <m:t>t</m:t>
          </m:r>
          <m:r>
            <m:rPr>
              <m:sty m:val="p"/>
            </m:rPr>
            <m:t>)</m:t>
          </m:r>
          <m:r>
            <m:rPr>
              <m:sty m:val="p"/>
            </m:rPr>
            <m:t>=</m:t>
          </m:r>
          <m:sSup>
            <m:e>
              <m:acc>
                <m:accPr>
                  <m:chr m:val="̂"/>
                </m:accPr>
                <m:e>
                  <m:r>
                    <m:t>S</m:t>
                  </m:r>
                </m:e>
              </m:acc>
            </m:e>
            <m:sup>
              <m:r>
                <m:rPr>
                  <m:sty m:val="p"/>
                </m:rPr>
                <m:t>′</m:t>
              </m:r>
            </m:sup>
          </m:sSup>
          <m:r>
            <m:rPr>
              <m:sty m:val="p"/>
            </m:rPr>
            <m:t>(</m:t>
          </m:r>
          <m:r>
            <m:t>t</m:t>
          </m:r>
          <m:r>
            <m:rPr>
              <m:sty m:val="p"/>
            </m:rPr>
            <m:t>)</m:t>
          </m:r>
          <m:r>
            <m:rPr>
              <m:sty m:val="p"/>
            </m:rPr>
            <m:t>=</m:t>
          </m:r>
          <m:r>
            <m:rPr>
              <m:sty m:val="p"/>
            </m:rPr>
            <m:t>−</m:t>
          </m:r>
          <m:r>
            <m:t>0</m:t>
          </m:r>
          <m:r>
            <m:rPr>
              <m:sty m:val="p"/>
            </m:rPr>
            <m:t>,</m:t>
          </m:r>
          <m:r>
            <m:t>002517</m:t>
          </m:r>
          <m:r>
            <m:t> </m:t>
          </m:r>
          <m:sSup>
            <m:e>
              <m:r>
                <m:t>t</m:t>
              </m:r>
            </m:e>
            <m:sup>
              <m:r>
                <m:t>2</m:t>
              </m:r>
            </m:sup>
          </m:sSup>
          <m:r>
            <m:rPr>
              <m:sty m:val="p"/>
            </m:rPr>
            <m:t>+</m:t>
          </m:r>
          <m:r>
            <m:t>0</m:t>
          </m:r>
          <m:r>
            <m:rPr>
              <m:sty m:val="p"/>
            </m:rPr>
            <m:t>,</m:t>
          </m:r>
          <m:r>
            <m:t>153954</m:t>
          </m:r>
          <m:r>
            <m:t> </m:t>
          </m:r>
          <m:r>
            <m:t>t</m:t>
          </m:r>
          <m:r>
            <m:rPr>
              <m:sty m:val="p"/>
            </m:rPr>
            <m:t>+</m:t>
          </m:r>
          <m:r>
            <m:t>1</m:t>
          </m:r>
          <m:r>
            <m:rPr>
              <m:sty m:val="p"/>
            </m:rPr>
            <m:t>,</m:t>
          </m:r>
          <m:r>
            <m:t>081162</m:t>
          </m:r>
        </m:oMath>
      </m:oMathPara>
    </w:p>
    <w:p>
      <w:pPr>
        <w:pStyle w:val="FirstParagraph"/>
      </w:pPr>
      <w:r>
        <w:rPr>
          <w:lang w:val="es-AR"/>
        </w:rPr>
        <w:t xml:space="preserve">Se adoptó como valor inicial</w:t>
      </w:r>
      <w:r>
        <w:rPr>
          <w:lang w:val="es-AR"/>
        </w:rPr>
        <w:t xml:space="preserve"> </w:t>
      </w:r>
      <m:oMath>
        <m:sSub>
          <m:e>
            <m:r>
              <m:t>t</m:t>
            </m:r>
          </m:e>
          <m:sub>
            <m:r>
              <m:t>0</m:t>
            </m:r>
          </m:sub>
        </m:sSub>
        <m:r>
          <m:rPr>
            <m:sty m:val="p"/>
          </m:rPr>
          <m:t>=</m:t>
        </m:r>
        <m:r>
          <m:t>35</m:t>
        </m:r>
      </m:oMath>
      <w:r>
        <w:rPr>
          <w:lang w:val="es-AR"/>
        </w:rPr>
        <w:t xml:space="preserve"> </w:t>
      </w:r>
      <w:r>
        <w:rPr>
          <w:lang w:val="es-AR"/>
        </w:rPr>
        <w:t xml:space="preserve">semanas, extremo izquierdo del intervalo usado en Bisección. En ese entorno la derivada es claramente distinta de cero, como muestra la Tabla 3.</w:t>
      </w:r>
    </w:p>
    <w:p>
      <w:pPr>
        <w:pStyle w:val="TableCaption"/>
      </w:pPr>
      <w:r>
        <w:rPr>
          <w:lang w:val="es-AR"/>
        </w:rPr>
        <w:t xml:space="preserve">Tabla 3. Método de Newton-Raphson aplicado a</w:t>
      </w:r>
      <w:r>
        <w:rPr>
          <w:lang w:val="es-AR"/>
        </w:rPr>
        <w:t xml:space="preserve"> </w:t>
      </w:r>
      <m:oMath>
        <m:r>
          <m:t>f</m:t>
        </m:r>
        <m:r>
          <m:rPr>
            <m:sty m:val="p"/>
          </m:rPr>
          <m:t>(</m:t>
        </m:r>
        <m:r>
          <m:t>t</m:t>
        </m:r>
        <m:r>
          <m:rPr>
            <m:sty m:val="p"/>
          </m:rPr>
          <m:t>)</m:t>
        </m:r>
        <m:r>
          <m:rPr>
            <m:sty m:val="p"/>
          </m:rPr>
          <m:t>=</m:t>
        </m:r>
        <m:acc>
          <m:accPr>
            <m:chr m:val="̂"/>
          </m:accPr>
          <m:e>
            <m:r>
              <m:t>S</m:t>
            </m:r>
          </m:e>
        </m:acc>
        <m:r>
          <m:rPr>
            <m:sty m:val="p"/>
          </m:rPr>
          <m:t>(</m:t>
        </m:r>
        <m:r>
          <m:t>t</m:t>
        </m:r>
        <m:r>
          <m:rPr>
            <m:sty m:val="p"/>
          </m:rPr>
          <m:t>)</m:t>
        </m:r>
        <m:r>
          <m:rPr>
            <m:sty m:val="p"/>
          </m:rPr>
          <m:t>−</m:t>
        </m:r>
        <m:r>
          <m:t>100</m:t>
        </m:r>
      </m:oMath>
      <w:r>
        <w:rPr>
          <w:lang w:val="es-AR"/>
        </w:rPr>
        <w:t xml:space="preserve"> </w:t>
      </w:r>
      <w:r>
        <w:rPr>
          <w:lang w:val="es-AR"/>
        </w:rPr>
        <w:t xml:space="preserve">con</w:t>
      </w:r>
      <w:r>
        <w:rPr>
          <w:lang w:val="es-AR"/>
        </w:rPr>
        <w:t xml:space="preserve"> </w:t>
      </w:r>
      <m:oMath>
        <m:sSub>
          <m:e>
            <m:r>
              <m:t>t</m:t>
            </m:r>
          </m:e>
          <m:sub>
            <m:r>
              <m:t>0</m:t>
            </m:r>
          </m:sub>
        </m:sSub>
        <m:r>
          <m:rPr>
            <m:sty m:val="p"/>
          </m:rPr>
          <m:t>=</m:t>
        </m:r>
        <m:r>
          <m:t>35</m:t>
        </m:r>
      </m:oMath>
      <w:r>
        <w:rPr>
          <w:lang w:val="es-AR"/>
        </w:rPr>
        <w:t xml:space="preserve">.</w:t>
      </w:r>
    </w:p>
    <w:tbl>
      <w:tblPr>
        <w:tblStyle w:val="Table"/>
        <w:tblW w:type="dxa" w:w="8320"/>
        <w:tblLook w:firstRow="1" w:lastRow="0" w:firstColumn="0" w:lastColumn="0" w:noHBand="0" w:noVBand="0" w:val="0020"/>
        <w:tblCaption w:val="Tabla 3. Método de Newton-Raphson aplicado a f(t) = \hat S(t) - 100 con t_0 = 35."/>
      </w:tblPr>
      <w:tblGrid>
        <w:gridCol w:w="520"/>
        <w:gridCol w:w="1430"/>
        <w:gridCol w:w="1560"/>
        <w:gridCol w:w="1820"/>
        <w:gridCol w:w="1430"/>
        <w:gridCol w:w="1560"/>
      </w:tblGrid>
      <w:tr>
        <w:trPr>
          <w:tblHeader w:val="on"/>
        </w:trPr>
        <w:tc>
          <w:tcPr>
            <w:tcW w:type="dxa" w:w="520"/>
          </w:tcPr>
          <w:p>
            <w:pPr>
              <w:pStyle w:val="TableText"/>
              <w:jc w:val="center"/>
            </w:pPr>
            <m:oMath>
              <m:r>
                <m:t>i</m:t>
              </m:r>
            </m:oMath>
            <w:r>
              <w:rPr>
                <w:lang w:val="es-AR"/>
              </w:rPr>
              <w:t xml:space="preserve">​</w:t>
            </w:r>
          </w:p>
        </w:tc>
        <w:tc>
          <w:tcPr>
            <w:tcW w:type="dxa" w:w="1430"/>
          </w:tcPr>
          <w:p>
            <w:pPr>
              <w:pStyle w:val="TableText"/>
              <w:jc w:val="center"/>
            </w:pPr>
            <m:oMath>
              <m:sSub>
                <m:e>
                  <m:r>
                    <m:t>t</m:t>
                  </m:r>
                </m:e>
                <m:sub>
                  <m:r>
                    <m:t>i</m:t>
                  </m:r>
                </m:sub>
              </m:sSub>
            </m:oMath>
            <w:r>
              <w:rPr>
                <w:lang w:val="es-AR"/>
              </w:rPr>
              <w:t xml:space="preserve">​</w:t>
            </w:r>
          </w:p>
        </w:tc>
        <w:tc>
          <w:tcPr>
            <w:tcW w:type="dxa" w:w="1560"/>
          </w:tcPr>
          <w:p>
            <w:pPr>
              <w:pStyle w:val="TableText"/>
              <w:jc w:val="center"/>
            </w:pPr>
            <m:oMath>
              <m:r>
                <m:t>f</m:t>
              </m:r>
              <m:r>
                <m:rPr>
                  <m:sty m:val="p"/>
                </m:rPr>
                <m:t>(</m:t>
              </m:r>
              <m:sSub>
                <m:e>
                  <m:r>
                    <m:t>t</m:t>
                  </m:r>
                </m:e>
                <m:sub>
                  <m:r>
                    <m:t>i</m:t>
                  </m:r>
                </m:sub>
              </m:sSub>
              <m:r>
                <m:rPr>
                  <m:sty m:val="p"/>
                </m:rPr>
                <m:t>)</m:t>
              </m:r>
            </m:oMath>
            <w:r>
              <w:rPr>
                <w:lang w:val="es-AR"/>
              </w:rPr>
              <w:t xml:space="preserve">​</w:t>
            </w:r>
          </w:p>
        </w:tc>
        <w:tc>
          <w:tcPr>
            <w:tcW w:type="dxa" w:w="1820"/>
          </w:tcPr>
          <w:p>
            <w:pPr>
              <w:pStyle w:val="TableText"/>
              <w:jc w:val="center"/>
            </w:pPr>
            <m:oMath>
              <m:sSup>
                <m:e>
                  <m:r>
                    <m:t>f</m:t>
                  </m:r>
                </m:e>
                <m:sup>
                  <m:r>
                    <m:rPr>
                      <m:sty m:val="p"/>
                    </m:rPr>
                    <m:t>′</m:t>
                  </m:r>
                </m:sup>
              </m:sSup>
              <m:r>
                <m:rPr>
                  <m:sty m:val="p"/>
                </m:rPr>
                <m:t>(</m:t>
              </m:r>
              <m:sSub>
                <m:e>
                  <m:r>
                    <m:t>t</m:t>
                  </m:r>
                </m:e>
                <m:sub>
                  <m:r>
                    <m:t>i</m:t>
                  </m:r>
                </m:sub>
              </m:sSub>
              <m:r>
                <m:rPr>
                  <m:sty m:val="p"/>
                </m:rPr>
                <m:t>)</m:t>
              </m:r>
            </m:oMath>
            <w:r>
              <w:rPr>
                <w:lang w:val="es-AR"/>
              </w:rPr>
              <w:t xml:space="preserve">​</w:t>
            </w:r>
          </w:p>
        </w:tc>
        <w:tc>
          <w:tcPr>
            <w:tcW w:type="dxa" w:w="1430"/>
          </w:tcPr>
          <w:p>
            <w:pPr>
              <w:pStyle w:val="TableText"/>
              <w:jc w:val="center"/>
            </w:pPr>
            <m:oMath>
              <m:sSub>
                <m:e>
                  <m:r>
                    <m:t>t</m:t>
                  </m:r>
                </m:e>
                <m:sub>
                  <m:r>
                    <m:t>i</m:t>
                  </m:r>
                  <m:r>
                    <m:rPr>
                      <m:sty m:val="p"/>
                    </m:rPr>
                    <m:t>+</m:t>
                  </m:r>
                  <m:r>
                    <m:t>1</m:t>
                  </m:r>
                </m:sub>
              </m:sSub>
            </m:oMath>
            <w:r>
              <w:rPr>
                <w:lang w:val="es-AR"/>
              </w:rPr>
              <w:t xml:space="preserve">​</w:t>
            </w:r>
          </w:p>
        </w:tc>
        <w:tc>
          <w:tcPr>
            <w:tcW w:type="dxa" w:w="1560"/>
          </w:tcPr>
          <w:p>
            <w:pPr>
              <w:pStyle w:val="TableText"/>
              <w:jc w:val="center"/>
            </w:pPr>
            <m:oMath>
              <m:r>
                <m:rPr>
                  <m:sty m:val="p"/>
                </m:rPr>
                <m:t>|</m:t>
              </m:r>
              <m:sSub>
                <m:e>
                  <m:r>
                    <m:t>E</m:t>
                  </m:r>
                </m:e>
                <m:sub>
                  <m:r>
                    <m:t>r</m:t>
                  </m:r>
                  <m:r>
                    <m:t>a</m:t>
                  </m:r>
                </m:sub>
              </m:sSub>
              <m:r>
                <m:rPr>
                  <m:sty m:val="p"/>
                </m:rPr>
                <m:t>|</m:t>
              </m:r>
            </m:oMath>
            <w:r>
              <w:rPr>
                <w:lang w:val="es-AR"/>
              </w:rPr>
              <w:t xml:space="preserve"> </w:t>
            </w:r>
            <w:r>
              <w:rPr>
                <w:lang w:val="es-AR"/>
              </w:rPr>
              <w:t xml:space="preserve">(%)</w:t>
            </w:r>
          </w:p>
        </w:tc>
      </w:tr>
      <w:tr>
        <w:tc>
          <w:tcPr>
            <w:tcW w:type="dxa" w:w="520"/>
          </w:tcPr>
          <w:p>
            <w:pPr>
              <w:pStyle w:val="TableText"/>
              <w:jc w:val="center"/>
            </w:pPr>
            <w:r>
              <w:rPr>
                <w:lang w:val="es-AR"/>
              </w:rPr>
              <w:t xml:space="preserve">0</w:t>
            </w:r>
          </w:p>
        </w:tc>
        <w:tc>
          <w:tcPr>
            <w:tcW w:type="dxa" w:w="1430"/>
          </w:tcPr>
          <w:p>
            <w:pPr>
              <w:pStyle w:val="TableText"/>
              <w:jc w:val="center"/>
            </w:pPr>
            <w:r>
              <w:rPr>
                <w:lang w:val="es-AR"/>
              </w:rPr>
              <w:t xml:space="preserve">35,000000</w:t>
            </w:r>
          </w:p>
        </w:tc>
        <w:tc>
          <w:tcPr>
            <w:tcW w:type="dxa" w:w="1560"/>
          </w:tcPr>
          <w:p>
            <w:pPr>
              <w:pStyle w:val="TableText"/>
              <w:jc w:val="center"/>
            </w:pPr>
            <w:r>
              <w:rPr>
                <w:lang w:val="es-AR"/>
              </w:rPr>
              <w:t xml:space="preserve">−1,758365</w:t>
            </w:r>
          </w:p>
        </w:tc>
        <w:tc>
          <w:tcPr>
            <w:tcW w:type="dxa" w:w="1820"/>
          </w:tcPr>
          <w:p>
            <w:pPr>
              <w:pStyle w:val="TableText"/>
              <w:jc w:val="center"/>
            </w:pPr>
            <w:r>
              <w:rPr>
                <w:lang w:val="es-AR"/>
              </w:rPr>
              <w:t xml:space="preserve">3,386516</w:t>
            </w:r>
          </w:p>
        </w:tc>
        <w:tc>
          <w:tcPr>
            <w:tcW w:type="dxa" w:w="1430"/>
          </w:tcPr>
          <w:p>
            <w:pPr>
              <w:pStyle w:val="TableText"/>
              <w:jc w:val="center"/>
            </w:pPr>
            <w:r>
              <w:rPr>
                <w:lang w:val="es-AR"/>
              </w:rPr>
              <w:t xml:space="preserve">35,519225</w:t>
            </w:r>
          </w:p>
        </w:tc>
        <w:tc>
          <w:tcPr>
            <w:tcW w:type="dxa" w:w="1560"/>
          </w:tcPr>
          <w:p>
            <w:pPr>
              <w:pStyle w:val="TableText"/>
              <w:jc w:val="center"/>
            </w:pPr>
            <w:r>
              <w:rPr>
                <w:lang w:val="es-AR"/>
              </w:rPr>
              <w:t xml:space="preserve">1,4618</w:t>
            </w:r>
          </w:p>
        </w:tc>
      </w:tr>
      <w:tr>
        <w:tc>
          <w:tcPr>
            <w:tcW w:type="dxa" w:w="520"/>
          </w:tcPr>
          <w:p>
            <w:pPr>
              <w:pStyle w:val="TableText"/>
              <w:jc w:val="center"/>
            </w:pPr>
            <w:r>
              <w:rPr>
                <w:lang w:val="es-AR"/>
              </w:rPr>
              <w:t xml:space="preserve">1</w:t>
            </w:r>
          </w:p>
        </w:tc>
        <w:tc>
          <w:tcPr>
            <w:tcW w:type="dxa" w:w="1430"/>
          </w:tcPr>
          <w:p>
            <w:pPr>
              <w:pStyle w:val="TableText"/>
              <w:jc w:val="center"/>
            </w:pPr>
            <w:r>
              <w:rPr>
                <w:lang w:val="es-AR"/>
              </w:rPr>
              <w:t xml:space="preserve">35,519225</w:t>
            </w:r>
          </w:p>
        </w:tc>
        <w:tc>
          <w:tcPr>
            <w:tcW w:type="dxa" w:w="1560"/>
          </w:tcPr>
          <w:p>
            <w:pPr>
              <w:pStyle w:val="TableText"/>
              <w:jc w:val="center"/>
            </w:pPr>
            <w:r>
              <w:rPr>
                <w:lang w:val="es-AR"/>
              </w:rPr>
              <w:t xml:space="preserve">−0,003113</w:t>
            </w:r>
          </w:p>
        </w:tc>
        <w:tc>
          <w:tcPr>
            <w:tcW w:type="dxa" w:w="1820"/>
          </w:tcPr>
          <w:p>
            <w:pPr>
              <w:pStyle w:val="TableText"/>
              <w:jc w:val="center"/>
            </w:pPr>
            <w:r>
              <w:rPr>
                <w:lang w:val="es-AR"/>
              </w:rPr>
              <w:t xml:space="preserve">3,374301</w:t>
            </w:r>
          </w:p>
        </w:tc>
        <w:tc>
          <w:tcPr>
            <w:tcW w:type="dxa" w:w="1430"/>
          </w:tcPr>
          <w:p>
            <w:pPr>
              <w:pStyle w:val="TableText"/>
              <w:jc w:val="center"/>
            </w:pPr>
            <w:r>
              <w:rPr>
                <w:lang w:val="es-AR"/>
              </w:rPr>
              <w:t xml:space="preserve">35,520148</w:t>
            </w:r>
          </w:p>
        </w:tc>
        <w:tc>
          <w:tcPr>
            <w:tcW w:type="dxa" w:w="1560"/>
          </w:tcPr>
          <w:p>
            <w:pPr>
              <w:pStyle w:val="TableText"/>
              <w:jc w:val="center"/>
            </w:pPr>
            <w:r>
              <w:rPr>
                <w:lang w:val="es-AR"/>
              </w:rPr>
              <w:t xml:space="preserve">0,002597</w:t>
            </w:r>
          </w:p>
        </w:tc>
      </w:tr>
      <w:tr>
        <w:tc>
          <w:tcPr>
            <w:tcW w:type="dxa" w:w="520"/>
          </w:tcPr>
          <w:p>
            <w:pPr>
              <w:pStyle w:val="TableText"/>
              <w:jc w:val="center"/>
            </w:pPr>
            <w:r>
              <w:rPr>
                <w:lang w:val="es-AR"/>
              </w:rPr>
              <w:t xml:space="preserve">2</w:t>
            </w:r>
          </w:p>
        </w:tc>
        <w:tc>
          <w:tcPr>
            <w:tcW w:type="dxa" w:w="1430"/>
          </w:tcPr>
          <w:p>
            <w:pPr>
              <w:pStyle w:val="TableText"/>
              <w:jc w:val="center"/>
            </w:pPr>
            <w:r>
              <w:rPr>
                <w:lang w:val="es-AR"/>
              </w:rPr>
              <w:t xml:space="preserve">35,520148</w:t>
            </w:r>
          </w:p>
        </w:tc>
        <w:tc>
          <w:tcPr>
            <w:tcW w:type="dxa" w:w="1560"/>
          </w:tcPr>
          <w:p>
            <w:pPr>
              <w:pStyle w:val="TableText"/>
              <w:jc w:val="center"/>
            </w:pPr>
            <w:r>
              <w:rPr>
                <w:lang w:val="es-AR"/>
              </w:rPr>
              <w:t xml:space="preserve">≈ 0</w:t>
            </w:r>
          </w:p>
        </w:tc>
        <w:tc>
          <w:tcPr>
            <w:tcW w:type="dxa" w:w="1820"/>
          </w:tcPr>
          <w:p>
            <w:pPr>
              <w:pStyle w:val="TableText"/>
              <w:jc w:val="center"/>
            </w:pPr>
            <w:r>
              <w:rPr>
                <w:lang w:val="es-AR"/>
              </w:rPr>
              <w:t xml:space="preserve">3,374278</w:t>
            </w:r>
          </w:p>
        </w:tc>
        <w:tc>
          <w:tcPr>
            <w:tcW w:type="dxa" w:w="1430"/>
          </w:tcPr>
          <w:p>
            <w:pPr>
              <w:pStyle w:val="TableText"/>
              <w:jc w:val="center"/>
            </w:pPr>
            <w:r>
              <w:rPr>
                <w:lang w:val="es-AR"/>
              </w:rPr>
              <w:t xml:space="preserve">35,520148</w:t>
            </w:r>
          </w:p>
        </w:tc>
        <w:tc>
          <w:tcPr>
            <w:tcW w:type="dxa" w:w="1560"/>
          </w:tcPr>
          <w:p>
            <w:pPr>
              <w:pStyle w:val="TableText"/>
              <w:jc w:val="center"/>
            </w:pPr>
            <w:r>
              <w:rPr>
                <w:lang w:val="es-AR"/>
              </w:rPr>
              <w:t xml:space="preserve">≈ 0</w:t>
            </w:r>
          </w:p>
        </w:tc>
      </w:tr>
    </w:tbl>
    <w:p>
      <w:pPr>
        <w:pStyle w:val="BodyText"/>
        <w:spacing w:before="240"/>
      </w:pPr>
      <w:r>
        <w:rPr>
          <w:lang w:val="es-AR"/>
        </w:rPr>
        <w:t xml:space="preserve">El método alcanzó la tolerancia en 3 iteraciones:</w:t>
      </w:r>
    </w:p>
    <w:p>
      <w:pPr>
        <w:pStyle w:val="BodyText"/>
      </w:pPr>
      <m:oMathPara>
        <m:oMathParaPr>
          <m:jc m:val="center"/>
        </m:oMathParaPr>
        <m:oMath>
          <m:sSubSup>
            <m:e>
              <m:r>
                <m:t>t</m:t>
              </m:r>
            </m:e>
            <m:sub>
              <m:r>
                <m:rPr>
                  <m:nor/>
                </m:rPr>
                <m:t>NR</m:t>
              </m:r>
            </m:sub>
            <m:sup>
              <m:r>
                <m:rPr>
                  <m:sty m:val="p"/>
                </m:rPr>
                <m:t>*</m:t>
              </m:r>
            </m:sup>
          </m:sSubSup>
          <m:r>
            <m:rPr>
              <m:sty m:val="p"/>
            </m:rPr>
            <m:t>=</m:t>
          </m:r>
          <m:r>
            <m:t>35</m:t>
          </m:r>
          <m:r>
            <m:rPr>
              <m:sty m:val="p"/>
            </m:rPr>
            <m:t>,</m:t>
          </m:r>
          <m:r>
            <m:t>520148</m:t>
          </m:r>
          <m:r>
            <m:t> </m:t>
          </m:r>
          <m:r>
            <m:rPr>
              <m:nor/>
            </m:rPr>
            <m:t>semanas</m:t>
          </m:r>
        </m:oMath>
      </m:oMathPara>
    </w:p>
    <w:p>
      <w:pPr>
        <w:pStyle w:val="FirstParagraph"/>
      </w:pPr>
      <w:r>
        <w:rPr>
          <w:lang w:val="es-AR"/>
        </w:rPr>
        <w:t xml:space="preserve">Ambos métodos coinciden en la raíz del modelo de regresión hasta la cuarta cifra decimal.</w:t>
      </w:r>
    </w:p>
    <w:bookmarkEnd w:id="31"/>
    <w:bookmarkStart w:id="32" w:name="X54f09e8ab5b74bb1608d7cd9986c8a0f98e7a44"/>
    <w:p>
      <w:pPr>
        <w:pStyle w:val="Heading3"/>
      </w:pPr>
      <w:r>
        <w:rPr>
          <w:lang w:val="es-AR"/>
        </w:rPr>
        <w:t xml:space="preserve">3.2.4. Contraste con la trazadora y con la interpolación lineal</w:t>
      </w:r>
    </w:p>
    <w:p>
      <w:pPr>
        <w:pStyle w:val="FirstParagraph"/>
      </w:pPr>
      <w:r>
        <w:rPr>
          <w:lang w:val="es-AR"/>
        </w:rPr>
        <w:t xml:space="preserve">La regresión ubica el cruce en la semana 35,520148, pero el dato medido en la semana 35 (</w:t>
      </w:r>
      <m:oMath>
        <m:r>
          <m:t>99</m:t>
        </m:r>
        <m:r>
          <m:rPr>
            <m:sty m:val="p"/>
          </m:rPr>
          <m:t>,</m:t>
        </m:r>
        <m:r>
          <m:t>602</m:t>
        </m:r>
      </m:oMath>
      <w:r>
        <w:rPr>
          <w:lang w:val="es-AR"/>
        </w:rPr>
        <w:t xml:space="preserve"> </w:t>
      </w:r>
      <w:r>
        <w:rPr>
          <w:lang w:val="es-AR"/>
        </w:rPr>
        <w:t xml:space="preserve">M) ya está muy cerca de los 100 millones. Para obtener un resultado que respete las mediciones se aplicaron los mismos dos métodos sobre la trazadora cúbica natural, en el mismo intervalo</w:t>
      </w:r>
      <w:r>
        <w:rPr>
          <w:lang w:val="es-AR"/>
        </w:rPr>
        <w:t xml:space="preserve"> </w:t>
      </w:r>
      <m:oMath>
        <m:r>
          <m:rPr>
            <m:sty m:val="p"/>
          </m:rPr>
          <m:t>[</m:t>
        </m:r>
        <m:r>
          <m:t>35</m:t>
        </m:r>
        <m:r>
          <m:rPr>
            <m:sty m:val="p"/>
          </m:rPr>
          <m:t>;</m:t>
        </m:r>
        <m:r>
          <m:t>36</m:t>
        </m:r>
        <m:r>
          <m:rPr>
            <m:sty m:val="p"/>
          </m:rPr>
          <m:t>]</m:t>
        </m:r>
      </m:oMath>
      <w:r>
        <w:rPr>
          <w:lang w:val="es-AR"/>
        </w:rPr>
        <w:t xml:space="preserve">, donde los datos cambian de signo. En ese tramo,</w:t>
      </w:r>
    </w:p>
    <w:p>
      <w:pPr>
        <w:pStyle w:val="BodyText"/>
      </w:pPr>
      <m:oMathPara>
        <m:oMathParaPr>
          <m:jc m:val="center"/>
        </m:oMathParaPr>
        <m:oMath>
          <m:sSub>
            <m:e>
              <m:r>
                <m:t>f</m:t>
              </m:r>
            </m:e>
            <m:sub>
              <m:r>
                <m:t>s</m:t>
              </m:r>
            </m:sub>
          </m:sSub>
          <m:r>
            <m:rPr>
              <m:sty m:val="p"/>
            </m:rPr>
            <m:t>(</m:t>
          </m:r>
          <m:r>
            <m:t>t</m:t>
          </m:r>
          <m:r>
            <m:rPr>
              <m:sty m:val="p"/>
            </m:rPr>
            <m:t>)</m:t>
          </m:r>
          <m:r>
            <m:rPr>
              <m:sty m:val="p"/>
            </m:rPr>
            <m:t>=</m:t>
          </m:r>
          <m:sSub>
            <m:e>
              <m:r>
                <m:t>S</m:t>
              </m:r>
            </m:e>
            <m:sub>
              <m:r>
                <m:t>35</m:t>
              </m:r>
            </m:sub>
          </m:sSub>
          <m:r>
            <m:rPr>
              <m:sty m:val="p"/>
            </m:rPr>
            <m:t>(</m:t>
          </m:r>
          <m:r>
            <m:t>t</m:t>
          </m:r>
          <m:r>
            <m:rPr>
              <m:sty m:val="p"/>
            </m:rPr>
            <m:t>)</m:t>
          </m:r>
          <m:r>
            <m:rPr>
              <m:sty m:val="p"/>
            </m:rPr>
            <m:t>−</m:t>
          </m:r>
          <m:r>
            <m:t>100</m:t>
          </m:r>
          <m:r>
            <m:rPr>
              <m:sty m:val="p"/>
            </m:rPr>
            <m:t>,</m:t>
          </m:r>
          <m:r>
            <m:t>  </m:t>
          </m:r>
          <m:sSubSup>
            <m:e>
              <m:r>
                <m:t>f</m:t>
              </m:r>
            </m:e>
            <m:sub>
              <m:r>
                <m:t>s</m:t>
              </m:r>
            </m:sub>
            <m:sup>
              <m:r>
                <m:rPr>
                  <m:sty m:val="p"/>
                </m:rPr>
                <m:t>′</m:t>
              </m:r>
            </m:sup>
          </m:sSubSup>
          <m:r>
            <m:rPr>
              <m:sty m:val="p"/>
            </m:rPr>
            <m:t>(</m:t>
          </m:r>
          <m:r>
            <m:t>t</m:t>
          </m:r>
          <m:r>
            <m:rPr>
              <m:sty m:val="p"/>
            </m:rPr>
            <m:t>)</m:t>
          </m:r>
          <m:r>
            <m:rPr>
              <m:sty m:val="p"/>
            </m:rPr>
            <m:t>=</m:t>
          </m:r>
          <m:r>
            <m:t>3</m:t>
          </m:r>
          <m:r>
            <m:rPr>
              <m:sty m:val="p"/>
            </m:rPr>
            <m:t>,</m:t>
          </m:r>
          <m:r>
            <m:t>204511</m:t>
          </m:r>
          <m:r>
            <m:rPr>
              <m:sty m:val="p"/>
            </m:rPr>
            <m:t>−</m:t>
          </m:r>
          <m:r>
            <m:t>2</m:t>
          </m:r>
          <m:r>
            <m:rPr>
              <m:sty m:val="p"/>
            </m:rPr>
            <m:t>⋅</m:t>
          </m:r>
          <m:r>
            <m:t>0</m:t>
          </m:r>
          <m:r>
            <m:rPr>
              <m:sty m:val="p"/>
            </m:rPr>
            <m:t>,</m:t>
          </m:r>
          <m:r>
            <m:t>057865</m:t>
          </m:r>
          <m:r>
            <m:t> </m:t>
          </m:r>
          <m:r>
            <m:rPr>
              <m:sty m:val="p"/>
            </m:rPr>
            <m:t>(</m:t>
          </m:r>
          <m:r>
            <m:t>t</m:t>
          </m:r>
          <m:r>
            <m:rPr>
              <m:sty m:val="p"/>
            </m:rPr>
            <m:t>−</m:t>
          </m:r>
          <m:r>
            <m:t>35</m:t>
          </m:r>
          <m:r>
            <m:rPr>
              <m:sty m:val="p"/>
            </m:rPr>
            <m:t>)</m:t>
          </m:r>
          <m:r>
            <m:rPr>
              <m:sty m:val="p"/>
            </m:rPr>
            <m:t>−</m:t>
          </m:r>
          <m:r>
            <m:t>3</m:t>
          </m:r>
          <m:r>
            <m:rPr>
              <m:sty m:val="p"/>
            </m:rPr>
            <m:t>⋅</m:t>
          </m:r>
          <m:r>
            <m:t>0</m:t>
          </m:r>
          <m:r>
            <m:rPr>
              <m:sty m:val="p"/>
            </m:rPr>
            <m:t>,</m:t>
          </m:r>
          <m:r>
            <m:t>010708</m:t>
          </m:r>
          <m:r>
            <m:t> </m:t>
          </m:r>
          <m:r>
            <m:rPr>
              <m:sty m:val="p"/>
            </m:rPr>
            <m:t>(</m:t>
          </m:r>
          <m:r>
            <m:t>t</m:t>
          </m:r>
          <m:r>
            <m:rPr>
              <m:sty m:val="p"/>
            </m:rPr>
            <m:t>−</m:t>
          </m:r>
          <m:r>
            <m:t>35</m:t>
          </m:r>
          <m:sSup>
            <m:e>
              <m:r>
                <m:rPr>
                  <m:sty m:val="p"/>
                </m:rPr>
                <m:t>)</m:t>
              </m:r>
            </m:e>
            <m:sup>
              <m:r>
                <m:t>2</m:t>
              </m:r>
            </m:sup>
          </m:sSup>
        </m:oMath>
      </m:oMathPara>
    </w:p>
    <w:p>
      <w:pPr>
        <w:pStyle w:val="TableCaption"/>
      </w:pPr>
      <w:r>
        <w:rPr>
          <w:lang w:val="es-AR"/>
        </w:rPr>
        <w:t xml:space="preserve">Tabla 4. Método de Newton-Raphson aplicado a la trazadora cúbica natural con</w:t>
      </w:r>
      <w:r>
        <w:rPr>
          <w:lang w:val="es-AR"/>
        </w:rPr>
        <w:t xml:space="preserve"> </w:t>
      </w:r>
      <m:oMath>
        <m:sSub>
          <m:e>
            <m:r>
              <m:t>t</m:t>
            </m:r>
          </m:e>
          <m:sub>
            <m:r>
              <m:t>0</m:t>
            </m:r>
          </m:sub>
        </m:sSub>
        <m:r>
          <m:rPr>
            <m:sty m:val="p"/>
          </m:rPr>
          <m:t>=</m:t>
        </m:r>
        <m:r>
          <m:t>35</m:t>
        </m:r>
      </m:oMath>
      <w:r>
        <w:rPr>
          <w:lang w:val="es-AR"/>
        </w:rPr>
        <w:t xml:space="preserve">.</w:t>
      </w:r>
    </w:p>
    <w:tbl>
      <w:tblPr>
        <w:tblStyle w:val="Table"/>
        <w:tblW w:type="dxa" w:w="8320"/>
        <w:tblLook w:firstRow="1" w:lastRow="0" w:firstColumn="0" w:lastColumn="0" w:noHBand="0" w:noVBand="0" w:val="0020"/>
        <w:tblCaption w:val="Tabla 4. Método de Newton-Raphson aplicado a la trazadora cúbica natural con t_0 = 35."/>
      </w:tblPr>
      <w:tblGrid>
        <w:gridCol w:w="520"/>
        <w:gridCol w:w="1430"/>
        <w:gridCol w:w="1560"/>
        <w:gridCol w:w="1820"/>
        <w:gridCol w:w="1430"/>
        <w:gridCol w:w="1560"/>
      </w:tblGrid>
      <w:tr>
        <w:trPr>
          <w:tblHeader w:val="on"/>
        </w:trPr>
        <w:tc>
          <w:tcPr>
            <w:tcW w:type="dxa" w:w="520"/>
          </w:tcPr>
          <w:p>
            <w:pPr>
              <w:pStyle w:val="TableText"/>
              <w:jc w:val="center"/>
            </w:pPr>
            <m:oMath>
              <m:r>
                <m:t>i</m:t>
              </m:r>
            </m:oMath>
            <w:r>
              <w:rPr>
                <w:lang w:val="es-AR"/>
              </w:rPr>
              <w:t xml:space="preserve">​</w:t>
            </w:r>
          </w:p>
        </w:tc>
        <w:tc>
          <w:tcPr>
            <w:tcW w:type="dxa" w:w="1430"/>
          </w:tcPr>
          <w:p>
            <w:pPr>
              <w:pStyle w:val="TableText"/>
              <w:jc w:val="center"/>
            </w:pPr>
            <m:oMath>
              <m:sSub>
                <m:e>
                  <m:r>
                    <m:t>t</m:t>
                  </m:r>
                </m:e>
                <m:sub>
                  <m:r>
                    <m:t>i</m:t>
                  </m:r>
                </m:sub>
              </m:sSub>
            </m:oMath>
            <w:r>
              <w:rPr>
                <w:lang w:val="es-AR"/>
              </w:rPr>
              <w:t xml:space="preserve">​</w:t>
            </w:r>
          </w:p>
        </w:tc>
        <w:tc>
          <w:tcPr>
            <w:tcW w:type="dxa" w:w="1560"/>
          </w:tcPr>
          <w:p>
            <w:pPr>
              <w:pStyle w:val="TableText"/>
              <w:jc w:val="center"/>
            </w:pPr>
            <m:oMath>
              <m:r>
                <m:t>f</m:t>
              </m:r>
              <m:r>
                <m:rPr>
                  <m:sty m:val="p"/>
                </m:rPr>
                <m:t>(</m:t>
              </m:r>
              <m:sSub>
                <m:e>
                  <m:r>
                    <m:t>t</m:t>
                  </m:r>
                </m:e>
                <m:sub>
                  <m:r>
                    <m:t>i</m:t>
                  </m:r>
                </m:sub>
              </m:sSub>
              <m:r>
                <m:rPr>
                  <m:sty m:val="p"/>
                </m:rPr>
                <m:t>)</m:t>
              </m:r>
            </m:oMath>
            <w:r>
              <w:rPr>
                <w:lang w:val="es-AR"/>
              </w:rPr>
              <w:t xml:space="preserve">​</w:t>
            </w:r>
          </w:p>
        </w:tc>
        <w:tc>
          <w:tcPr>
            <w:tcW w:type="dxa" w:w="1820"/>
          </w:tcPr>
          <w:p>
            <w:pPr>
              <w:pStyle w:val="TableText"/>
              <w:jc w:val="center"/>
            </w:pPr>
            <m:oMath>
              <m:sSup>
                <m:e>
                  <m:r>
                    <m:t>f</m:t>
                  </m:r>
                </m:e>
                <m:sup>
                  <m:r>
                    <m:rPr>
                      <m:sty m:val="p"/>
                    </m:rPr>
                    <m:t>′</m:t>
                  </m:r>
                </m:sup>
              </m:sSup>
              <m:r>
                <m:rPr>
                  <m:sty m:val="p"/>
                </m:rPr>
                <m:t>(</m:t>
              </m:r>
              <m:sSub>
                <m:e>
                  <m:r>
                    <m:t>t</m:t>
                  </m:r>
                </m:e>
                <m:sub>
                  <m:r>
                    <m:t>i</m:t>
                  </m:r>
                </m:sub>
              </m:sSub>
              <m:r>
                <m:rPr>
                  <m:sty m:val="p"/>
                </m:rPr>
                <m:t>)</m:t>
              </m:r>
            </m:oMath>
            <w:r>
              <w:rPr>
                <w:lang w:val="es-AR"/>
              </w:rPr>
              <w:t xml:space="preserve">​</w:t>
            </w:r>
          </w:p>
        </w:tc>
        <w:tc>
          <w:tcPr>
            <w:tcW w:type="dxa" w:w="1430"/>
          </w:tcPr>
          <w:p>
            <w:pPr>
              <w:pStyle w:val="TableText"/>
              <w:jc w:val="center"/>
            </w:pPr>
            <m:oMath>
              <m:sSub>
                <m:e>
                  <m:r>
                    <m:t>t</m:t>
                  </m:r>
                </m:e>
                <m:sub>
                  <m:r>
                    <m:t>i</m:t>
                  </m:r>
                  <m:r>
                    <m:rPr>
                      <m:sty m:val="p"/>
                    </m:rPr>
                    <m:t>+</m:t>
                  </m:r>
                  <m:r>
                    <m:t>1</m:t>
                  </m:r>
                </m:sub>
              </m:sSub>
            </m:oMath>
            <w:r>
              <w:rPr>
                <w:lang w:val="es-AR"/>
              </w:rPr>
              <w:t xml:space="preserve">​</w:t>
            </w:r>
          </w:p>
        </w:tc>
        <w:tc>
          <w:tcPr>
            <w:tcW w:type="dxa" w:w="1560"/>
          </w:tcPr>
          <w:p>
            <w:pPr>
              <w:pStyle w:val="TableText"/>
              <w:jc w:val="center"/>
            </w:pPr>
            <m:oMath>
              <m:r>
                <m:rPr>
                  <m:sty m:val="p"/>
                </m:rPr>
                <m:t>|</m:t>
              </m:r>
              <m:sSub>
                <m:e>
                  <m:r>
                    <m:t>E</m:t>
                  </m:r>
                </m:e>
                <m:sub>
                  <m:r>
                    <m:t>r</m:t>
                  </m:r>
                  <m:r>
                    <m:t>a</m:t>
                  </m:r>
                </m:sub>
              </m:sSub>
              <m:r>
                <m:rPr>
                  <m:sty m:val="p"/>
                </m:rPr>
                <m:t>|</m:t>
              </m:r>
            </m:oMath>
            <w:r>
              <w:rPr>
                <w:lang w:val="es-AR"/>
              </w:rPr>
              <w:t xml:space="preserve"> </w:t>
            </w:r>
            <w:r>
              <w:rPr>
                <w:lang w:val="es-AR"/>
              </w:rPr>
              <w:t xml:space="preserve">(%)</w:t>
            </w:r>
          </w:p>
        </w:tc>
      </w:tr>
      <w:tr>
        <w:tc>
          <w:tcPr>
            <w:tcW w:type="dxa" w:w="520"/>
          </w:tcPr>
          <w:p>
            <w:pPr>
              <w:pStyle w:val="TableText"/>
              <w:jc w:val="center"/>
            </w:pPr>
            <w:r>
              <w:rPr>
                <w:lang w:val="es-AR"/>
              </w:rPr>
              <w:t xml:space="preserve">0</w:t>
            </w:r>
          </w:p>
        </w:tc>
        <w:tc>
          <w:tcPr>
            <w:tcW w:type="dxa" w:w="1430"/>
          </w:tcPr>
          <w:p>
            <w:pPr>
              <w:pStyle w:val="TableText"/>
              <w:jc w:val="center"/>
            </w:pPr>
            <w:r>
              <w:rPr>
                <w:lang w:val="es-AR"/>
              </w:rPr>
              <w:t xml:space="preserve">35,000000</w:t>
            </w:r>
          </w:p>
        </w:tc>
        <w:tc>
          <w:tcPr>
            <w:tcW w:type="dxa" w:w="1560"/>
          </w:tcPr>
          <w:p>
            <w:pPr>
              <w:pStyle w:val="TableText"/>
              <w:jc w:val="center"/>
            </w:pPr>
            <w:r>
              <w:rPr>
                <w:lang w:val="es-AR"/>
              </w:rPr>
              <w:t xml:space="preserve">−0,397848</w:t>
            </w:r>
          </w:p>
        </w:tc>
        <w:tc>
          <w:tcPr>
            <w:tcW w:type="dxa" w:w="1820"/>
          </w:tcPr>
          <w:p>
            <w:pPr>
              <w:pStyle w:val="TableText"/>
              <w:jc w:val="center"/>
            </w:pPr>
            <w:r>
              <w:rPr>
                <w:lang w:val="es-AR"/>
              </w:rPr>
              <w:t xml:space="preserve">3,204511</w:t>
            </w:r>
          </w:p>
        </w:tc>
        <w:tc>
          <w:tcPr>
            <w:tcW w:type="dxa" w:w="1430"/>
          </w:tcPr>
          <w:p>
            <w:pPr>
              <w:pStyle w:val="TableText"/>
              <w:jc w:val="center"/>
            </w:pPr>
            <w:r>
              <w:rPr>
                <w:lang w:val="es-AR"/>
              </w:rPr>
              <w:t xml:space="preserve">35,124152</w:t>
            </w:r>
          </w:p>
        </w:tc>
        <w:tc>
          <w:tcPr>
            <w:tcW w:type="dxa" w:w="1560"/>
          </w:tcPr>
          <w:p>
            <w:pPr>
              <w:pStyle w:val="TableText"/>
              <w:jc w:val="center"/>
            </w:pPr>
            <w:r>
              <w:rPr>
                <w:lang w:val="es-AR"/>
              </w:rPr>
              <w:t xml:space="preserve">0,3535</w:t>
            </w:r>
          </w:p>
        </w:tc>
      </w:tr>
      <w:tr>
        <w:tc>
          <w:tcPr>
            <w:tcW w:type="dxa" w:w="520"/>
          </w:tcPr>
          <w:p>
            <w:pPr>
              <w:pStyle w:val="TableText"/>
              <w:jc w:val="center"/>
            </w:pPr>
            <w:r>
              <w:rPr>
                <w:lang w:val="es-AR"/>
              </w:rPr>
              <w:t xml:space="preserve">1</w:t>
            </w:r>
          </w:p>
        </w:tc>
        <w:tc>
          <w:tcPr>
            <w:tcW w:type="dxa" w:w="1430"/>
          </w:tcPr>
          <w:p>
            <w:pPr>
              <w:pStyle w:val="TableText"/>
              <w:jc w:val="center"/>
            </w:pPr>
            <w:r>
              <w:rPr>
                <w:lang w:val="es-AR"/>
              </w:rPr>
              <w:t xml:space="preserve">35,124152</w:t>
            </w:r>
          </w:p>
        </w:tc>
        <w:tc>
          <w:tcPr>
            <w:tcW w:type="dxa" w:w="1560"/>
          </w:tcPr>
          <w:p>
            <w:pPr>
              <w:pStyle w:val="TableText"/>
              <w:jc w:val="center"/>
            </w:pPr>
            <w:r>
              <w:rPr>
                <w:lang w:val="es-AR"/>
              </w:rPr>
              <w:t xml:space="preserve">−0,000912</w:t>
            </w:r>
          </w:p>
        </w:tc>
        <w:tc>
          <w:tcPr>
            <w:tcW w:type="dxa" w:w="1820"/>
          </w:tcPr>
          <w:p>
            <w:pPr>
              <w:pStyle w:val="TableText"/>
              <w:jc w:val="center"/>
            </w:pPr>
            <w:r>
              <w:rPr>
                <w:lang w:val="es-AR"/>
              </w:rPr>
              <w:t xml:space="preserve">3,189648</w:t>
            </w:r>
          </w:p>
        </w:tc>
        <w:tc>
          <w:tcPr>
            <w:tcW w:type="dxa" w:w="1430"/>
          </w:tcPr>
          <w:p>
            <w:pPr>
              <w:pStyle w:val="TableText"/>
              <w:jc w:val="center"/>
            </w:pPr>
            <w:r>
              <w:rPr>
                <w:lang w:val="es-AR"/>
              </w:rPr>
              <w:t xml:space="preserve">35,124439</w:t>
            </w:r>
          </w:p>
        </w:tc>
        <w:tc>
          <w:tcPr>
            <w:tcW w:type="dxa" w:w="1560"/>
          </w:tcPr>
          <w:p>
            <w:pPr>
              <w:pStyle w:val="TableText"/>
              <w:jc w:val="center"/>
            </w:pPr>
            <w:r>
              <w:rPr>
                <w:lang w:val="es-AR"/>
              </w:rPr>
              <w:t xml:space="preserve">0,000814</w:t>
            </w:r>
          </w:p>
        </w:tc>
      </w:tr>
      <w:tr>
        <w:tc>
          <w:tcPr>
            <w:tcW w:type="dxa" w:w="520"/>
          </w:tcPr>
          <w:p>
            <w:pPr>
              <w:pStyle w:val="TableText"/>
              <w:jc w:val="center"/>
            </w:pPr>
            <w:r>
              <w:rPr>
                <w:lang w:val="es-AR"/>
              </w:rPr>
              <w:t xml:space="preserve">2</w:t>
            </w:r>
          </w:p>
        </w:tc>
        <w:tc>
          <w:tcPr>
            <w:tcW w:type="dxa" w:w="1430"/>
          </w:tcPr>
          <w:p>
            <w:pPr>
              <w:pStyle w:val="TableText"/>
              <w:jc w:val="center"/>
            </w:pPr>
            <w:r>
              <w:rPr>
                <w:lang w:val="es-AR"/>
              </w:rPr>
              <w:t xml:space="preserve">35,124439</w:t>
            </w:r>
          </w:p>
        </w:tc>
        <w:tc>
          <w:tcPr>
            <w:tcW w:type="dxa" w:w="1560"/>
          </w:tcPr>
          <w:p>
            <w:pPr>
              <w:pStyle w:val="TableText"/>
              <w:jc w:val="center"/>
            </w:pPr>
            <w:r>
              <w:rPr>
                <w:lang w:val="es-AR"/>
              </w:rPr>
              <w:t xml:space="preserve">≈ 0</w:t>
            </w:r>
          </w:p>
        </w:tc>
        <w:tc>
          <w:tcPr>
            <w:tcW w:type="dxa" w:w="1820"/>
          </w:tcPr>
          <w:p>
            <w:pPr>
              <w:pStyle w:val="TableText"/>
              <w:jc w:val="center"/>
            </w:pPr>
            <w:r>
              <w:rPr>
                <w:lang w:val="es-AR"/>
              </w:rPr>
              <w:t xml:space="preserve">3,189612</w:t>
            </w:r>
          </w:p>
        </w:tc>
        <w:tc>
          <w:tcPr>
            <w:tcW w:type="dxa" w:w="1430"/>
          </w:tcPr>
          <w:p>
            <w:pPr>
              <w:pStyle w:val="TableText"/>
              <w:jc w:val="center"/>
            </w:pPr>
            <w:r>
              <w:rPr>
                <w:lang w:val="es-AR"/>
              </w:rPr>
              <w:t xml:space="preserve">35,124439</w:t>
            </w:r>
          </w:p>
        </w:tc>
        <w:tc>
          <w:tcPr>
            <w:tcW w:type="dxa" w:w="1560"/>
          </w:tcPr>
          <w:p>
            <w:pPr>
              <w:pStyle w:val="TableText"/>
              <w:jc w:val="center"/>
            </w:pPr>
            <w:r>
              <w:rPr>
                <w:lang w:val="es-AR"/>
              </w:rPr>
              <w:t xml:space="preserve">≈ 0</w:t>
            </w:r>
          </w:p>
        </w:tc>
      </w:tr>
    </w:tbl>
    <w:p>
      <w:pPr>
        <w:pStyle w:val="BodyText"/>
        <w:spacing w:before="240"/>
      </w:pPr>
      <w:r>
        <w:rPr>
          <w:lang w:val="es-AR"/>
        </w:rPr>
        <w:t xml:space="preserve">La Bisección sobre la trazadora, cuyo detalle se presenta en el Anexo A, convergió en 15 iteraciones a 35,124420 semanas, valor que coincide con el de Newton-Raphson hasta la cuarta cifra decimal. Como control independiente, se calculó además la interpolación lineal entre las dos semanas que encierran el cruce:</w:t>
      </w:r>
    </w:p>
    <w:p>
      <w:pPr>
        <w:pStyle w:val="BodyText"/>
      </w:pPr>
      <m:oMathPara>
        <m:oMathParaPr>
          <m:jc m:val="center"/>
        </m:oMathParaPr>
        <m:oMath>
          <m:sSub>
            <m:e>
              <m:r>
                <m:t>t</m:t>
              </m:r>
            </m:e>
            <m:sub>
              <m:r>
                <m:t>l</m:t>
              </m:r>
              <m:r>
                <m:t>i</m:t>
              </m:r>
              <m:r>
                <m:t>n</m:t>
              </m:r>
              <m:r>
                <m:t>e</m:t>
              </m:r>
              <m:r>
                <m:t>a</m:t>
              </m:r>
              <m:r>
                <m:t>l</m:t>
              </m:r>
            </m:sub>
          </m:sSub>
          <m:r>
            <m:rPr>
              <m:sty m:val="p"/>
            </m:rPr>
            <m:t>=</m:t>
          </m:r>
          <m:sSub>
            <m:e>
              <m:r>
                <m:t>t</m:t>
              </m:r>
            </m:e>
            <m:sub>
              <m:r>
                <m:t>35</m:t>
              </m:r>
            </m:sub>
          </m:sSub>
          <m:r>
            <m:rPr>
              <m:sty m:val="p"/>
            </m:rPr>
            <m:t>+</m:t>
          </m:r>
          <m:f>
            <m:fPr>
              <m:type m:val="bar"/>
            </m:fPr>
            <m:num>
              <m:r>
                <m:t>100</m:t>
              </m:r>
              <m:r>
                <m:rPr>
                  <m:sty m:val="p"/>
                </m:rPr>
                <m:t>−</m:t>
              </m:r>
              <m:sSub>
                <m:e>
                  <m:r>
                    <m:t>S</m:t>
                  </m:r>
                </m:e>
                <m:sub>
                  <m:r>
                    <m:t>35</m:t>
                  </m:r>
                </m:sub>
              </m:sSub>
            </m:num>
            <m:den>
              <m:sSub>
                <m:e>
                  <m:r>
                    <m:t>S</m:t>
                  </m:r>
                </m:e>
                <m:sub>
                  <m:r>
                    <m:t>36</m:t>
                  </m:r>
                </m:sub>
              </m:sSub>
              <m:r>
                <m:rPr>
                  <m:sty m:val="p"/>
                </m:rPr>
                <m:t>−</m:t>
              </m:r>
              <m:sSub>
                <m:e>
                  <m:r>
                    <m:t>S</m:t>
                  </m:r>
                </m:e>
                <m:sub>
                  <m:r>
                    <m:t>35</m:t>
                  </m:r>
                </m:sub>
              </m:sSub>
            </m:den>
          </m:f>
          <m:r>
            <m:rPr>
              <m:sty m:val="p"/>
            </m:rPr>
            <m:t>=</m:t>
          </m:r>
          <m:r>
            <m:t>35</m:t>
          </m:r>
          <m:r>
            <m:rPr>
              <m:sty m:val="p"/>
            </m:rPr>
            <m:t>+</m:t>
          </m:r>
          <m:f>
            <m:fPr>
              <m:type m:val="bar"/>
            </m:fPr>
            <m:num>
              <m:r>
                <m:t>100</m:t>
              </m:r>
              <m:r>
                <m:rPr>
                  <m:sty m:val="p"/>
                </m:rPr>
                <m:t>−</m:t>
              </m:r>
              <m:r>
                <m:t>99</m:t>
              </m:r>
              <m:r>
                <m:rPr>
                  <m:sty m:val="p"/>
                </m:rPr>
                <m:t>,</m:t>
              </m:r>
              <m:r>
                <m:t>602</m:t>
              </m:r>
            </m:num>
            <m:den>
              <m:r>
                <m:t>102</m:t>
              </m:r>
              <m:r>
                <m:rPr>
                  <m:sty m:val="p"/>
                </m:rPr>
                <m:t>,</m:t>
              </m:r>
              <m:r>
                <m:t>738</m:t>
              </m:r>
              <m:r>
                <m:rPr>
                  <m:sty m:val="p"/>
                </m:rPr>
                <m:t>−</m:t>
              </m:r>
              <m:r>
                <m:t>99</m:t>
              </m:r>
              <m:r>
                <m:rPr>
                  <m:sty m:val="p"/>
                </m:rPr>
                <m:t>,</m:t>
              </m:r>
              <m:r>
                <m:t>602</m:t>
              </m:r>
            </m:den>
          </m:f>
          <m:r>
            <m:rPr>
              <m:sty m:val="p"/>
            </m:rPr>
            <m:t>=</m:t>
          </m:r>
          <m:r>
            <m:t>35</m:t>
          </m:r>
          <m:r>
            <m:rPr>
              <m:sty m:val="p"/>
            </m:rPr>
            <m:t>,</m:t>
          </m:r>
          <m:r>
            <m:t>1269</m:t>
          </m:r>
          <m:r>
            <m:t> </m:t>
          </m:r>
          <m:r>
            <m:rPr>
              <m:nor/>
            </m:rPr>
            <m:t>semanas</m:t>
          </m:r>
        </m:oMath>
      </m:oMathPara>
    </w:p>
    <w:p>
      <w:pPr>
        <w:pStyle w:val="FirstParagraph"/>
      </w:pPr>
      <w:r>
        <w:rPr>
          <w:lang w:val="es-AR"/>
        </w:rPr>
        <w:t xml:space="preserve">La Tabla 5 reúne todos los resultados. La trazadora y la interpolación lineal difieren en apenas 0,4 horas, lo que confirma que ambas reflejan el cruce de los datos medidos.</w:t>
      </w:r>
    </w:p>
    <w:p>
      <w:pPr>
        <w:pStyle w:val="TableCaption"/>
      </w:pPr>
      <w:r>
        <w:rPr>
          <w:lang w:val="es-AR"/>
        </w:rPr>
        <w:t xml:space="preserve">Tabla 5. Instante en que se superan los 100 millones de reproducciones acumuladas según cada procedimiento.</w:t>
      </w:r>
    </w:p>
    <w:tbl>
      <w:tblPr>
        <w:tblStyle w:val="Table"/>
        <w:tblW w:type="dxa" w:w="8785"/>
        <w:tblLook w:firstRow="1" w:lastRow="0" w:firstColumn="0" w:lastColumn="0" w:noHBand="0" w:noVBand="0" w:val="0020"/>
        <w:tblCaption w:val="Tabla 5. Instante en que se superan los 100 millones de reproducciones acumuladas según cada procedimiento."/>
      </w:tblPr>
      <w:tblGrid>
        <w:gridCol w:w="2172"/>
        <w:gridCol w:w="1678"/>
        <w:gridCol w:w="1283"/>
        <w:gridCol w:w="1086"/>
        <w:gridCol w:w="2566"/>
      </w:tblGrid>
      <w:tr>
        <w:trPr>
          <w:tblHeader w:val="on"/>
        </w:trPr>
        <w:tc>
          <w:tcPr>
            <w:tcW w:type="dxa" w:w="2172"/>
          </w:tcPr>
          <w:p>
            <w:pPr>
              <w:pStyle w:val="TableText"/>
              <w:jc w:val="left"/>
            </w:pPr>
            <w:r>
              <w:rPr>
                <w:lang w:val="es-AR"/>
              </w:rPr>
              <w:t xml:space="preserve">Procedimiento</w:t>
            </w:r>
          </w:p>
        </w:tc>
        <w:tc>
          <w:tcPr>
            <w:tcW w:type="dxa" w:w="1678"/>
          </w:tcPr>
          <w:p>
            <w:pPr>
              <w:pStyle w:val="TableText"/>
              <w:jc w:val="left"/>
            </w:pPr>
            <w:r>
              <w:rPr>
                <w:lang w:val="es-AR"/>
              </w:rPr>
              <w:t xml:space="preserve">Método</w:t>
            </w:r>
          </w:p>
        </w:tc>
        <w:tc>
          <w:tcPr>
            <w:tcW w:type="dxa" w:w="1283"/>
          </w:tcPr>
          <w:p>
            <w:pPr>
              <w:pStyle w:val="TableText"/>
              <w:jc w:val="center"/>
            </w:pPr>
            <w:r>
              <w:rPr>
                <w:lang w:val="es-AR"/>
              </w:rPr>
              <w:t xml:space="preserve">Iteraciones</w:t>
            </w:r>
          </w:p>
        </w:tc>
        <w:tc>
          <w:tcPr>
            <w:tcW w:type="dxa" w:w="1086"/>
          </w:tcPr>
          <w:p>
            <w:pPr>
              <w:pStyle w:val="TableText"/>
              <w:jc w:val="center"/>
            </w:pPr>
            <m:oMath>
              <m:sSup>
                <m:e>
                  <m:r>
                    <m:t>t</m:t>
                  </m:r>
                </m:e>
                <m:sup>
                  <m:r>
                    <m:rPr>
                      <m:sty m:val="p"/>
                    </m:rPr>
                    <m:t>*</m:t>
                  </m:r>
                </m:sup>
              </m:sSup>
            </m:oMath>
            <w:r>
              <w:rPr>
                <w:lang w:val="es-AR"/>
              </w:rPr>
              <w:t xml:space="preserve"> </w:t>
            </w:r>
            <w:r>
              <w:rPr>
                <w:lang w:val="es-AR"/>
              </w:rPr>
              <w:t xml:space="preserve">(semanas)</w:t>
            </w:r>
          </w:p>
        </w:tc>
        <w:tc>
          <w:tcPr>
            <w:tcW w:type="dxa" w:w="2566"/>
          </w:tcPr>
          <w:p>
            <w:pPr>
              <w:pStyle w:val="TableText"/>
              <w:jc w:val="center"/>
            </w:pPr>
            <w:r>
              <w:rPr>
                <w:lang w:val="es-AR"/>
              </w:rPr>
              <w:t xml:space="preserve">Fecha estimada</w:t>
            </w:r>
          </w:p>
        </w:tc>
      </w:tr>
      <w:tr>
        <w:tc>
          <w:tcPr>
            <w:tcW w:type="dxa" w:w="2172"/>
          </w:tcPr>
          <w:p>
            <w:pPr>
              <w:pStyle w:val="TableText"/>
              <w:jc w:val="left"/>
            </w:pPr>
            <w:r>
              <w:rPr>
                <w:lang w:val="es-AR"/>
              </w:rPr>
              <w:t xml:space="preserve">Regresión cúbica</w:t>
            </w:r>
          </w:p>
        </w:tc>
        <w:tc>
          <w:tcPr>
            <w:tcW w:type="dxa" w:w="1678"/>
          </w:tcPr>
          <w:p>
            <w:pPr>
              <w:pStyle w:val="TableText"/>
              <w:jc w:val="left"/>
            </w:pPr>
            <w:r>
              <w:rPr>
                <w:lang w:val="es-AR"/>
              </w:rPr>
              <w:t xml:space="preserve">Bisección</w:t>
            </w:r>
          </w:p>
        </w:tc>
        <w:tc>
          <w:tcPr>
            <w:tcW w:type="dxa" w:w="1283"/>
          </w:tcPr>
          <w:p>
            <w:pPr>
              <w:pStyle w:val="TableText"/>
              <w:jc w:val="center"/>
            </w:pPr>
            <w:r>
              <w:rPr>
                <w:lang w:val="es-AR"/>
              </w:rPr>
              <w:t xml:space="preserve">15</w:t>
            </w:r>
          </w:p>
        </w:tc>
        <w:tc>
          <w:tcPr>
            <w:tcW w:type="dxa" w:w="1086"/>
          </w:tcPr>
          <w:p>
            <w:pPr>
              <w:pStyle w:val="TableText"/>
              <w:jc w:val="center"/>
            </w:pPr>
            <w:r>
              <w:rPr>
                <w:lang w:val="es-AR"/>
              </w:rPr>
              <w:t xml:space="preserve">35,520172</w:t>
            </w:r>
          </w:p>
        </w:tc>
        <w:tc>
          <w:tcPr>
            <w:tcW w:type="dxa" w:w="2566"/>
          </w:tcPr>
          <w:p>
            <w:pPr>
              <w:pStyle w:val="TableText"/>
              <w:jc w:val="center"/>
            </w:pPr>
            <w:r>
              <w:rPr>
                <w:lang w:val="es-AR"/>
              </w:rPr>
              <w:t xml:space="preserve">2 de octubre de 2023</w:t>
            </w:r>
          </w:p>
        </w:tc>
      </w:tr>
      <w:tr>
        <w:tc>
          <w:tcPr>
            <w:tcW w:type="dxa" w:w="2172"/>
          </w:tcPr>
          <w:p>
            <w:pPr>
              <w:pStyle w:val="TableText"/>
              <w:jc w:val="left"/>
            </w:pPr>
            <w:r>
              <w:rPr>
                <w:lang w:val="es-AR"/>
              </w:rPr>
              <w:t xml:space="preserve">Regresión cúbica</w:t>
            </w:r>
          </w:p>
        </w:tc>
        <w:tc>
          <w:tcPr>
            <w:tcW w:type="dxa" w:w="1678"/>
          </w:tcPr>
          <w:p>
            <w:pPr>
              <w:pStyle w:val="TableText"/>
              <w:jc w:val="left"/>
            </w:pPr>
            <w:r>
              <w:rPr>
                <w:lang w:val="es-AR"/>
              </w:rPr>
              <w:t xml:space="preserve">Newton-Raphson</w:t>
            </w:r>
          </w:p>
        </w:tc>
        <w:tc>
          <w:tcPr>
            <w:tcW w:type="dxa" w:w="1283"/>
          </w:tcPr>
          <w:p>
            <w:pPr>
              <w:pStyle w:val="TableText"/>
              <w:jc w:val="center"/>
            </w:pPr>
            <w:r>
              <w:rPr>
                <w:lang w:val="es-AR"/>
              </w:rPr>
              <w:t xml:space="preserve">3</w:t>
            </w:r>
          </w:p>
        </w:tc>
        <w:tc>
          <w:tcPr>
            <w:tcW w:type="dxa" w:w="1086"/>
          </w:tcPr>
          <w:p>
            <w:pPr>
              <w:pStyle w:val="TableText"/>
              <w:jc w:val="center"/>
            </w:pPr>
            <w:r>
              <w:rPr>
                <w:lang w:val="es-AR"/>
              </w:rPr>
              <w:t xml:space="preserve">35,520148</w:t>
            </w:r>
          </w:p>
        </w:tc>
        <w:tc>
          <w:tcPr>
            <w:tcW w:type="dxa" w:w="2566"/>
          </w:tcPr>
          <w:p>
            <w:pPr>
              <w:pStyle w:val="TableText"/>
              <w:jc w:val="center"/>
            </w:pPr>
            <w:r>
              <w:rPr>
                <w:lang w:val="es-AR"/>
              </w:rPr>
              <w:t xml:space="preserve">2 de octubre de 2023</w:t>
            </w:r>
          </w:p>
        </w:tc>
      </w:tr>
      <w:tr>
        <w:tc>
          <w:tcPr>
            <w:tcW w:type="dxa" w:w="2172"/>
          </w:tcPr>
          <w:p>
            <w:pPr>
              <w:pStyle w:val="TableText"/>
              <w:jc w:val="left"/>
            </w:pPr>
            <w:r>
              <w:rPr>
                <w:lang w:val="es-AR"/>
              </w:rPr>
              <w:t xml:space="preserve">Trazadora natural</w:t>
            </w:r>
          </w:p>
        </w:tc>
        <w:tc>
          <w:tcPr>
            <w:tcW w:type="dxa" w:w="1678"/>
          </w:tcPr>
          <w:p>
            <w:pPr>
              <w:pStyle w:val="TableText"/>
              <w:jc w:val="left"/>
            </w:pPr>
            <w:r>
              <w:rPr>
                <w:lang w:val="es-AR"/>
              </w:rPr>
              <w:t xml:space="preserve">Bisección</w:t>
            </w:r>
          </w:p>
        </w:tc>
        <w:tc>
          <w:tcPr>
            <w:tcW w:type="dxa" w:w="1283"/>
          </w:tcPr>
          <w:p>
            <w:pPr>
              <w:pStyle w:val="TableText"/>
              <w:jc w:val="center"/>
            </w:pPr>
            <w:r>
              <w:rPr>
                <w:lang w:val="es-AR"/>
              </w:rPr>
              <w:t xml:space="preserve">15</w:t>
            </w:r>
          </w:p>
        </w:tc>
        <w:tc>
          <w:tcPr>
            <w:tcW w:type="dxa" w:w="1086"/>
          </w:tcPr>
          <w:p>
            <w:pPr>
              <w:pStyle w:val="TableText"/>
              <w:jc w:val="center"/>
            </w:pPr>
            <w:r>
              <w:rPr>
                <w:lang w:val="es-AR"/>
              </w:rPr>
              <w:t xml:space="preserve">35,124420</w:t>
            </w:r>
          </w:p>
        </w:tc>
        <w:tc>
          <w:tcPr>
            <w:tcW w:type="dxa" w:w="2566"/>
          </w:tcPr>
          <w:p>
            <w:pPr>
              <w:pStyle w:val="TableText"/>
              <w:jc w:val="center"/>
            </w:pPr>
            <w:r>
              <w:rPr>
                <w:lang w:val="es-AR"/>
              </w:rPr>
              <w:t xml:space="preserve">29 de septiembre de 2023</w:t>
            </w:r>
          </w:p>
        </w:tc>
      </w:tr>
      <w:tr>
        <w:tc>
          <w:tcPr>
            <w:tcW w:type="dxa" w:w="2172"/>
          </w:tcPr>
          <w:p>
            <w:pPr>
              <w:pStyle w:val="TableText"/>
              <w:jc w:val="left"/>
            </w:pPr>
            <w:r>
              <w:rPr>
                <w:lang w:val="es-AR"/>
              </w:rPr>
              <w:t xml:space="preserve">Trazadora natural</w:t>
            </w:r>
          </w:p>
        </w:tc>
        <w:tc>
          <w:tcPr>
            <w:tcW w:type="dxa" w:w="1678"/>
          </w:tcPr>
          <w:p>
            <w:pPr>
              <w:pStyle w:val="TableText"/>
              <w:jc w:val="left"/>
            </w:pPr>
            <w:r>
              <w:rPr>
                <w:lang w:val="es-AR"/>
              </w:rPr>
              <w:t xml:space="preserve">Newton-Raphson</w:t>
            </w:r>
          </w:p>
        </w:tc>
        <w:tc>
          <w:tcPr>
            <w:tcW w:type="dxa" w:w="1283"/>
          </w:tcPr>
          <w:p>
            <w:pPr>
              <w:pStyle w:val="TableText"/>
              <w:jc w:val="center"/>
            </w:pPr>
            <w:r>
              <w:rPr>
                <w:lang w:val="es-AR"/>
              </w:rPr>
              <w:t xml:space="preserve">3</w:t>
            </w:r>
          </w:p>
        </w:tc>
        <w:tc>
          <w:tcPr>
            <w:tcW w:type="dxa" w:w="1086"/>
          </w:tcPr>
          <w:p>
            <w:pPr>
              <w:pStyle w:val="TableText"/>
              <w:jc w:val="center"/>
            </w:pPr>
            <w:r>
              <w:rPr>
                <w:lang w:val="es-AR"/>
              </w:rPr>
              <w:t xml:space="preserve">35,124439</w:t>
            </w:r>
          </w:p>
        </w:tc>
        <w:tc>
          <w:tcPr>
            <w:tcW w:type="dxa" w:w="2566"/>
          </w:tcPr>
          <w:p>
            <w:pPr>
              <w:pStyle w:val="TableText"/>
              <w:jc w:val="center"/>
            </w:pPr>
            <w:r>
              <w:rPr>
                <w:lang w:val="es-AR"/>
              </w:rPr>
              <w:t xml:space="preserve">29 de septiembre de 2023</w:t>
            </w:r>
          </w:p>
        </w:tc>
      </w:tr>
      <w:tr>
        <w:tc>
          <w:tcPr>
            <w:tcW w:type="dxa" w:w="2172"/>
          </w:tcPr>
          <w:p>
            <w:pPr>
              <w:pStyle w:val="TableText"/>
              <w:jc w:val="left"/>
            </w:pPr>
            <w:r>
              <w:rPr>
                <w:lang w:val="es-AR"/>
              </w:rPr>
              <w:t xml:space="preserve">Interpolación lineal</w:t>
            </w:r>
          </w:p>
        </w:tc>
        <w:tc>
          <w:tcPr>
            <w:tcW w:type="dxa" w:w="1678"/>
          </w:tcPr>
          <w:p>
            <w:pPr>
              <w:pStyle w:val="TableText"/>
              <w:jc w:val="left"/>
            </w:pPr>
            <w:r>
              <w:rPr>
                <w:lang w:val="es-AR"/>
              </w:rPr>
              <w:t xml:space="preserve">Fórmula directa</w:t>
            </w:r>
          </w:p>
        </w:tc>
        <w:tc>
          <w:tcPr>
            <w:tcW w:type="dxa" w:w="1283"/>
          </w:tcPr>
          <w:p>
            <w:pPr>
              <w:pStyle w:val="TableText"/>
              <w:jc w:val="center"/>
            </w:pPr>
            <w:r>
              <w:rPr>
                <w:lang w:val="es-AR"/>
              </w:rPr>
              <w:t xml:space="preserve">—</w:t>
            </w:r>
          </w:p>
        </w:tc>
        <w:tc>
          <w:tcPr>
            <w:tcW w:type="dxa" w:w="1086"/>
          </w:tcPr>
          <w:p>
            <w:pPr>
              <w:pStyle w:val="TableText"/>
              <w:jc w:val="center"/>
            </w:pPr>
            <w:r>
              <w:rPr>
                <w:lang w:val="es-AR"/>
              </w:rPr>
              <w:t xml:space="preserve">35,126867</w:t>
            </w:r>
          </w:p>
        </w:tc>
        <w:tc>
          <w:tcPr>
            <w:tcW w:type="dxa" w:w="2566"/>
          </w:tcPr>
          <w:p>
            <w:pPr>
              <w:pStyle w:val="TableText"/>
              <w:jc w:val="center"/>
            </w:pPr>
            <w:r>
              <w:rPr>
                <w:lang w:val="es-AR"/>
              </w:rPr>
              <w:t xml:space="preserve">29 de septiembre de 2023</w:t>
            </w:r>
          </w:p>
        </w:tc>
      </w:tr>
    </w:tbl>
    <w:bookmarkEnd w:id="32"/>
    <w:bookmarkStart w:id="36" w:name="precisión-real-del-resultado"/>
    <w:p>
      <w:pPr>
        <w:pStyle w:val="Heading3"/>
      </w:pPr>
      <w:r>
        <w:rPr>
          <w:lang w:val="es-AR"/>
        </w:rPr>
        <w:t xml:space="preserve">3.2.5. Precisión real del resultado</w:t>
      </w:r>
    </w:p>
    <w:p>
      <w:pPr>
        <w:pStyle w:val="FirstParagraph"/>
      </w:pPr>
      <w:r>
        <w:rPr>
          <w:lang w:val="es-AR"/>
        </w:rPr>
        <w:t xml:space="preserve">La tolerancia</w:t>
      </w:r>
      <w:r>
        <w:rPr>
          <w:lang w:val="es-AR"/>
        </w:rPr>
        <w:t xml:space="preserve"> </w:t>
      </w:r>
      <m:oMath>
        <m:r>
          <m:t>ε</m:t>
        </m:r>
        <m:r>
          <m:rPr>
            <m:sty m:val="p"/>
          </m:rPr>
          <m:t>=</m:t>
        </m:r>
        <m:sSup>
          <m:e>
            <m:r>
              <m:t>10</m:t>
            </m:r>
          </m:e>
          <m:sup>
            <m:r>
              <m:rPr>
                <m:sty m:val="p"/>
              </m:rPr>
              <m:t>−</m:t>
            </m:r>
            <m:r>
              <m:t>4</m:t>
            </m:r>
          </m:sup>
        </m:sSup>
        <m:r>
          <m:t> </m:t>
        </m:r>
        <m:r>
          <m:rPr>
            <m:sty m:val="p"/>
          </m:rPr>
          <m:t>%</m:t>
        </m:r>
      </m:oMath>
      <w:r>
        <w:rPr>
          <w:lang w:val="es-AR"/>
        </w:rPr>
        <w:t xml:space="preserve"> </w:t>
      </w:r>
      <w:r>
        <w:rPr>
          <w:lang w:val="es-AR"/>
        </w:rPr>
        <w:t xml:space="preserve">fija la precisión con que el método numérico resuelve la ecuación planteada, del orden de 21,5 segundos. Pero no fija la precisión con que se conoce el fenómeno, porque la ecuación se plantea sobre un modelo que tiene su propio error. Una estimación de la incertidumbre que el error del ajuste traslada al tiempo se obtiene dividiendo el error estándar por la pendiente de la curva en la raíz:</w:t>
      </w:r>
    </w:p>
    <w:p>
      <w:pPr>
        <w:pStyle w:val="BodyText"/>
      </w:pPr>
      <m:oMathPara>
        <m:oMathParaPr>
          <m:jc m:val="center"/>
        </m:oMathParaPr>
        <m:oMath>
          <m:r>
            <m:rPr>
              <m:sty m:val="p"/>
            </m:rPr>
            <m:t>Δ</m:t>
          </m:r>
          <m:r>
            <m:t>t</m:t>
          </m:r>
          <m:r>
            <m:rPr>
              <m:sty m:val="p"/>
            </m:rPr>
            <m:t>≈</m:t>
          </m:r>
          <m:f>
            <m:fPr>
              <m:type m:val="bar"/>
            </m:fPr>
            <m:num>
              <m:sSub>
                <m:e>
                  <m:r>
                    <m:t>S</m:t>
                  </m:r>
                </m:e>
                <m:sub>
                  <m:r>
                    <m:t>y</m:t>
                  </m:r>
                  <m:r>
                    <m:rPr>
                      <m:sty m:val="p"/>
                    </m:rPr>
                    <m:t>/</m:t>
                  </m:r>
                  <m:r>
                    <m:t>x</m:t>
                  </m:r>
                </m:sub>
              </m:sSub>
            </m:num>
            <m:den>
              <m:sSup>
                <m:e>
                  <m:acc>
                    <m:accPr>
                      <m:chr m:val="̂"/>
                    </m:accPr>
                    <m:e>
                      <m:r>
                        <m:t>S</m:t>
                      </m:r>
                    </m:e>
                  </m:acc>
                </m:e>
                <m:sup>
                  <m:r>
                    <m:rPr>
                      <m:sty m:val="p"/>
                    </m:rPr>
                    <m:t>′</m:t>
                  </m:r>
                </m:sup>
              </m:sSup>
              <m:r>
                <m:rPr>
                  <m:sty m:val="p"/>
                </m:rPr>
                <m:t>(</m:t>
              </m:r>
              <m:sSup>
                <m:e>
                  <m:r>
                    <m:t>t</m:t>
                  </m:r>
                </m:e>
                <m:sup>
                  <m:r>
                    <m:rPr>
                      <m:sty m:val="p"/>
                    </m:rPr>
                    <m:t>*</m:t>
                  </m:r>
                </m:sup>
              </m:sSup>
              <m:r>
                <m:rPr>
                  <m:sty m:val="p"/>
                </m:rPr>
                <m:t>)</m:t>
              </m:r>
            </m:den>
          </m:f>
          <m:r>
            <m:rPr>
              <m:sty m:val="p"/>
            </m:rPr>
            <m:t>=</m:t>
          </m:r>
          <m:f>
            <m:fPr>
              <m:type m:val="bar"/>
            </m:fPr>
            <m:num>
              <m:r>
                <m:t>0</m:t>
              </m:r>
              <m:r>
                <m:rPr>
                  <m:sty m:val="p"/>
                </m:rPr>
                <m:t>,</m:t>
              </m:r>
              <m:r>
                <m:t>9269</m:t>
              </m:r>
            </m:num>
            <m:den>
              <m:r>
                <m:t>3</m:t>
              </m:r>
              <m:r>
                <m:rPr>
                  <m:sty m:val="p"/>
                </m:rPr>
                <m:t>,</m:t>
              </m:r>
              <m:r>
                <m:t>3743</m:t>
              </m:r>
            </m:den>
          </m:f>
          <m:r>
            <m:rPr>
              <m:sty m:val="p"/>
            </m:rPr>
            <m:t>=</m:t>
          </m:r>
          <m:r>
            <m:t>0</m:t>
          </m:r>
          <m:r>
            <m:rPr>
              <m:sty m:val="p"/>
            </m:rPr>
            <m:t>,</m:t>
          </m:r>
          <m:r>
            <m:t>2747</m:t>
          </m:r>
          <m:r>
            <m:t> </m:t>
          </m:r>
          <m:r>
            <m:rPr>
              <m:nor/>
            </m:rPr>
            <m:t>semanas</m:t>
          </m:r>
          <m:r>
            <m:rPr>
              <m:sty m:val="p"/>
            </m:rPr>
            <m:t>≈</m:t>
          </m:r>
          <m:r>
            <m:t>1</m:t>
          </m:r>
          <m:r>
            <m:rPr>
              <m:sty m:val="p"/>
            </m:rPr>
            <m:t>,</m:t>
          </m:r>
          <m:r>
            <m:t>92</m:t>
          </m:r>
          <m:r>
            <m:t> </m:t>
          </m:r>
          <m:r>
            <m:rPr>
              <m:nor/>
            </m:rPr>
            <m:t>días</m:t>
          </m:r>
        </m:oMath>
      </m:oMathPara>
    </w:p>
    <w:p>
      <w:pPr>
        <w:pStyle w:val="FirstParagraph"/>
      </w:pPr>
      <w:r>
        <w:rPr>
          <w:lang w:val="es-AR"/>
        </w:rPr>
        <w:t xml:space="preserve">La raíz de la regresión difiere de la trazadora en 2,77 días y de la interpolación lineal en 2,75 días, es decir,</w:t>
      </w:r>
      <w:r>
        <w:rPr>
          <w:lang w:val="es-AR"/>
        </w:rPr>
        <w:t xml:space="preserve"> </w:t>
      </w:r>
      <w:r>
        <w:rPr>
          <w:b/>
          <w:bCs/>
          <w:lang w:val="es-AR"/>
        </w:rPr>
        <w:t xml:space="preserve">más que su propia incertidumbre</w:t>
      </w:r>
      <w:r>
        <w:rPr>
          <w:lang w:val="es-AR"/>
        </w:rPr>
        <w:t xml:space="preserve"> </w:t>
      </w:r>
      <w:r>
        <w:rPr>
          <w:lang w:val="es-AR"/>
        </w:rPr>
        <w:t xml:space="preserve">de ±1,92 días. El apartamiento no se debe a los métodos de búsqueda de raíces, que coinciden entre sí, sino a que el modelo global no pasa por los puntos de la zona del cruce. Por ese motivo se adopta el resultado de la trazadora:</w:t>
      </w:r>
      <w:r>
        <w:rPr>
          <w:lang w:val="es-AR"/>
        </w:rPr>
        <w:t xml:space="preserve"> </w:t>
      </w:r>
      <w:r>
        <w:rPr>
          <w:b/>
          <w:bCs/>
          <w:lang w:val="es-AR"/>
        </w:rPr>
        <w:t xml:space="preserve">los 100 millones de reproducciones acumuladas desde el 26 de enero de 2023 se superaron en la semana 35,124439, hacia el 29 de septiembre de 2023</w:t>
      </w:r>
      <w:r>
        <w:rPr>
          <w:lang w:val="es-AR"/>
        </w:rPr>
        <w:t xml:space="preserve">, entre los cierres de semana del 28 de septiembre de 2023 y del 5 de octubre de 2023. Con datos semanales, la resolución temporal confiable es del orden de días.</w:t>
      </w:r>
    </w:p>
    <w:p>
      <w:pPr>
        <w:pStyle w:val="CaptionedFigure"/>
      </w:pPr>
      <w:r>
        <w:drawing>
          <wp:inline>
            <wp:extent cx="5334000" cy="3200400"/>
            <wp:effectExtent b="0" l="0" r="0" t="0"/>
            <wp:docPr descr="Figura 2. Error relativo porcentual aproximado en escala logarítmica para los métodos de Bisección y Newton-Raphson aplicados al modelo de regresión." title="" id="34" name="Picture"/>
            <a:graphic>
              <a:graphicData uri="http://schemas.openxmlformats.org/drawingml/2006/picture">
                <pic:pic>
                  <pic:nvPicPr>
                    <pic:cNvPr descr="img/grafico_2_convergencia_biseccion_vs_newton.png" id="35" name="Picture"/>
                    <pic:cNvPicPr>
                      <a:picLocks noChangeArrowheads="1" noChangeAspect="1"/>
                    </pic:cNvPicPr>
                  </pic:nvPicPr>
                  <pic:blipFill>
                    <a:blip r:embed="rId33"/>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lang w:val="es-AR"/>
        </w:rPr>
        <w:t xml:space="preserve">Figura 2. Error relativo porcentual aproximado en escala logarítmica para los métodos de Bisección y Newton-Raphson aplicados al modelo de regresión.</w:t>
      </w:r>
    </w:p>
    <w:bookmarkEnd w:id="36"/>
    <w:bookmarkEnd w:id="37"/>
    <w:bookmarkStart w:id="38" w:name="Xa60b413cd2f16cb47441f6ebf2ab59d4879d183"/>
    <w:p>
      <w:pPr>
        <w:pStyle w:val="Heading2"/>
      </w:pPr>
      <w:r>
        <w:rPr>
          <w:lang w:val="es-AR"/>
        </w:rPr>
        <w:t xml:space="preserve">3.3. Comparación entre los métodos de Bisección y Newton-Raphson</w:t>
      </w:r>
    </w:p>
    <w:p>
      <w:pPr>
        <w:pStyle w:val="FirstParagraph"/>
      </w:pPr>
      <w:r>
        <w:rPr>
          <w:lang w:val="es-AR"/>
        </w:rPr>
        <w:t xml:space="preserve">La Figura 2 muestra el comportamiento esperado por la teoría. En la Bisección el intervalo se reduce a la mitad en cada iteración, por lo que el error disminuye de manera aproximadamente lineal en escala logarítmica. En Newton-Raphson, la cantidad de cifras correctas se duplica aproximadamente en cada paso una vez que la aproximación está cerca de la raíz (convergencia cuadrática). La Tabla 6 resume la comparación.</w:t>
      </w:r>
    </w:p>
    <w:p>
      <w:pPr>
        <w:pStyle w:val="TableCaption"/>
      </w:pPr>
      <w:r>
        <w:rPr>
          <w:lang w:val="es-AR"/>
        </w:rPr>
        <w:t xml:space="preserve">Tabla 6. Comparación entre los métodos de búsqueda de raíces.</w:t>
      </w:r>
    </w:p>
    <w:tbl>
      <w:tblPr>
        <w:tblStyle w:val="Table"/>
        <w:tblW w:type="dxa" w:w="8785"/>
        <w:tblLook w:firstRow="1" w:lastRow="0" w:firstColumn="0" w:lastColumn="0" w:noHBand="0" w:noVBand="0" w:val="0020"/>
        <w:tblCaption w:val="Tabla 6. Comparación entre los métodos de búsqueda de raíces."/>
      </w:tblPr>
      <w:tblGrid>
        <w:gridCol w:w="1557"/>
        <w:gridCol w:w="3302"/>
        <w:gridCol w:w="3926"/>
      </w:tblGrid>
      <w:tr>
        <w:trPr>
          <w:tblHeader w:val="on"/>
        </w:trPr>
        <w:tc>
          <w:tcPr>
            <w:tcW w:type="dxa" w:w="1557"/>
          </w:tcPr>
          <w:p>
            <w:pPr>
              <w:pStyle w:val="TableText"/>
              <w:jc w:val="left"/>
            </w:pPr>
            <w:r>
              <w:rPr>
                <w:lang w:val="es-AR"/>
              </w:rPr>
              <w:t xml:space="preserve">Criterio</w:t>
            </w:r>
          </w:p>
        </w:tc>
        <w:tc>
          <w:tcPr>
            <w:tcW w:type="dxa" w:w="3302"/>
          </w:tcPr>
          <w:p>
            <w:pPr>
              <w:pStyle w:val="TableText"/>
              <w:jc w:val="left"/>
            </w:pPr>
            <w:r>
              <w:rPr>
                <w:lang w:val="es-AR"/>
              </w:rPr>
              <w:t xml:space="preserve">Bisección</w:t>
            </w:r>
          </w:p>
        </w:tc>
        <w:tc>
          <w:tcPr>
            <w:tcW w:type="dxa" w:w="3926"/>
          </w:tcPr>
          <w:p>
            <w:pPr>
              <w:pStyle w:val="TableText"/>
              <w:jc w:val="left"/>
            </w:pPr>
            <w:r>
              <w:rPr>
                <w:lang w:val="es-AR"/>
              </w:rPr>
              <w:t xml:space="preserve">Newton-Raphson</w:t>
            </w:r>
          </w:p>
        </w:tc>
      </w:tr>
      <w:tr>
        <w:tc>
          <w:tcPr>
            <w:tcW w:type="dxa" w:w="1557"/>
          </w:tcPr>
          <w:p>
            <w:pPr>
              <w:pStyle w:val="TableText"/>
              <w:jc w:val="left"/>
            </w:pPr>
            <w:r>
              <w:rPr>
                <w:lang w:val="es-AR"/>
              </w:rPr>
              <w:t xml:space="preserve">Tipo de método</w:t>
            </w:r>
          </w:p>
        </w:tc>
        <w:tc>
          <w:tcPr>
            <w:tcW w:type="dxa" w:w="3302"/>
          </w:tcPr>
          <w:p>
            <w:pPr>
              <w:pStyle w:val="TableText"/>
              <w:jc w:val="left"/>
            </w:pPr>
            <w:r>
              <w:rPr>
                <w:lang w:val="es-AR"/>
              </w:rPr>
              <w:t xml:space="preserve">Cerrado (requiere un intervalo con cambio de signo)</w:t>
            </w:r>
          </w:p>
        </w:tc>
        <w:tc>
          <w:tcPr>
            <w:tcW w:type="dxa" w:w="3926"/>
          </w:tcPr>
          <w:p>
            <w:pPr>
              <w:pStyle w:val="TableText"/>
              <w:jc w:val="left"/>
            </w:pPr>
            <w:r>
              <w:rPr>
                <w:lang w:val="es-AR"/>
              </w:rPr>
              <w:t xml:space="preserve">Abierto (requiere un valor inicial)</w:t>
            </w:r>
          </w:p>
        </w:tc>
      </w:tr>
      <w:tr>
        <w:tc>
          <w:tcPr>
            <w:tcW w:type="dxa" w:w="1557"/>
          </w:tcPr>
          <w:p>
            <w:pPr>
              <w:pStyle w:val="TableText"/>
              <w:jc w:val="left"/>
            </w:pPr>
            <w:r>
              <w:rPr>
                <w:lang w:val="es-AR"/>
              </w:rPr>
              <w:t xml:space="preserve">Requisitos</w:t>
            </w:r>
          </w:p>
        </w:tc>
        <w:tc>
          <w:tcPr>
            <w:tcW w:type="dxa" w:w="3302"/>
          </w:tcPr>
          <w:p>
            <w:pPr>
              <w:pStyle w:val="TableText"/>
              <w:jc w:val="left"/>
            </w:pPr>
            <w:r>
              <w:rPr>
                <w:lang w:val="es-AR"/>
              </w:rPr>
              <w:t xml:space="preserve">Continuidad y</w:t>
            </w:r>
            <w:r>
              <w:rPr>
                <w:lang w:val="es-AR"/>
              </w:rPr>
              <w:t xml:space="preserve"> </w:t>
            </w:r>
            <m:oMath>
              <m:r>
                <m:t>f</m:t>
              </m:r>
              <m:r>
                <m:rPr>
                  <m:sty m:val="p"/>
                </m:rPr>
                <m:t>(</m:t>
              </m:r>
              <m:r>
                <m:t>a</m:t>
              </m:r>
              <m:r>
                <m:rPr>
                  <m:sty m:val="p"/>
                </m:rPr>
                <m:t>)</m:t>
              </m:r>
              <m:r>
                <m:t> </m:t>
              </m:r>
              <m:r>
                <m:t>f</m:t>
              </m:r>
              <m:r>
                <m:rPr>
                  <m:sty m:val="p"/>
                </m:rPr>
                <m:t>(</m:t>
              </m:r>
              <m:r>
                <m:t>b</m:t>
              </m:r>
              <m:r>
                <m:rPr>
                  <m:sty m:val="p"/>
                </m:rPr>
                <m:t>)</m:t>
              </m:r>
              <m:r>
                <m:rPr>
                  <m:sty m:val="p"/>
                </m:rPr>
                <m:t>&lt;</m:t>
              </m:r>
              <m:r>
                <m:t>0</m:t>
              </m:r>
            </m:oMath>
          </w:p>
        </w:tc>
        <w:tc>
          <w:tcPr>
            <w:tcW w:type="dxa" w:w="3926"/>
          </w:tcPr>
          <w:p>
            <w:pPr>
              <w:pStyle w:val="TableText"/>
              <w:jc w:val="left"/>
            </w:pPr>
            <w:r>
              <w:rPr>
                <w:lang w:val="es-AR"/>
              </w:rPr>
              <w:t xml:space="preserve">Derivada</w:t>
            </w:r>
            <w:r>
              <w:rPr>
                <w:lang w:val="es-AR"/>
              </w:rPr>
              <w:t xml:space="preserve"> </w:t>
            </w:r>
            <m:oMath>
              <m:sSup>
                <m:e>
                  <m:r>
                    <m:t>f</m:t>
                  </m:r>
                </m:e>
                <m:sup>
                  <m:r>
                    <m:rPr>
                      <m:sty m:val="p"/>
                    </m:rPr>
                    <m:t>′</m:t>
                  </m:r>
                </m:sup>
              </m:sSup>
              <m:r>
                <m:rPr>
                  <m:sty m:val="p"/>
                </m:rPr>
                <m:t>(</m:t>
              </m:r>
              <m:r>
                <m:t>t</m:t>
              </m:r>
              <m:r>
                <m:rPr>
                  <m:sty m:val="p"/>
                </m:rPr>
                <m:t>)</m:t>
              </m:r>
            </m:oMath>
            <w:r>
              <w:rPr>
                <w:lang w:val="es-AR"/>
              </w:rPr>
              <w:t xml:space="preserve"> </w:t>
            </w:r>
            <w:r>
              <w:rPr>
                <w:lang w:val="es-AR"/>
              </w:rPr>
              <w:t xml:space="preserve">conocida y no nula cerca de la raíz</w:t>
            </w:r>
          </w:p>
        </w:tc>
      </w:tr>
      <w:tr>
        <w:tc>
          <w:tcPr>
            <w:tcW w:type="dxa" w:w="1557"/>
          </w:tcPr>
          <w:p>
            <w:pPr>
              <w:pStyle w:val="TableText"/>
              <w:jc w:val="left"/>
            </w:pPr>
            <w:r>
              <w:rPr>
                <w:lang w:val="es-AR"/>
              </w:rPr>
              <w:t xml:space="preserve">Convergencia</w:t>
            </w:r>
          </w:p>
        </w:tc>
        <w:tc>
          <w:tcPr>
            <w:tcW w:type="dxa" w:w="3302"/>
          </w:tcPr>
          <w:p>
            <w:pPr>
              <w:pStyle w:val="TableText"/>
              <w:jc w:val="left"/>
            </w:pPr>
            <w:r>
              <w:rPr>
                <w:lang w:val="es-AR"/>
              </w:rPr>
              <w:t xml:space="preserve">Garantizada; lineal</w:t>
            </w:r>
          </w:p>
        </w:tc>
        <w:tc>
          <w:tcPr>
            <w:tcW w:type="dxa" w:w="3926"/>
          </w:tcPr>
          <w:p>
            <w:pPr>
              <w:pStyle w:val="TableText"/>
              <w:jc w:val="left"/>
            </w:pPr>
            <w:r>
              <w:rPr>
                <w:lang w:val="es-AR"/>
              </w:rPr>
              <w:t xml:space="preserve">No garantizada; cuadrática cerca de la raíz</w:t>
            </w:r>
          </w:p>
        </w:tc>
      </w:tr>
      <w:tr>
        <w:tc>
          <w:tcPr>
            <w:tcW w:type="dxa" w:w="1557"/>
          </w:tcPr>
          <w:p>
            <w:pPr>
              <w:pStyle w:val="TableText"/>
              <w:jc w:val="left"/>
            </w:pPr>
            <w:r>
              <w:rPr>
                <w:lang w:val="es-AR"/>
              </w:rPr>
              <w:t xml:space="preserve">Iteraciones (regresión)</w:t>
            </w:r>
          </w:p>
        </w:tc>
        <w:tc>
          <w:tcPr>
            <w:tcW w:type="dxa" w:w="3302"/>
          </w:tcPr>
          <w:p>
            <w:pPr>
              <w:pStyle w:val="TableText"/>
              <w:jc w:val="left"/>
            </w:pPr>
            <w:r>
              <w:rPr>
                <w:lang w:val="es-AR"/>
              </w:rPr>
              <w:t xml:space="preserve">15</w:t>
            </w:r>
          </w:p>
        </w:tc>
        <w:tc>
          <w:tcPr>
            <w:tcW w:type="dxa" w:w="3926"/>
          </w:tcPr>
          <w:p>
            <w:pPr>
              <w:pStyle w:val="TableText"/>
              <w:jc w:val="left"/>
            </w:pPr>
            <w:r>
              <w:rPr>
                <w:lang w:val="es-AR"/>
              </w:rPr>
              <w:t xml:space="preserve">3</w:t>
            </w:r>
          </w:p>
        </w:tc>
      </w:tr>
      <w:tr>
        <w:tc>
          <w:tcPr>
            <w:tcW w:type="dxa" w:w="1557"/>
          </w:tcPr>
          <w:p>
            <w:pPr>
              <w:pStyle w:val="TableText"/>
              <w:jc w:val="left"/>
            </w:pPr>
            <w:r>
              <w:rPr>
                <w:lang w:val="es-AR"/>
              </w:rPr>
              <w:t xml:space="preserve">Iteraciones (trazadora)</w:t>
            </w:r>
          </w:p>
        </w:tc>
        <w:tc>
          <w:tcPr>
            <w:tcW w:type="dxa" w:w="3302"/>
          </w:tcPr>
          <w:p>
            <w:pPr>
              <w:pStyle w:val="TableText"/>
              <w:jc w:val="left"/>
            </w:pPr>
            <w:r>
              <w:rPr>
                <w:lang w:val="es-AR"/>
              </w:rPr>
              <w:t xml:space="preserve">15</w:t>
            </w:r>
          </w:p>
        </w:tc>
        <w:tc>
          <w:tcPr>
            <w:tcW w:type="dxa" w:w="3926"/>
          </w:tcPr>
          <w:p>
            <w:pPr>
              <w:pStyle w:val="TableText"/>
              <w:jc w:val="left"/>
            </w:pPr>
            <w:r>
              <w:rPr>
                <w:lang w:val="es-AR"/>
              </w:rPr>
              <w:t xml:space="preserve">3</w:t>
            </w:r>
          </w:p>
        </w:tc>
      </w:tr>
      <w:tr>
        <w:tc>
          <w:tcPr>
            <w:tcW w:type="dxa" w:w="1557"/>
          </w:tcPr>
          <w:p>
            <w:pPr>
              <w:pStyle w:val="TableText"/>
              <w:jc w:val="left"/>
            </w:pPr>
            <w:r>
              <w:rPr>
                <w:lang w:val="es-AR"/>
              </w:rPr>
              <w:t xml:space="preserve">Raíz (regresión)</w:t>
            </w:r>
          </w:p>
        </w:tc>
        <w:tc>
          <w:tcPr>
            <w:tcW w:type="dxa" w:w="3302"/>
          </w:tcPr>
          <w:p>
            <w:pPr>
              <w:pStyle w:val="TableText"/>
              <w:jc w:val="left"/>
            </w:pPr>
            <w:r>
              <w:rPr>
                <w:lang w:val="es-AR"/>
              </w:rPr>
              <w:t xml:space="preserve">35,520172 semanas</w:t>
            </w:r>
          </w:p>
        </w:tc>
        <w:tc>
          <w:tcPr>
            <w:tcW w:type="dxa" w:w="3926"/>
          </w:tcPr>
          <w:p>
            <w:pPr>
              <w:pStyle w:val="TableText"/>
              <w:jc w:val="left"/>
            </w:pPr>
            <w:r>
              <w:rPr>
                <w:lang w:val="es-AR"/>
              </w:rPr>
              <w:t xml:space="preserve">35,520148 semanas</w:t>
            </w:r>
          </w:p>
        </w:tc>
      </w:tr>
      <w:tr>
        <w:tc>
          <w:tcPr>
            <w:tcW w:type="dxa" w:w="1557"/>
          </w:tcPr>
          <w:p>
            <w:pPr>
              <w:pStyle w:val="TableText"/>
              <w:jc w:val="left"/>
            </w:pPr>
            <w:r>
              <w:rPr>
                <w:lang w:val="es-AR"/>
              </w:rPr>
              <w:t xml:space="preserve">Raíz (trazadora)</w:t>
            </w:r>
          </w:p>
        </w:tc>
        <w:tc>
          <w:tcPr>
            <w:tcW w:type="dxa" w:w="3302"/>
          </w:tcPr>
          <w:p>
            <w:pPr>
              <w:pStyle w:val="TableText"/>
              <w:jc w:val="left"/>
            </w:pPr>
            <w:r>
              <w:rPr>
                <w:lang w:val="es-AR"/>
              </w:rPr>
              <w:t xml:space="preserve">35,124420 semanas</w:t>
            </w:r>
          </w:p>
        </w:tc>
        <w:tc>
          <w:tcPr>
            <w:tcW w:type="dxa" w:w="3926"/>
          </w:tcPr>
          <w:p>
            <w:pPr>
              <w:pStyle w:val="TableText"/>
              <w:jc w:val="left"/>
            </w:pPr>
            <w:r>
              <w:rPr>
                <w:lang w:val="es-AR"/>
              </w:rPr>
              <w:t xml:space="preserve">35,124439 semanas</w:t>
            </w:r>
          </w:p>
        </w:tc>
      </w:tr>
      <w:tr>
        <w:tc>
          <w:tcPr>
            <w:tcW w:type="dxa" w:w="1557"/>
          </w:tcPr>
          <w:p>
            <w:pPr>
              <w:pStyle w:val="TableText"/>
              <w:jc w:val="left"/>
            </w:pPr>
            <w:r>
              <w:rPr>
                <w:lang w:val="es-AR"/>
              </w:rPr>
              <w:t xml:space="preserve">Ventaja principal</w:t>
            </w:r>
          </w:p>
        </w:tc>
        <w:tc>
          <w:tcPr>
            <w:tcW w:type="dxa" w:w="3302"/>
          </w:tcPr>
          <w:p>
            <w:pPr>
              <w:pStyle w:val="TableText"/>
              <w:jc w:val="left"/>
            </w:pPr>
            <w:r>
              <w:rPr>
                <w:lang w:val="es-AR"/>
              </w:rPr>
              <w:t xml:space="preserve">Robustez; útil para detectar y acotar la raíz</w:t>
            </w:r>
          </w:p>
        </w:tc>
        <w:tc>
          <w:tcPr>
            <w:tcW w:type="dxa" w:w="3926"/>
          </w:tcPr>
          <w:p>
            <w:pPr>
              <w:pStyle w:val="TableText"/>
              <w:jc w:val="left"/>
            </w:pPr>
            <w:r>
              <w:rPr>
                <w:lang w:val="es-AR"/>
              </w:rPr>
              <w:t xml:space="preserve">Rapidez</w:t>
            </w:r>
          </w:p>
        </w:tc>
      </w:tr>
      <w:tr>
        <w:tc>
          <w:tcPr>
            <w:tcW w:type="dxa" w:w="1557"/>
          </w:tcPr>
          <w:p>
            <w:pPr>
              <w:pStyle w:val="TableText"/>
              <w:jc w:val="left"/>
            </w:pPr>
            <w:r>
              <w:rPr>
                <w:lang w:val="es-AR"/>
              </w:rPr>
              <w:t xml:space="preserve">Limitación principal</w:t>
            </w:r>
          </w:p>
        </w:tc>
        <w:tc>
          <w:tcPr>
            <w:tcW w:type="dxa" w:w="3302"/>
          </w:tcPr>
          <w:p>
            <w:pPr>
              <w:pStyle w:val="TableText"/>
              <w:jc w:val="left"/>
            </w:pPr>
            <w:r>
              <w:rPr>
                <w:lang w:val="es-AR"/>
              </w:rPr>
              <w:t xml:space="preserve">Lentitud</w:t>
            </w:r>
          </w:p>
        </w:tc>
        <w:tc>
          <w:tcPr>
            <w:tcW w:type="dxa" w:w="3926"/>
          </w:tcPr>
          <w:p>
            <w:pPr>
              <w:pStyle w:val="TableText"/>
              <w:jc w:val="left"/>
            </w:pPr>
            <w:r>
              <w:rPr>
                <w:lang w:val="es-AR"/>
              </w:rPr>
              <w:t xml:space="preserve">Puede diverger si</w:t>
            </w:r>
            <w:r>
              <w:rPr>
                <w:lang w:val="es-AR"/>
              </w:rPr>
              <w:t xml:space="preserve"> </w:t>
            </w:r>
            <m:oMath>
              <m:sSub>
                <m:e>
                  <m:r>
                    <m:t>t</m:t>
                  </m:r>
                </m:e>
                <m:sub>
                  <m:r>
                    <m:t>0</m:t>
                  </m:r>
                </m:sub>
              </m:sSub>
            </m:oMath>
            <w:r>
              <w:rPr>
                <w:lang w:val="es-AR"/>
              </w:rPr>
              <w:t xml:space="preserve"> </w:t>
            </w:r>
            <w:r>
              <w:rPr>
                <w:lang w:val="es-AR"/>
              </w:rPr>
              <w:t xml:space="preserve">está en una zona de pendiente casi nula</w:t>
            </w:r>
          </w:p>
        </w:tc>
      </w:tr>
    </w:tbl>
    <w:p>
      <w:pPr>
        <w:pStyle w:val="BodyText"/>
        <w:spacing w:before="240"/>
      </w:pPr>
      <w:r>
        <w:rPr>
          <w:lang w:val="es-AR"/>
        </w:rPr>
        <w:t xml:space="preserve">En este problema ambos métodos son adecuados y se complementan: la Bisección garantiza la existencia de la raíz y la acota, y Newton-Raphson la refina con muy pocas evaluaciones. La elección entre uno y otro no modifica el resultado. La diferencia relevante proviene del modelo sobre el que se plantea la ecuación (regresión o trazadora), no del método de búsqueda.</w:t>
      </w:r>
    </w:p>
    <w:bookmarkEnd w:id="38"/>
    <w:bookmarkStart w:id="45" w:name="X386fd467da7c7584b047f534e1403b2dea08f9c"/>
    <w:p>
      <w:pPr>
        <w:pStyle w:val="Heading2"/>
      </w:pPr>
      <w:r>
        <w:rPr>
          <w:lang w:val="es-AR"/>
        </w:rPr>
        <w:t xml:space="preserve">3.4. Diferenciación numérica: velocidad de crecimiento y pico de demanda</w:t>
      </w:r>
    </w:p>
    <w:bookmarkStart w:id="39" w:name="fórmulas-utilizadas"/>
    <w:p>
      <w:pPr>
        <w:pStyle w:val="Heading3"/>
      </w:pPr>
      <w:r>
        <w:rPr>
          <w:lang w:val="es-AR"/>
        </w:rPr>
        <w:t xml:space="preserve">3.4.1. Fórmulas utilizadas</w:t>
      </w:r>
    </w:p>
    <w:p>
      <w:pPr>
        <w:pStyle w:val="FirstParagraph"/>
      </w:pPr>
      <w:r>
        <w:rPr>
          <w:lang w:val="es-AR"/>
        </w:rPr>
        <w:t xml:space="preserve">La velocidad de crecimiento de las reproducciones es la derivada</w:t>
      </w:r>
      <w:r>
        <w:rPr>
          <w:lang w:val="es-AR"/>
        </w:rPr>
        <w:t xml:space="preserve"> </w:t>
      </w:r>
      <m:oMath>
        <m:sSup>
          <m:e>
            <m:r>
              <m:t>S</m:t>
            </m:r>
          </m:e>
          <m:sup>
            <m:r>
              <m:rPr>
                <m:sty m:val="p"/>
              </m:rPr>
              <m:t>′</m:t>
            </m:r>
          </m:sup>
        </m:sSup>
        <m:r>
          <m:rPr>
            <m:sty m:val="p"/>
          </m:rPr>
          <m:t>(</m:t>
        </m:r>
        <m:r>
          <m:t>t</m:t>
        </m:r>
        <m:r>
          <m:rPr>
            <m:sty m:val="p"/>
          </m:rPr>
          <m:t>)</m:t>
        </m:r>
      </m:oMath>
      <w:r>
        <w:rPr>
          <w:lang w:val="es-AR"/>
        </w:rPr>
        <w:t xml:space="preserve">, expresada en millones por semana. Como los datos están igualmente espaciados con</w:t>
      </w:r>
      <w:r>
        <w:rPr>
          <w:lang w:val="es-AR"/>
        </w:rPr>
        <w:t xml:space="preserve"> </w:t>
      </w:r>
      <m:oMath>
        <m:r>
          <m:t>h</m:t>
        </m:r>
        <m:r>
          <m:rPr>
            <m:sty m:val="p"/>
          </m:rPr>
          <m:t>=</m:t>
        </m:r>
        <m:r>
          <m:t>1</m:t>
        </m:r>
      </m:oMath>
      <w:r>
        <w:rPr>
          <w:lang w:val="es-AR"/>
        </w:rPr>
        <w:t xml:space="preserve"> </w:t>
      </w:r>
      <w:r>
        <w:rPr>
          <w:lang w:val="es-AR"/>
        </w:rPr>
        <w:t xml:space="preserve">semana, se aplicaron las fórmulas de diferencias finitas del cap. 6, deducidas del polinomio de Taylor.</w:t>
      </w:r>
    </w:p>
    <w:p>
      <w:pPr>
        <w:pStyle w:val="BodyText"/>
      </w:pPr>
      <w:r>
        <w:rPr>
          <w:lang w:val="es-AR"/>
        </w:rPr>
        <w:t xml:space="preserve">La diferencia hacia adelante (progresiva) y la diferencia hacia atrás (regresiva) tienen un error de truncamiento</w:t>
      </w:r>
      <w:r>
        <w:rPr>
          <w:lang w:val="es-AR"/>
        </w:rPr>
        <w:t xml:space="preserve"> </w:t>
      </w:r>
      <m:oMath>
        <m:r>
          <m:t>O</m:t>
        </m:r>
        <m:r>
          <m:rPr>
            <m:sty m:val="p"/>
          </m:rPr>
          <m:t>(</m:t>
        </m:r>
        <m:r>
          <m:t>h</m:t>
        </m:r>
        <m:r>
          <m:rPr>
            <m:sty m:val="p"/>
          </m:rPr>
          <m:t>)</m:t>
        </m:r>
      </m:oMath>
      <w:r>
        <w:rPr>
          <w:lang w:val="es-AR"/>
        </w:rPr>
        <w:t xml:space="preserve">:</w:t>
      </w:r>
    </w:p>
    <w:p>
      <w:pPr>
        <w:pStyle w:val="BodyText"/>
      </w:pPr>
      <m:oMathPara>
        <m:oMathParaPr>
          <m:jc m:val="center"/>
        </m:oMathParaPr>
        <m:oMath>
          <m:sSup>
            <m:e>
              <m:r>
                <m:t>S</m:t>
              </m:r>
            </m:e>
            <m:sup>
              <m:r>
                <m:rPr>
                  <m:sty m:val="p"/>
                </m:rPr>
                <m:t>′</m:t>
              </m:r>
            </m:sup>
          </m:sSup>
          <m:r>
            <m:rPr>
              <m:sty m:val="p"/>
            </m:rPr>
            <m:t>(</m:t>
          </m:r>
          <m:sSub>
            <m:e>
              <m:r>
                <m:t>t</m:t>
              </m:r>
            </m:e>
            <m:sub>
              <m:r>
                <m:t>i</m:t>
              </m:r>
            </m:sub>
          </m:sSub>
          <m:r>
            <m:rPr>
              <m:sty m:val="p"/>
            </m:rPr>
            <m:t>)</m:t>
          </m:r>
          <m:r>
            <m:rPr>
              <m:sty m:val="p"/>
            </m:rPr>
            <m:t>≈</m:t>
          </m:r>
          <m:f>
            <m:fPr>
              <m:type m:val="bar"/>
            </m:fPr>
            <m:num>
              <m:r>
                <m:t>S</m:t>
              </m:r>
              <m:r>
                <m:rPr>
                  <m:sty m:val="p"/>
                </m:rPr>
                <m:t>(</m:t>
              </m:r>
              <m:sSub>
                <m:e>
                  <m:r>
                    <m:t>t</m:t>
                  </m:r>
                </m:e>
                <m:sub>
                  <m:r>
                    <m:t>i</m:t>
                  </m:r>
                </m:sub>
              </m:sSub>
              <m:r>
                <m:rPr>
                  <m:sty m:val="p"/>
                </m:rPr>
                <m:t>+</m:t>
              </m:r>
              <m:r>
                <m:t>h</m:t>
              </m:r>
              <m:r>
                <m:rPr>
                  <m:sty m:val="p"/>
                </m:rPr>
                <m:t>)</m:t>
              </m:r>
              <m:r>
                <m:rPr>
                  <m:sty m:val="p"/>
                </m:rPr>
                <m:t>−</m:t>
              </m:r>
              <m:r>
                <m:t>S</m:t>
              </m:r>
              <m:r>
                <m:rPr>
                  <m:sty m:val="p"/>
                </m:rPr>
                <m:t>(</m:t>
              </m:r>
              <m:sSub>
                <m:e>
                  <m:r>
                    <m:t>t</m:t>
                  </m:r>
                </m:e>
                <m:sub>
                  <m:r>
                    <m:t>i</m:t>
                  </m:r>
                </m:sub>
              </m:sSub>
              <m:r>
                <m:rPr>
                  <m:sty m:val="p"/>
                </m:rPr>
                <m:t>)</m:t>
              </m:r>
            </m:num>
            <m:den>
              <m:r>
                <m:t>h</m:t>
              </m:r>
            </m:den>
          </m:f>
          <m:r>
            <m:rPr>
              <m:sty m:val="p"/>
            </m:rPr>
            <m:t>,</m:t>
          </m:r>
          <m:r>
            <m:t>  </m:t>
          </m:r>
          <m:sSup>
            <m:e>
              <m:r>
                <m:t>S</m:t>
              </m:r>
            </m:e>
            <m:sup>
              <m:r>
                <m:rPr>
                  <m:sty m:val="p"/>
                </m:rPr>
                <m:t>′</m:t>
              </m:r>
            </m:sup>
          </m:sSup>
          <m:r>
            <m:rPr>
              <m:sty m:val="p"/>
            </m:rPr>
            <m:t>(</m:t>
          </m:r>
          <m:sSub>
            <m:e>
              <m:r>
                <m:t>t</m:t>
              </m:r>
            </m:e>
            <m:sub>
              <m:r>
                <m:t>i</m:t>
              </m:r>
            </m:sub>
          </m:sSub>
          <m:r>
            <m:rPr>
              <m:sty m:val="p"/>
            </m:rPr>
            <m:t>)</m:t>
          </m:r>
          <m:r>
            <m:rPr>
              <m:sty m:val="p"/>
            </m:rPr>
            <m:t>≈</m:t>
          </m:r>
          <m:f>
            <m:fPr>
              <m:type m:val="bar"/>
            </m:fPr>
            <m:num>
              <m:r>
                <m:t>S</m:t>
              </m:r>
              <m:r>
                <m:rPr>
                  <m:sty m:val="p"/>
                </m:rPr>
                <m:t>(</m:t>
              </m:r>
              <m:sSub>
                <m:e>
                  <m:r>
                    <m:t>t</m:t>
                  </m:r>
                </m:e>
                <m:sub>
                  <m:r>
                    <m:t>i</m:t>
                  </m:r>
                </m:sub>
              </m:sSub>
              <m:r>
                <m:rPr>
                  <m:sty m:val="p"/>
                </m:rPr>
                <m:t>)</m:t>
              </m:r>
              <m:r>
                <m:rPr>
                  <m:sty m:val="p"/>
                </m:rPr>
                <m:t>−</m:t>
              </m:r>
              <m:r>
                <m:t>S</m:t>
              </m:r>
              <m:r>
                <m:rPr>
                  <m:sty m:val="p"/>
                </m:rPr>
                <m:t>(</m:t>
              </m:r>
              <m:sSub>
                <m:e>
                  <m:r>
                    <m:t>t</m:t>
                  </m:r>
                </m:e>
                <m:sub>
                  <m:r>
                    <m:t>i</m:t>
                  </m:r>
                </m:sub>
              </m:sSub>
              <m:r>
                <m:rPr>
                  <m:sty m:val="p"/>
                </m:rPr>
                <m:t>−</m:t>
              </m:r>
              <m:r>
                <m:t>h</m:t>
              </m:r>
              <m:r>
                <m:rPr>
                  <m:sty m:val="p"/>
                </m:rPr>
                <m:t>)</m:t>
              </m:r>
            </m:num>
            <m:den>
              <m:r>
                <m:t>h</m:t>
              </m:r>
            </m:den>
          </m:f>
        </m:oMath>
      </m:oMathPara>
    </w:p>
    <w:p>
      <w:pPr>
        <w:pStyle w:val="FirstParagraph"/>
      </w:pPr>
      <w:r>
        <w:rPr>
          <w:lang w:val="es-AR"/>
        </w:rPr>
        <w:t xml:space="preserve">La fórmula centrada de tres puntos tiene un error de truncamiento</w:t>
      </w:r>
      <w:r>
        <w:rPr>
          <w:lang w:val="es-AR"/>
        </w:rPr>
        <w:t xml:space="preserve"> </w:t>
      </w:r>
      <m:oMath>
        <m:r>
          <m:t>O</m:t>
        </m:r>
        <m:r>
          <m:rPr>
            <m:sty m:val="p"/>
          </m:rPr>
          <m:t>(</m:t>
        </m:r>
        <m:sSup>
          <m:e>
            <m:r>
              <m:t>h</m:t>
            </m:r>
          </m:e>
          <m:sup>
            <m:r>
              <m:t>2</m:t>
            </m:r>
          </m:sup>
        </m:sSup>
        <m:r>
          <m:rPr>
            <m:sty m:val="p"/>
          </m:rPr>
          <m:t>)</m:t>
        </m:r>
      </m:oMath>
      <w:r>
        <w:rPr>
          <w:lang w:val="es-AR"/>
        </w:rPr>
        <w:t xml:space="preserve">:</w:t>
      </w:r>
    </w:p>
    <w:p>
      <w:pPr>
        <w:pStyle w:val="BodyText"/>
      </w:pPr>
      <m:oMathPara>
        <m:oMathParaPr>
          <m:jc m:val="center"/>
        </m:oMathParaPr>
        <m:oMath>
          <m:sSup>
            <m:e>
              <m:r>
                <m:t>S</m:t>
              </m:r>
            </m:e>
            <m:sup>
              <m:r>
                <m:rPr>
                  <m:sty m:val="p"/>
                </m:rPr>
                <m:t>′</m:t>
              </m:r>
            </m:sup>
          </m:sSup>
          <m:r>
            <m:rPr>
              <m:sty m:val="p"/>
            </m:rPr>
            <m:t>(</m:t>
          </m:r>
          <m:sSub>
            <m:e>
              <m:r>
                <m:t>t</m:t>
              </m:r>
            </m:e>
            <m:sub>
              <m:r>
                <m:t>i</m:t>
              </m:r>
            </m:sub>
          </m:sSub>
          <m:r>
            <m:rPr>
              <m:sty m:val="p"/>
            </m:rPr>
            <m:t>)</m:t>
          </m:r>
          <m:r>
            <m:rPr>
              <m:sty m:val="p"/>
            </m:rPr>
            <m:t>≈</m:t>
          </m:r>
          <m:f>
            <m:fPr>
              <m:type m:val="bar"/>
            </m:fPr>
            <m:num>
              <m:r>
                <m:t>S</m:t>
              </m:r>
              <m:r>
                <m:rPr>
                  <m:sty m:val="p"/>
                </m:rPr>
                <m:t>(</m:t>
              </m:r>
              <m:sSub>
                <m:e>
                  <m:r>
                    <m:t>t</m:t>
                  </m:r>
                </m:e>
                <m:sub>
                  <m:r>
                    <m:t>i</m:t>
                  </m:r>
                </m:sub>
              </m:sSub>
              <m:r>
                <m:rPr>
                  <m:sty m:val="p"/>
                </m:rPr>
                <m:t>+</m:t>
              </m:r>
              <m:r>
                <m:t>h</m:t>
              </m:r>
              <m:r>
                <m:rPr>
                  <m:sty m:val="p"/>
                </m:rPr>
                <m:t>)</m:t>
              </m:r>
              <m:r>
                <m:rPr>
                  <m:sty m:val="p"/>
                </m:rPr>
                <m:t>−</m:t>
              </m:r>
              <m:r>
                <m:t>S</m:t>
              </m:r>
              <m:r>
                <m:rPr>
                  <m:sty m:val="p"/>
                </m:rPr>
                <m:t>(</m:t>
              </m:r>
              <m:sSub>
                <m:e>
                  <m:r>
                    <m:t>t</m:t>
                  </m:r>
                </m:e>
                <m:sub>
                  <m:r>
                    <m:t>i</m:t>
                  </m:r>
                </m:sub>
              </m:sSub>
              <m:r>
                <m:rPr>
                  <m:sty m:val="p"/>
                </m:rPr>
                <m:t>−</m:t>
              </m:r>
              <m:r>
                <m:t>h</m:t>
              </m:r>
              <m:r>
                <m:rPr>
                  <m:sty m:val="p"/>
                </m:rPr>
                <m:t>)</m:t>
              </m:r>
            </m:num>
            <m:den>
              <m:r>
                <m:t>2</m:t>
              </m:r>
              <m:r>
                <m:t>h</m:t>
              </m:r>
            </m:den>
          </m:f>
        </m:oMath>
      </m:oMathPara>
    </w:p>
    <w:p>
      <w:pPr>
        <w:pStyle w:val="FirstParagraph"/>
      </w:pPr>
      <w:r>
        <w:rPr>
          <w:lang w:val="es-AR"/>
        </w:rPr>
        <w:t xml:space="preserve">Con los datos de este problema, la diferencia hacia atrás coincide exactamente con las reproducciones semanales, ya que</w:t>
      </w:r>
      <w:r>
        <w:rPr>
          <w:lang w:val="es-AR"/>
        </w:rPr>
        <w:t xml:space="preserve"> </w:t>
      </w:r>
      <m:oMath>
        <m:sSub>
          <m:e>
            <m:r>
              <m:t>S</m:t>
            </m:r>
          </m:e>
          <m:sub>
            <m:r>
              <m:t>i</m:t>
            </m:r>
          </m:sub>
        </m:sSub>
        <m:r>
          <m:rPr>
            <m:sty m:val="p"/>
          </m:rPr>
          <m:t>−</m:t>
        </m:r>
        <m:sSub>
          <m:e>
            <m:r>
              <m:t>S</m:t>
            </m:r>
          </m:e>
          <m:sub>
            <m:r>
              <m:t>i</m:t>
            </m:r>
            <m:r>
              <m:rPr>
                <m:sty m:val="p"/>
              </m:rPr>
              <m:t>−</m:t>
            </m:r>
            <m:r>
              <m:t>1</m:t>
            </m:r>
          </m:sub>
        </m:sSub>
        <m:r>
          <m:rPr>
            <m:sty m:val="p"/>
          </m:rPr>
          <m:t>=</m:t>
        </m:r>
        <m:sSub>
          <m:e>
            <m:r>
              <m:t>r</m:t>
            </m:r>
          </m:e>
          <m:sub>
            <m:r>
              <m:t>i</m:t>
            </m:r>
          </m:sub>
        </m:sSub>
      </m:oMath>
      <w:r>
        <w:rPr>
          <w:lang w:val="es-AR"/>
        </w:rPr>
        <w:t xml:space="preserve">.</w:t>
      </w:r>
    </w:p>
    <w:bookmarkEnd w:id="39"/>
    <w:bookmarkStart w:id="40" w:name="resultados"/>
    <w:p>
      <w:pPr>
        <w:pStyle w:val="Heading3"/>
      </w:pPr>
      <w:r>
        <w:rPr>
          <w:lang w:val="es-AR"/>
        </w:rPr>
        <w:t xml:space="preserve">3.4.2. Resultados</w:t>
      </w:r>
    </w:p>
    <w:p>
      <w:pPr>
        <w:pStyle w:val="FirstParagraph"/>
      </w:pPr>
      <w:r>
        <w:rPr>
          <w:lang w:val="es-AR"/>
        </w:rPr>
        <w:t xml:space="preserve">La Tabla 7 presenta las estimaciones en una selección de semanas que incluye el período de mayor viralización (semanas 24 a 28); la tabla completa se encuentra en el Anexo B. Como referencia se incluye la derivada analítica del modelo de regresión,</w:t>
      </w:r>
      <w:r>
        <w:rPr>
          <w:lang w:val="es-AR"/>
        </w:rPr>
        <w:t xml:space="preserve"> </w:t>
      </w:r>
      <m:oMath>
        <m:sSup>
          <m:e>
            <m:acc>
              <m:accPr>
                <m:chr m:val="̂"/>
              </m:accPr>
              <m:e>
                <m:r>
                  <m:t>S</m:t>
                </m:r>
              </m:e>
            </m:acc>
          </m:e>
          <m:sup>
            <m:r>
              <m:rPr>
                <m:sty m:val="p"/>
              </m:rPr>
              <m:t>′</m:t>
            </m:r>
          </m:sup>
        </m:sSup>
        <m:r>
          <m:rPr>
            <m:sty m:val="p"/>
          </m:rPr>
          <m:t>(</m:t>
        </m:r>
        <m:r>
          <m:t>t</m:t>
        </m:r>
        <m:r>
          <m:rPr>
            <m:sty m:val="p"/>
          </m:rPr>
          <m:t>)</m:t>
        </m:r>
      </m:oMath>
      <w:r>
        <w:rPr>
          <w:lang w:val="es-AR"/>
        </w:rPr>
        <w:t xml:space="preserve">, que no es la derivada exacta del fenómeno sino una versión suavizada de la tendencia.</w:t>
      </w:r>
    </w:p>
    <w:p>
      <w:pPr>
        <w:pStyle w:val="TableCaption"/>
      </w:pPr>
      <w:r>
        <w:rPr>
          <w:lang w:val="es-AR"/>
        </w:rPr>
        <w:t xml:space="preserve">Tabla 7. Estimaciones de la velocidad de crecimiento</w:t>
      </w:r>
      <w:r>
        <w:rPr>
          <w:lang w:val="es-AR"/>
        </w:rPr>
        <w:t xml:space="preserve"> </w:t>
      </w:r>
      <m:oMath>
        <m:sSup>
          <m:e>
            <m:r>
              <m:t>S</m:t>
            </m:r>
          </m:e>
          <m:sup>
            <m:r>
              <m:rPr>
                <m:sty m:val="p"/>
              </m:rPr>
              <m:t>′</m:t>
            </m:r>
          </m:sup>
        </m:sSup>
        <m:r>
          <m:rPr>
            <m:sty m:val="p"/>
          </m:rPr>
          <m:t>(</m:t>
        </m:r>
        <m:r>
          <m:t>t</m:t>
        </m:r>
        <m:r>
          <m:rPr>
            <m:sty m:val="p"/>
          </m:rPr>
          <m:t>)</m:t>
        </m:r>
      </m:oMath>
      <w:r>
        <w:rPr>
          <w:lang w:val="es-AR"/>
        </w:rPr>
        <w:t xml:space="preserve"> </w:t>
      </w:r>
      <w:r>
        <w:rPr>
          <w:lang w:val="es-AR"/>
        </w:rPr>
        <w:t xml:space="preserve">en M/semana (selección de semanas).</w:t>
      </w:r>
    </w:p>
    <w:tbl>
      <w:tblPr>
        <w:tblStyle w:val="Table"/>
        <w:tblW w:type="dxa" w:w="6792"/>
        <w:tblLook w:firstRow="1" w:lastRow="0" w:firstColumn="0" w:lastColumn="0" w:noHBand="0" w:noVBand="0" w:val="0020"/>
        <w:tblCaption w:val="Tabla 7. Estimaciones de la velocidad de crecimiento S'(t) en M/semana (selección de semanas)."/>
      </w:tblPr>
      <w:tblGrid>
        <w:gridCol w:w="780"/>
        <w:gridCol w:w="1332"/>
        <w:gridCol w:w="1300"/>
        <w:gridCol w:w="1560"/>
        <w:gridCol w:w="1820"/>
      </w:tblGrid>
      <w:tr>
        <w:trPr>
          <w:tblHeader w:val="on"/>
        </w:trPr>
        <w:tc>
          <w:tcPr>
            <w:tcW w:type="dxa" w:w="780"/>
          </w:tcPr>
          <w:p>
            <w:pPr>
              <w:pStyle w:val="TableText"/>
              <w:jc w:val="center"/>
            </w:pPr>
            <m:oMath>
              <m:sSub>
                <m:e>
                  <m:r>
                    <m:t>t</m:t>
                  </m:r>
                </m:e>
                <m:sub>
                  <m:r>
                    <m:t>i</m:t>
                  </m:r>
                </m:sub>
              </m:sSub>
            </m:oMath>
            <w:r>
              <w:rPr>
                <w:lang w:val="es-AR"/>
              </w:rPr>
              <w:t xml:space="preserve">​</w:t>
            </w:r>
          </w:p>
        </w:tc>
        <w:tc>
          <w:tcPr>
            <w:tcW w:type="dxa" w:w="1332"/>
          </w:tcPr>
          <w:p>
            <w:pPr>
              <w:pStyle w:val="TableText"/>
              <w:jc w:val="center"/>
            </w:pPr>
            <w:r>
              <w:rPr>
                <w:lang w:val="es-AR"/>
              </w:rPr>
              <w:t xml:space="preserve">Adelante</w:t>
            </w:r>
            <w:r>
              <w:rPr>
                <w:lang w:val="es-AR"/>
              </w:rPr>
              <w:t xml:space="preserve"> </w:t>
            </w:r>
            <m:oMath>
              <m:r>
                <m:t>O</m:t>
              </m:r>
              <m:r>
                <m:rPr>
                  <m:sty m:val="p"/>
                </m:rPr>
                <m:t>(</m:t>
              </m:r>
              <m:r>
                <m:t>h</m:t>
              </m:r>
              <m:r>
                <m:rPr>
                  <m:sty m:val="p"/>
                </m:rPr>
                <m:t>)</m:t>
              </m:r>
            </m:oMath>
          </w:p>
        </w:tc>
        <w:tc>
          <w:tcPr>
            <w:tcW w:type="dxa" w:w="1300"/>
          </w:tcPr>
          <w:p>
            <w:pPr>
              <w:pStyle w:val="TableText"/>
              <w:jc w:val="center"/>
            </w:pPr>
            <w:r>
              <w:rPr>
                <w:lang w:val="es-AR"/>
              </w:rPr>
              <w:t xml:space="preserve">Atrás</w:t>
            </w:r>
            <w:r>
              <w:rPr>
                <w:lang w:val="es-AR"/>
              </w:rPr>
              <w:t xml:space="preserve"> </w:t>
            </w:r>
            <m:oMath>
              <m:r>
                <m:t>O</m:t>
              </m:r>
              <m:r>
                <m:rPr>
                  <m:sty m:val="p"/>
                </m:rPr>
                <m:t>(</m:t>
              </m:r>
              <m:r>
                <m:t>h</m:t>
              </m:r>
              <m:r>
                <m:rPr>
                  <m:sty m:val="p"/>
                </m:rPr>
                <m:t>)</m:t>
              </m:r>
            </m:oMath>
          </w:p>
        </w:tc>
        <w:tc>
          <w:tcPr>
            <w:tcW w:type="dxa" w:w="1560"/>
          </w:tcPr>
          <w:p>
            <w:pPr>
              <w:pStyle w:val="TableText"/>
              <w:jc w:val="center"/>
            </w:pPr>
            <w:r>
              <w:rPr>
                <w:lang w:val="es-AR"/>
              </w:rPr>
              <w:t xml:space="preserve">Centrada</w:t>
            </w:r>
            <w:r>
              <w:rPr>
                <w:lang w:val="es-AR"/>
              </w:rPr>
              <w:t xml:space="preserve"> </w:t>
            </w:r>
            <m:oMath>
              <m:r>
                <m:t>O</m:t>
              </m:r>
              <m:r>
                <m:rPr>
                  <m:sty m:val="p"/>
                </m:rPr>
                <m:t>(</m:t>
              </m:r>
              <m:sSup>
                <m:e>
                  <m:r>
                    <m:t>h</m:t>
                  </m:r>
                </m:e>
                <m:sup>
                  <m:r>
                    <m:t>2</m:t>
                  </m:r>
                </m:sup>
              </m:sSup>
              <m:r>
                <m:rPr>
                  <m:sty m:val="p"/>
                </m:rPr>
                <m:t>)</m:t>
              </m:r>
            </m:oMath>
          </w:p>
        </w:tc>
        <w:tc>
          <w:tcPr>
            <w:tcW w:type="dxa" w:w="1820"/>
          </w:tcPr>
          <w:p>
            <w:pPr>
              <w:pStyle w:val="TableText"/>
              <w:jc w:val="center"/>
            </w:pPr>
            <m:oMath>
              <m:sSup>
                <m:e>
                  <m:acc>
                    <m:accPr>
                      <m:chr m:val="̂"/>
                    </m:accPr>
                    <m:e>
                      <m:r>
                        <m:t>S</m:t>
                      </m:r>
                    </m:e>
                  </m:acc>
                </m:e>
                <m:sup>
                  <m:r>
                    <m:rPr>
                      <m:sty m:val="p"/>
                    </m:rPr>
                    <m:t>′</m:t>
                  </m:r>
                </m:sup>
              </m:sSup>
              <m:r>
                <m:rPr>
                  <m:sty m:val="p"/>
                </m:rPr>
                <m:t>(</m:t>
              </m:r>
              <m:sSub>
                <m:e>
                  <m:r>
                    <m:t>t</m:t>
                  </m:r>
                </m:e>
                <m:sub>
                  <m:r>
                    <m:t>i</m:t>
                  </m:r>
                </m:sub>
              </m:sSub>
              <m:r>
                <m:rPr>
                  <m:sty m:val="p"/>
                </m:rPr>
                <m:t>)</m:t>
              </m:r>
            </m:oMath>
            <w:r>
              <w:rPr>
                <w:lang w:val="es-AR"/>
              </w:rPr>
              <w:t xml:space="preserve"> </w:t>
            </w:r>
            <w:r>
              <w:rPr>
                <w:lang w:val="es-AR"/>
              </w:rPr>
              <w:t xml:space="preserve">regresión</w:t>
            </w:r>
          </w:p>
        </w:tc>
      </w:tr>
      <w:tr>
        <w:tc>
          <w:tcPr>
            <w:tcW w:type="dxa" w:w="780"/>
          </w:tcPr>
          <w:p>
            <w:pPr>
              <w:pStyle w:val="TableText"/>
              <w:jc w:val="center"/>
            </w:pPr>
            <w:r>
              <w:rPr>
                <w:lang w:val="es-AR"/>
              </w:rPr>
              <w:t xml:space="preserve">0</w:t>
            </w:r>
          </w:p>
        </w:tc>
        <w:tc>
          <w:tcPr>
            <w:tcW w:type="dxa" w:w="1332"/>
          </w:tcPr>
          <w:p>
            <w:pPr>
              <w:pStyle w:val="TableText"/>
              <w:jc w:val="center"/>
            </w:pPr>
            <w:r>
              <w:rPr>
                <w:lang w:val="es-AR"/>
              </w:rPr>
              <w:t xml:space="preserve">1,445</w:t>
            </w:r>
          </w:p>
        </w:tc>
        <w:tc>
          <w:tcPr>
            <w:tcW w:type="dxa" w:w="1300"/>
          </w:tcPr>
          <w:p>
            <w:pPr>
              <w:pStyle w:val="TableText"/>
              <w:jc w:val="center"/>
            </w:pPr>
            <w:r>
              <w:rPr>
                <w:lang w:val="es-AR"/>
              </w:rPr>
              <w:t xml:space="preserve">—</w:t>
            </w:r>
          </w:p>
        </w:tc>
        <w:tc>
          <w:tcPr>
            <w:tcW w:type="dxa" w:w="1560"/>
          </w:tcPr>
          <w:p>
            <w:pPr>
              <w:pStyle w:val="TableText"/>
              <w:jc w:val="center"/>
            </w:pPr>
            <w:r>
              <w:rPr>
                <w:lang w:val="es-AR"/>
              </w:rPr>
              <w:t xml:space="preserve">—</w:t>
            </w:r>
          </w:p>
        </w:tc>
        <w:tc>
          <w:tcPr>
            <w:tcW w:type="dxa" w:w="1820"/>
          </w:tcPr>
          <w:p>
            <w:pPr>
              <w:pStyle w:val="TableText"/>
              <w:jc w:val="center"/>
            </w:pPr>
            <w:r>
              <w:rPr>
                <w:lang w:val="es-AR"/>
              </w:rPr>
              <w:t xml:space="preserve">1,081</w:t>
            </w:r>
          </w:p>
        </w:tc>
      </w:tr>
      <w:tr>
        <w:tc>
          <w:tcPr>
            <w:tcW w:type="dxa" w:w="780"/>
          </w:tcPr>
          <w:p>
            <w:pPr>
              <w:pStyle w:val="TableText"/>
              <w:jc w:val="center"/>
            </w:pPr>
            <w:r>
              <w:rPr>
                <w:lang w:val="es-AR"/>
              </w:rPr>
              <w:t xml:space="preserve">1</w:t>
            </w:r>
          </w:p>
        </w:tc>
        <w:tc>
          <w:tcPr>
            <w:tcW w:type="dxa" w:w="1332"/>
          </w:tcPr>
          <w:p>
            <w:pPr>
              <w:pStyle w:val="TableText"/>
              <w:jc w:val="center"/>
            </w:pPr>
            <w:r>
              <w:rPr>
                <w:lang w:val="es-AR"/>
              </w:rPr>
              <w:t xml:space="preserve">1,417</w:t>
            </w:r>
          </w:p>
        </w:tc>
        <w:tc>
          <w:tcPr>
            <w:tcW w:type="dxa" w:w="1300"/>
          </w:tcPr>
          <w:p>
            <w:pPr>
              <w:pStyle w:val="TableText"/>
              <w:jc w:val="center"/>
            </w:pPr>
            <w:r>
              <w:rPr>
                <w:lang w:val="es-AR"/>
              </w:rPr>
              <w:t xml:space="preserve">1,445</w:t>
            </w:r>
          </w:p>
        </w:tc>
        <w:tc>
          <w:tcPr>
            <w:tcW w:type="dxa" w:w="1560"/>
          </w:tcPr>
          <w:p>
            <w:pPr>
              <w:pStyle w:val="TableText"/>
              <w:jc w:val="center"/>
            </w:pPr>
            <w:r>
              <w:rPr>
                <w:lang w:val="es-AR"/>
              </w:rPr>
              <w:t xml:space="preserve">1,431</w:t>
            </w:r>
          </w:p>
        </w:tc>
        <w:tc>
          <w:tcPr>
            <w:tcW w:type="dxa" w:w="1820"/>
          </w:tcPr>
          <w:p>
            <w:pPr>
              <w:pStyle w:val="TableText"/>
              <w:jc w:val="center"/>
            </w:pPr>
            <w:r>
              <w:rPr>
                <w:lang w:val="es-AR"/>
              </w:rPr>
              <w:t xml:space="preserve">1,233</w:t>
            </w:r>
          </w:p>
        </w:tc>
      </w:tr>
      <w:tr>
        <w:tc>
          <w:tcPr>
            <w:tcW w:type="dxa" w:w="780"/>
          </w:tcPr>
          <w:p>
            <w:pPr>
              <w:pStyle w:val="TableText"/>
              <w:jc w:val="center"/>
            </w:pPr>
            <w:r>
              <w:rPr>
                <w:lang w:val="es-AR"/>
              </w:rPr>
              <w:t xml:space="preserve">10</w:t>
            </w:r>
          </w:p>
        </w:tc>
        <w:tc>
          <w:tcPr>
            <w:tcW w:type="dxa" w:w="1332"/>
          </w:tcPr>
          <w:p>
            <w:pPr>
              <w:pStyle w:val="TableText"/>
              <w:jc w:val="center"/>
            </w:pPr>
            <w:r>
              <w:rPr>
                <w:lang w:val="es-AR"/>
              </w:rPr>
              <w:t xml:space="preserve">2,149</w:t>
            </w:r>
          </w:p>
        </w:tc>
        <w:tc>
          <w:tcPr>
            <w:tcW w:type="dxa" w:w="1300"/>
          </w:tcPr>
          <w:p>
            <w:pPr>
              <w:pStyle w:val="TableText"/>
              <w:jc w:val="center"/>
            </w:pPr>
            <w:r>
              <w:rPr>
                <w:lang w:val="es-AR"/>
              </w:rPr>
              <w:t xml:space="preserve">2,565</w:t>
            </w:r>
          </w:p>
        </w:tc>
        <w:tc>
          <w:tcPr>
            <w:tcW w:type="dxa" w:w="1560"/>
          </w:tcPr>
          <w:p>
            <w:pPr>
              <w:pStyle w:val="TableText"/>
              <w:jc w:val="center"/>
            </w:pPr>
            <w:r>
              <w:rPr>
                <w:lang w:val="es-AR"/>
              </w:rPr>
              <w:t xml:space="preserve">2,357</w:t>
            </w:r>
          </w:p>
        </w:tc>
        <w:tc>
          <w:tcPr>
            <w:tcW w:type="dxa" w:w="1820"/>
          </w:tcPr>
          <w:p>
            <w:pPr>
              <w:pStyle w:val="TableText"/>
              <w:jc w:val="center"/>
            </w:pPr>
            <w:r>
              <w:rPr>
                <w:lang w:val="es-AR"/>
              </w:rPr>
              <w:t xml:space="preserve">2,369</w:t>
            </w:r>
          </w:p>
        </w:tc>
      </w:tr>
      <w:tr>
        <w:tc>
          <w:tcPr>
            <w:tcW w:type="dxa" w:w="780"/>
          </w:tcPr>
          <w:p>
            <w:pPr>
              <w:pStyle w:val="TableText"/>
              <w:jc w:val="center"/>
            </w:pPr>
            <w:r>
              <w:rPr>
                <w:lang w:val="es-AR"/>
              </w:rPr>
              <w:t xml:space="preserve">20</w:t>
            </w:r>
          </w:p>
        </w:tc>
        <w:tc>
          <w:tcPr>
            <w:tcW w:type="dxa" w:w="1332"/>
          </w:tcPr>
          <w:p>
            <w:pPr>
              <w:pStyle w:val="TableText"/>
              <w:jc w:val="center"/>
            </w:pPr>
            <w:r>
              <w:rPr>
                <w:lang w:val="es-AR"/>
              </w:rPr>
              <w:t xml:space="preserve">3,093</w:t>
            </w:r>
          </w:p>
        </w:tc>
        <w:tc>
          <w:tcPr>
            <w:tcW w:type="dxa" w:w="1300"/>
          </w:tcPr>
          <w:p>
            <w:pPr>
              <w:pStyle w:val="TableText"/>
              <w:jc w:val="center"/>
            </w:pPr>
            <w:r>
              <w:rPr>
                <w:lang w:val="es-AR"/>
              </w:rPr>
              <w:t xml:space="preserve">3,024</w:t>
            </w:r>
          </w:p>
        </w:tc>
        <w:tc>
          <w:tcPr>
            <w:tcW w:type="dxa" w:w="1560"/>
          </w:tcPr>
          <w:p>
            <w:pPr>
              <w:pStyle w:val="TableText"/>
              <w:jc w:val="center"/>
            </w:pPr>
            <w:r>
              <w:rPr>
                <w:lang w:val="es-AR"/>
              </w:rPr>
              <w:t xml:space="preserve">3,058</w:t>
            </w:r>
          </w:p>
        </w:tc>
        <w:tc>
          <w:tcPr>
            <w:tcW w:type="dxa" w:w="1820"/>
          </w:tcPr>
          <w:p>
            <w:pPr>
              <w:pStyle w:val="TableText"/>
              <w:jc w:val="center"/>
            </w:pPr>
            <w:r>
              <w:rPr>
                <w:lang w:val="es-AR"/>
              </w:rPr>
              <w:t xml:space="preserve">3,154</w:t>
            </w:r>
          </w:p>
        </w:tc>
      </w:tr>
      <w:tr>
        <w:tc>
          <w:tcPr>
            <w:tcW w:type="dxa" w:w="780"/>
          </w:tcPr>
          <w:p>
            <w:pPr>
              <w:pStyle w:val="TableText"/>
              <w:jc w:val="center"/>
            </w:pPr>
            <w:r>
              <w:rPr>
                <w:lang w:val="es-AR"/>
              </w:rPr>
              <w:t xml:space="preserve">24</w:t>
            </w:r>
          </w:p>
        </w:tc>
        <w:tc>
          <w:tcPr>
            <w:tcW w:type="dxa" w:w="1332"/>
          </w:tcPr>
          <w:p>
            <w:pPr>
              <w:pStyle w:val="TableText"/>
              <w:jc w:val="center"/>
            </w:pPr>
            <w:r>
              <w:rPr>
                <w:lang w:val="es-AR"/>
              </w:rPr>
              <w:t xml:space="preserve">3,563</w:t>
            </w:r>
          </w:p>
        </w:tc>
        <w:tc>
          <w:tcPr>
            <w:tcW w:type="dxa" w:w="1300"/>
          </w:tcPr>
          <w:p>
            <w:pPr>
              <w:pStyle w:val="TableText"/>
              <w:jc w:val="center"/>
            </w:pPr>
            <w:r>
              <w:rPr>
                <w:lang w:val="es-AR"/>
              </w:rPr>
              <w:t xml:space="preserve">3,084</w:t>
            </w:r>
          </w:p>
        </w:tc>
        <w:tc>
          <w:tcPr>
            <w:tcW w:type="dxa" w:w="1560"/>
          </w:tcPr>
          <w:p>
            <w:pPr>
              <w:pStyle w:val="TableText"/>
              <w:jc w:val="center"/>
            </w:pPr>
            <w:r>
              <w:rPr>
                <w:lang w:val="es-AR"/>
              </w:rPr>
              <w:t xml:space="preserve">3,324</w:t>
            </w:r>
          </w:p>
        </w:tc>
        <w:tc>
          <w:tcPr>
            <w:tcW w:type="dxa" w:w="1820"/>
          </w:tcPr>
          <w:p>
            <w:pPr>
              <w:pStyle w:val="TableText"/>
              <w:jc w:val="center"/>
            </w:pPr>
            <w:r>
              <w:rPr>
                <w:lang w:val="es-AR"/>
              </w:rPr>
              <w:t xml:space="preserve">3,326</w:t>
            </w:r>
          </w:p>
        </w:tc>
      </w:tr>
      <w:tr>
        <w:tc>
          <w:tcPr>
            <w:tcW w:type="dxa" w:w="780"/>
          </w:tcPr>
          <w:p>
            <w:pPr>
              <w:pStyle w:val="TableText"/>
              <w:jc w:val="center"/>
            </w:pPr>
            <w:r>
              <w:rPr>
                <w:lang w:val="es-AR"/>
              </w:rPr>
              <w:t xml:space="preserve">25</w:t>
            </w:r>
          </w:p>
        </w:tc>
        <w:tc>
          <w:tcPr>
            <w:tcW w:type="dxa" w:w="1332"/>
          </w:tcPr>
          <w:p>
            <w:pPr>
              <w:pStyle w:val="TableText"/>
              <w:jc w:val="center"/>
            </w:pPr>
            <w:r>
              <w:rPr>
                <w:lang w:val="es-AR"/>
              </w:rPr>
              <w:t xml:space="preserve">4,171</w:t>
            </w:r>
          </w:p>
        </w:tc>
        <w:tc>
          <w:tcPr>
            <w:tcW w:type="dxa" w:w="1300"/>
          </w:tcPr>
          <w:p>
            <w:pPr>
              <w:pStyle w:val="TableText"/>
              <w:jc w:val="center"/>
            </w:pPr>
            <w:r>
              <w:rPr>
                <w:lang w:val="es-AR"/>
              </w:rPr>
              <w:t xml:space="preserve">3,563</w:t>
            </w:r>
          </w:p>
        </w:tc>
        <w:tc>
          <w:tcPr>
            <w:tcW w:type="dxa" w:w="1560"/>
          </w:tcPr>
          <w:p>
            <w:pPr>
              <w:pStyle w:val="TableText"/>
              <w:jc w:val="center"/>
            </w:pPr>
            <w:r>
              <w:rPr>
                <w:lang w:val="es-AR"/>
              </w:rPr>
              <w:t xml:space="preserve">3,867</w:t>
            </w:r>
          </w:p>
        </w:tc>
        <w:tc>
          <w:tcPr>
            <w:tcW w:type="dxa" w:w="1820"/>
          </w:tcPr>
          <w:p>
            <w:pPr>
              <w:pStyle w:val="TableText"/>
              <w:jc w:val="center"/>
            </w:pPr>
            <w:r>
              <w:rPr>
                <w:lang w:val="es-AR"/>
              </w:rPr>
              <w:t xml:space="preserve">3,357</w:t>
            </w:r>
          </w:p>
        </w:tc>
      </w:tr>
      <w:tr>
        <w:tc>
          <w:tcPr>
            <w:tcW w:type="dxa" w:w="780"/>
          </w:tcPr>
          <w:p>
            <w:pPr>
              <w:pStyle w:val="TableText"/>
              <w:jc w:val="center"/>
            </w:pPr>
            <w:r>
              <w:rPr>
                <w:lang w:val="es-AR"/>
              </w:rPr>
              <w:t xml:space="preserve">26</w:t>
            </w:r>
          </w:p>
        </w:tc>
        <w:tc>
          <w:tcPr>
            <w:tcW w:type="dxa" w:w="1332"/>
          </w:tcPr>
          <w:p>
            <w:pPr>
              <w:pStyle w:val="TableText"/>
              <w:jc w:val="center"/>
            </w:pPr>
            <w:r>
              <w:rPr>
                <w:lang w:val="es-AR"/>
              </w:rPr>
              <w:t xml:space="preserve">3,508</w:t>
            </w:r>
          </w:p>
        </w:tc>
        <w:tc>
          <w:tcPr>
            <w:tcW w:type="dxa" w:w="1300"/>
          </w:tcPr>
          <w:p>
            <w:pPr>
              <w:pStyle w:val="TableText"/>
              <w:jc w:val="center"/>
            </w:pPr>
            <w:r>
              <w:rPr>
                <w:lang w:val="es-AR"/>
              </w:rPr>
              <w:t xml:space="preserve">4,171</w:t>
            </w:r>
          </w:p>
        </w:tc>
        <w:tc>
          <w:tcPr>
            <w:tcW w:type="dxa" w:w="1560"/>
          </w:tcPr>
          <w:p>
            <w:pPr>
              <w:pStyle w:val="TableText"/>
              <w:jc w:val="center"/>
            </w:pPr>
            <w:r>
              <w:rPr>
                <w:lang w:val="es-AR"/>
              </w:rPr>
              <w:t xml:space="preserve">3,840</w:t>
            </w:r>
          </w:p>
        </w:tc>
        <w:tc>
          <w:tcPr>
            <w:tcW w:type="dxa" w:w="1820"/>
          </w:tcPr>
          <w:p>
            <w:pPr>
              <w:pStyle w:val="TableText"/>
              <w:jc w:val="center"/>
            </w:pPr>
            <w:r>
              <w:rPr>
                <w:lang w:val="es-AR"/>
              </w:rPr>
              <w:t xml:space="preserve">3,383</w:t>
            </w:r>
          </w:p>
        </w:tc>
      </w:tr>
      <w:tr>
        <w:tc>
          <w:tcPr>
            <w:tcW w:type="dxa" w:w="780"/>
          </w:tcPr>
          <w:p>
            <w:pPr>
              <w:pStyle w:val="TableText"/>
              <w:jc w:val="center"/>
            </w:pPr>
            <w:r>
              <w:rPr>
                <w:lang w:val="es-AR"/>
              </w:rPr>
              <w:t xml:space="preserve">27</w:t>
            </w:r>
          </w:p>
        </w:tc>
        <w:tc>
          <w:tcPr>
            <w:tcW w:type="dxa" w:w="1332"/>
          </w:tcPr>
          <w:p>
            <w:pPr>
              <w:pStyle w:val="TableText"/>
              <w:jc w:val="center"/>
            </w:pPr>
            <w:r>
              <w:rPr>
                <w:lang w:val="es-AR"/>
              </w:rPr>
              <w:t xml:space="preserve">3,800</w:t>
            </w:r>
          </w:p>
        </w:tc>
        <w:tc>
          <w:tcPr>
            <w:tcW w:type="dxa" w:w="1300"/>
          </w:tcPr>
          <w:p>
            <w:pPr>
              <w:pStyle w:val="TableText"/>
              <w:jc w:val="center"/>
            </w:pPr>
            <w:r>
              <w:rPr>
                <w:lang w:val="es-AR"/>
              </w:rPr>
              <w:t xml:space="preserve">3,508</w:t>
            </w:r>
          </w:p>
        </w:tc>
        <w:tc>
          <w:tcPr>
            <w:tcW w:type="dxa" w:w="1560"/>
          </w:tcPr>
          <w:p>
            <w:pPr>
              <w:pStyle w:val="TableText"/>
              <w:jc w:val="center"/>
            </w:pPr>
            <w:r>
              <w:rPr>
                <w:lang w:val="es-AR"/>
              </w:rPr>
              <w:t xml:space="preserve">3,654</w:t>
            </w:r>
          </w:p>
        </w:tc>
        <w:tc>
          <w:tcPr>
            <w:tcW w:type="dxa" w:w="1820"/>
          </w:tcPr>
          <w:p>
            <w:pPr>
              <w:pStyle w:val="TableText"/>
              <w:jc w:val="center"/>
            </w:pPr>
            <w:r>
              <w:rPr>
                <w:lang w:val="es-AR"/>
              </w:rPr>
              <w:t xml:space="preserve">3,403</w:t>
            </w:r>
          </w:p>
        </w:tc>
      </w:tr>
      <w:tr>
        <w:tc>
          <w:tcPr>
            <w:tcW w:type="dxa" w:w="780"/>
          </w:tcPr>
          <w:p>
            <w:pPr>
              <w:pStyle w:val="TableText"/>
              <w:jc w:val="center"/>
            </w:pPr>
            <w:r>
              <w:rPr>
                <w:lang w:val="es-AR"/>
              </w:rPr>
              <w:t xml:space="preserve">28</w:t>
            </w:r>
          </w:p>
        </w:tc>
        <w:tc>
          <w:tcPr>
            <w:tcW w:type="dxa" w:w="1332"/>
          </w:tcPr>
          <w:p>
            <w:pPr>
              <w:pStyle w:val="TableText"/>
              <w:jc w:val="center"/>
            </w:pPr>
            <w:r>
              <w:rPr>
                <w:lang w:val="es-AR"/>
              </w:rPr>
              <w:t xml:space="preserve">3,830</w:t>
            </w:r>
          </w:p>
        </w:tc>
        <w:tc>
          <w:tcPr>
            <w:tcW w:type="dxa" w:w="1300"/>
          </w:tcPr>
          <w:p>
            <w:pPr>
              <w:pStyle w:val="TableText"/>
              <w:jc w:val="center"/>
            </w:pPr>
            <w:r>
              <w:rPr>
                <w:lang w:val="es-AR"/>
              </w:rPr>
              <w:t xml:space="preserve">3,800</w:t>
            </w:r>
          </w:p>
        </w:tc>
        <w:tc>
          <w:tcPr>
            <w:tcW w:type="dxa" w:w="1560"/>
          </w:tcPr>
          <w:p>
            <w:pPr>
              <w:pStyle w:val="TableText"/>
              <w:jc w:val="center"/>
            </w:pPr>
            <w:r>
              <w:rPr>
                <w:lang w:val="es-AR"/>
              </w:rPr>
              <w:t xml:space="preserve">3,815</w:t>
            </w:r>
          </w:p>
        </w:tc>
        <w:tc>
          <w:tcPr>
            <w:tcW w:type="dxa" w:w="1820"/>
          </w:tcPr>
          <w:p>
            <w:pPr>
              <w:pStyle w:val="TableText"/>
              <w:jc w:val="center"/>
            </w:pPr>
            <w:r>
              <w:rPr>
                <w:lang w:val="es-AR"/>
              </w:rPr>
              <w:t xml:space="preserve">3,419</w:t>
            </w:r>
          </w:p>
        </w:tc>
      </w:tr>
      <w:tr>
        <w:tc>
          <w:tcPr>
            <w:tcW w:type="dxa" w:w="780"/>
          </w:tcPr>
          <w:p>
            <w:pPr>
              <w:pStyle w:val="TableText"/>
              <w:jc w:val="center"/>
            </w:pPr>
            <w:r>
              <w:rPr>
                <w:lang w:val="es-AR"/>
              </w:rPr>
              <w:t xml:space="preserve">30</w:t>
            </w:r>
          </w:p>
        </w:tc>
        <w:tc>
          <w:tcPr>
            <w:tcW w:type="dxa" w:w="1332"/>
          </w:tcPr>
          <w:p>
            <w:pPr>
              <w:pStyle w:val="TableText"/>
              <w:jc w:val="center"/>
            </w:pPr>
            <w:r>
              <w:rPr>
                <w:lang w:val="es-AR"/>
              </w:rPr>
              <w:t xml:space="preserve">3,507</w:t>
            </w:r>
          </w:p>
        </w:tc>
        <w:tc>
          <w:tcPr>
            <w:tcW w:type="dxa" w:w="1300"/>
          </w:tcPr>
          <w:p>
            <w:pPr>
              <w:pStyle w:val="TableText"/>
              <w:jc w:val="center"/>
            </w:pPr>
            <w:r>
              <w:rPr>
                <w:lang w:val="es-AR"/>
              </w:rPr>
              <w:t xml:space="preserve">3,613</w:t>
            </w:r>
          </w:p>
        </w:tc>
        <w:tc>
          <w:tcPr>
            <w:tcW w:type="dxa" w:w="1560"/>
          </w:tcPr>
          <w:p>
            <w:pPr>
              <w:pStyle w:val="TableText"/>
              <w:jc w:val="center"/>
            </w:pPr>
            <w:r>
              <w:rPr>
                <w:lang w:val="es-AR"/>
              </w:rPr>
              <w:t xml:space="preserve">3,560</w:t>
            </w:r>
          </w:p>
        </w:tc>
        <w:tc>
          <w:tcPr>
            <w:tcW w:type="dxa" w:w="1820"/>
          </w:tcPr>
          <w:p>
            <w:pPr>
              <w:pStyle w:val="TableText"/>
              <w:jc w:val="center"/>
            </w:pPr>
            <w:r>
              <w:rPr>
                <w:lang w:val="es-AR"/>
              </w:rPr>
              <w:t xml:space="preserve">3,435</w:t>
            </w:r>
          </w:p>
        </w:tc>
      </w:tr>
      <w:tr>
        <w:tc>
          <w:tcPr>
            <w:tcW w:type="dxa" w:w="780"/>
          </w:tcPr>
          <w:p>
            <w:pPr>
              <w:pStyle w:val="TableText"/>
              <w:jc w:val="center"/>
            </w:pPr>
            <w:r>
              <w:rPr>
                <w:lang w:val="es-AR"/>
              </w:rPr>
              <w:t xml:space="preserve">32</w:t>
            </w:r>
          </w:p>
        </w:tc>
        <w:tc>
          <w:tcPr>
            <w:tcW w:type="dxa" w:w="1332"/>
          </w:tcPr>
          <w:p>
            <w:pPr>
              <w:pStyle w:val="TableText"/>
              <w:jc w:val="center"/>
            </w:pPr>
            <w:r>
              <w:rPr>
                <w:lang w:val="es-AR"/>
              </w:rPr>
              <w:t xml:space="preserve">3,760</w:t>
            </w:r>
          </w:p>
        </w:tc>
        <w:tc>
          <w:tcPr>
            <w:tcW w:type="dxa" w:w="1300"/>
          </w:tcPr>
          <w:p>
            <w:pPr>
              <w:pStyle w:val="TableText"/>
              <w:jc w:val="center"/>
            </w:pPr>
            <w:r>
              <w:rPr>
                <w:lang w:val="es-AR"/>
              </w:rPr>
              <w:t xml:space="preserve">4,065</w:t>
            </w:r>
          </w:p>
        </w:tc>
        <w:tc>
          <w:tcPr>
            <w:tcW w:type="dxa" w:w="1560"/>
          </w:tcPr>
          <w:p>
            <w:pPr>
              <w:pStyle w:val="TableText"/>
              <w:jc w:val="center"/>
            </w:pPr>
            <w:r>
              <w:rPr>
                <w:lang w:val="es-AR"/>
              </w:rPr>
              <w:t xml:space="preserve">3,912</w:t>
            </w:r>
          </w:p>
        </w:tc>
        <w:tc>
          <w:tcPr>
            <w:tcW w:type="dxa" w:w="1820"/>
          </w:tcPr>
          <w:p>
            <w:pPr>
              <w:pStyle w:val="TableText"/>
              <w:jc w:val="center"/>
            </w:pPr>
            <w:r>
              <w:rPr>
                <w:lang w:val="es-AR"/>
              </w:rPr>
              <w:t xml:space="preserve">3,431</w:t>
            </w:r>
          </w:p>
        </w:tc>
      </w:tr>
      <w:tr>
        <w:tc>
          <w:tcPr>
            <w:tcW w:type="dxa" w:w="780"/>
          </w:tcPr>
          <w:p>
            <w:pPr>
              <w:pStyle w:val="TableText"/>
              <w:jc w:val="center"/>
            </w:pPr>
            <w:r>
              <w:rPr>
                <w:lang w:val="es-AR"/>
              </w:rPr>
              <w:t xml:space="preserve">35</w:t>
            </w:r>
          </w:p>
        </w:tc>
        <w:tc>
          <w:tcPr>
            <w:tcW w:type="dxa" w:w="1332"/>
          </w:tcPr>
          <w:p>
            <w:pPr>
              <w:pStyle w:val="TableText"/>
              <w:jc w:val="center"/>
            </w:pPr>
            <w:r>
              <w:rPr>
                <w:lang w:val="es-AR"/>
              </w:rPr>
              <w:t xml:space="preserve">3,136</w:t>
            </w:r>
          </w:p>
        </w:tc>
        <w:tc>
          <w:tcPr>
            <w:tcW w:type="dxa" w:w="1300"/>
          </w:tcPr>
          <w:p>
            <w:pPr>
              <w:pStyle w:val="TableText"/>
              <w:jc w:val="center"/>
            </w:pPr>
            <w:r>
              <w:rPr>
                <w:lang w:val="es-AR"/>
              </w:rPr>
              <w:t xml:space="preserve">3,254</w:t>
            </w:r>
          </w:p>
        </w:tc>
        <w:tc>
          <w:tcPr>
            <w:tcW w:type="dxa" w:w="1560"/>
          </w:tcPr>
          <w:p>
            <w:pPr>
              <w:pStyle w:val="TableText"/>
              <w:jc w:val="center"/>
            </w:pPr>
            <w:r>
              <w:rPr>
                <w:lang w:val="es-AR"/>
              </w:rPr>
              <w:t xml:space="preserve">3,195</w:t>
            </w:r>
          </w:p>
        </w:tc>
        <w:tc>
          <w:tcPr>
            <w:tcW w:type="dxa" w:w="1820"/>
          </w:tcPr>
          <w:p>
            <w:pPr>
              <w:pStyle w:val="TableText"/>
              <w:jc w:val="center"/>
            </w:pPr>
            <w:r>
              <w:rPr>
                <w:lang w:val="es-AR"/>
              </w:rPr>
              <w:t xml:space="preserve">3,387</w:t>
            </w:r>
          </w:p>
        </w:tc>
      </w:tr>
      <w:tr>
        <w:tc>
          <w:tcPr>
            <w:tcW w:type="dxa" w:w="780"/>
          </w:tcPr>
          <w:p>
            <w:pPr>
              <w:pStyle w:val="TableText"/>
              <w:jc w:val="center"/>
            </w:pPr>
            <w:r>
              <w:rPr>
                <w:lang w:val="es-AR"/>
              </w:rPr>
              <w:t xml:space="preserve">46</w:t>
            </w:r>
          </w:p>
        </w:tc>
        <w:tc>
          <w:tcPr>
            <w:tcW w:type="dxa" w:w="1332"/>
          </w:tcPr>
          <w:p>
            <w:pPr>
              <w:pStyle w:val="TableText"/>
              <w:jc w:val="center"/>
            </w:pPr>
            <w:r>
              <w:rPr>
                <w:lang w:val="es-AR"/>
              </w:rPr>
              <w:t xml:space="preserve">—</w:t>
            </w:r>
          </w:p>
        </w:tc>
        <w:tc>
          <w:tcPr>
            <w:tcW w:type="dxa" w:w="1300"/>
          </w:tcPr>
          <w:p>
            <w:pPr>
              <w:pStyle w:val="TableText"/>
              <w:jc w:val="center"/>
            </w:pPr>
            <w:r>
              <w:rPr>
                <w:lang w:val="es-AR"/>
              </w:rPr>
              <w:t xml:space="preserve">2,812</w:t>
            </w:r>
          </w:p>
        </w:tc>
        <w:tc>
          <w:tcPr>
            <w:tcW w:type="dxa" w:w="1560"/>
          </w:tcPr>
          <w:p>
            <w:pPr>
              <w:pStyle w:val="TableText"/>
              <w:jc w:val="center"/>
            </w:pPr>
            <w:r>
              <w:rPr>
                <w:lang w:val="es-AR"/>
              </w:rPr>
              <w:t xml:space="preserve">—</w:t>
            </w:r>
          </w:p>
        </w:tc>
        <w:tc>
          <w:tcPr>
            <w:tcW w:type="dxa" w:w="1820"/>
          </w:tcPr>
          <w:p>
            <w:pPr>
              <w:pStyle w:val="TableText"/>
              <w:jc w:val="center"/>
            </w:pPr>
            <w:r>
              <w:rPr>
                <w:lang w:val="es-AR"/>
              </w:rPr>
              <w:t xml:space="preserve">2,838</w:t>
            </w:r>
          </w:p>
        </w:tc>
      </w:tr>
    </w:tbl>
    <w:p>
      <w:pPr>
        <w:pStyle w:val="BodyText"/>
        <w:spacing w:before="240"/>
      </w:pPr>
      <w:r>
        <w:rPr>
          <w:lang w:val="es-AR"/>
        </w:rPr>
        <w:t xml:space="preserve">En promedio sobre los nodos interiores, la diferencia absoluta respecto de</w:t>
      </w:r>
      <w:r>
        <w:rPr>
          <w:lang w:val="es-AR"/>
        </w:rPr>
        <w:t xml:space="preserve"> </w:t>
      </w:r>
      <m:oMath>
        <m:sSup>
          <m:e>
            <m:acc>
              <m:accPr>
                <m:chr m:val="̂"/>
              </m:accPr>
              <m:e>
                <m:r>
                  <m:t>S</m:t>
                </m:r>
              </m:e>
            </m:acc>
          </m:e>
          <m:sup>
            <m:r>
              <m:rPr>
                <m:sty m:val="p"/>
              </m:rPr>
              <m:t>′</m:t>
            </m:r>
          </m:sup>
        </m:sSup>
        <m:r>
          <m:rPr>
            <m:sty m:val="p"/>
          </m:rPr>
          <m:t>(</m:t>
        </m:r>
        <m:r>
          <m:t>t</m:t>
        </m:r>
        <m:r>
          <m:rPr>
            <m:sty m:val="p"/>
          </m:rPr>
          <m:t>)</m:t>
        </m:r>
      </m:oMath>
      <w:r>
        <w:rPr>
          <w:lang w:val="es-AR"/>
        </w:rPr>
        <w:t xml:space="preserve"> </w:t>
      </w:r>
      <w:r>
        <w:rPr>
          <w:lang w:val="es-AR"/>
        </w:rPr>
        <w:t xml:space="preserve">es de 0,246 M/semana para la fórmula centrada, frente a 0,259 para la diferencia hacia atrás y 0,265 para la diferencia hacia adelante. La fórmula centrada resulta la más próxima a la tendencia, en concordancia con su orden de error</w:t>
      </w:r>
      <w:r>
        <w:rPr>
          <w:lang w:val="es-AR"/>
        </w:rPr>
        <w:t xml:space="preserve"> </w:t>
      </w:r>
      <m:oMath>
        <m:r>
          <m:t>O</m:t>
        </m:r>
        <m:r>
          <m:rPr>
            <m:sty m:val="p"/>
          </m:rPr>
          <m:t>(</m:t>
        </m:r>
        <m:sSup>
          <m:e>
            <m:r>
              <m:t>h</m:t>
            </m:r>
          </m:e>
          <m:sup>
            <m:r>
              <m:t>2</m:t>
            </m:r>
          </m:sup>
        </m:sSup>
        <m:r>
          <m:rPr>
            <m:sty m:val="p"/>
          </m:rPr>
          <m:t>)</m:t>
        </m:r>
      </m:oMath>
      <w:r>
        <w:rPr>
          <w:lang w:val="es-AR"/>
        </w:rPr>
        <w:t xml:space="preserve"> </w:t>
      </w:r>
      <w:r>
        <w:rPr>
          <w:lang w:val="es-AR"/>
        </w:rPr>
        <w:t xml:space="preserve">y porque, al promediar dos semanas consecutivas, atenúa parte de las variaciones de corto plazo.</w:t>
      </w:r>
    </w:p>
    <w:bookmarkEnd w:id="40"/>
    <w:bookmarkStart w:id="44" w:name="pico-de-demanda"/>
    <w:p>
      <w:pPr>
        <w:pStyle w:val="Heading3"/>
      </w:pPr>
      <w:r>
        <w:rPr>
          <w:lang w:val="es-AR"/>
        </w:rPr>
        <w:t xml:space="preserve">3.4.3. Pico de demanda</w:t>
      </w:r>
    </w:p>
    <w:p>
      <w:pPr>
        <w:pStyle w:val="FirstParagraph"/>
      </w:pPr>
      <w:r>
        <w:rPr>
          <w:lang w:val="es-AR"/>
        </w:rPr>
        <w:t xml:space="preserve">El instante de máxima velocidad de crecimiento es el punto de inflexión de la curva acumulada, donde</w:t>
      </w:r>
      <w:r>
        <w:rPr>
          <w:lang w:val="es-AR"/>
        </w:rPr>
        <w:t xml:space="preserve"> </w:t>
      </w:r>
      <m:oMath>
        <m:sSup>
          <m:e>
            <m:r>
              <m:t>S</m:t>
            </m:r>
          </m:e>
          <m:sup>
            <m:r>
              <m:rPr>
                <m:sty m:val="p"/>
              </m:rPr>
              <m:t>″</m:t>
            </m:r>
          </m:sup>
        </m:sSup>
        <m:r>
          <m:rPr>
            <m:sty m:val="p"/>
          </m:rPr>
          <m:t>(</m:t>
        </m:r>
        <m:r>
          <m:t>t</m:t>
        </m:r>
        <m:r>
          <m:rPr>
            <m:sty m:val="p"/>
          </m:rPr>
          <m:t>)</m:t>
        </m:r>
        <m:r>
          <m:rPr>
            <m:sty m:val="p"/>
          </m:rPr>
          <m:t>=</m:t>
        </m:r>
        <m:r>
          <m:t>0</m:t>
        </m:r>
      </m:oMath>
      <w:r>
        <w:rPr>
          <w:lang w:val="es-AR"/>
        </w:rPr>
        <w:t xml:space="preserve">. Sobre los datos, la derivada segunda puede estimarse con la diferencia segunda</w:t>
      </w:r>
    </w:p>
    <w:p>
      <w:pPr>
        <w:pStyle w:val="BodyText"/>
      </w:pPr>
      <m:oMathPara>
        <m:oMathParaPr>
          <m:jc m:val="center"/>
        </m:oMathParaPr>
        <m:oMath>
          <m:sSup>
            <m:e>
              <m:r>
                <m:t>S</m:t>
              </m:r>
            </m:e>
            <m:sup>
              <m:r>
                <m:rPr>
                  <m:sty m:val="p"/>
                </m:rPr>
                <m:t>″</m:t>
              </m:r>
            </m:sup>
          </m:sSup>
          <m:r>
            <m:rPr>
              <m:sty m:val="p"/>
            </m:rPr>
            <m:t>(</m:t>
          </m:r>
          <m:sSub>
            <m:e>
              <m:r>
                <m:t>t</m:t>
              </m:r>
            </m:e>
            <m:sub>
              <m:r>
                <m:t>i</m:t>
              </m:r>
            </m:sub>
          </m:sSub>
          <m:r>
            <m:rPr>
              <m:sty m:val="p"/>
            </m:rPr>
            <m:t>)</m:t>
          </m:r>
          <m:r>
            <m:rPr>
              <m:sty m:val="p"/>
            </m:rPr>
            <m:t>≈</m:t>
          </m:r>
          <m:f>
            <m:fPr>
              <m:type m:val="bar"/>
            </m:fPr>
            <m:num>
              <m:r>
                <m:t>S</m:t>
              </m:r>
              <m:r>
                <m:rPr>
                  <m:sty m:val="p"/>
                </m:rPr>
                <m:t>(</m:t>
              </m:r>
              <m:sSub>
                <m:e>
                  <m:r>
                    <m:t>t</m:t>
                  </m:r>
                </m:e>
                <m:sub>
                  <m:r>
                    <m:t>i</m:t>
                  </m:r>
                </m:sub>
              </m:sSub>
              <m:r>
                <m:rPr>
                  <m:sty m:val="p"/>
                </m:rPr>
                <m:t>+</m:t>
              </m:r>
              <m:r>
                <m:t>h</m:t>
              </m:r>
              <m:r>
                <m:rPr>
                  <m:sty m:val="p"/>
                </m:rPr>
                <m:t>)</m:t>
              </m:r>
              <m:r>
                <m:rPr>
                  <m:sty m:val="p"/>
                </m:rPr>
                <m:t>−</m:t>
              </m:r>
              <m:r>
                <m:t>2</m:t>
              </m:r>
              <m:r>
                <m:t>S</m:t>
              </m:r>
              <m:r>
                <m:rPr>
                  <m:sty m:val="p"/>
                </m:rPr>
                <m:t>(</m:t>
              </m:r>
              <m:sSub>
                <m:e>
                  <m:r>
                    <m:t>t</m:t>
                  </m:r>
                </m:e>
                <m:sub>
                  <m:r>
                    <m:t>i</m:t>
                  </m:r>
                </m:sub>
              </m:sSub>
              <m:r>
                <m:rPr>
                  <m:sty m:val="p"/>
                </m:rPr>
                <m:t>)</m:t>
              </m:r>
              <m:r>
                <m:rPr>
                  <m:sty m:val="p"/>
                </m:rPr>
                <m:t>+</m:t>
              </m:r>
              <m:r>
                <m:t>S</m:t>
              </m:r>
              <m:r>
                <m:rPr>
                  <m:sty m:val="p"/>
                </m:rPr>
                <m:t>(</m:t>
              </m:r>
              <m:sSub>
                <m:e>
                  <m:r>
                    <m:t>t</m:t>
                  </m:r>
                </m:e>
                <m:sub>
                  <m:r>
                    <m:t>i</m:t>
                  </m:r>
                </m:sub>
              </m:sSub>
              <m:r>
                <m:rPr>
                  <m:sty m:val="p"/>
                </m:rPr>
                <m:t>−</m:t>
              </m:r>
              <m:r>
                <m:t>h</m:t>
              </m:r>
              <m:r>
                <m:rPr>
                  <m:sty m:val="p"/>
                </m:rPr>
                <m:t>)</m:t>
              </m:r>
            </m:num>
            <m:den>
              <m:sSup>
                <m:e>
                  <m:r>
                    <m:t>h</m:t>
                  </m:r>
                </m:e>
                <m:sup>
                  <m:r>
                    <m:t>2</m:t>
                  </m:r>
                </m:sup>
              </m:sSup>
            </m:den>
          </m:f>
        </m:oMath>
      </m:oMathPara>
    </w:p>
    <w:p>
      <w:pPr>
        <w:pStyle w:val="FirstParagraph"/>
      </w:pPr>
      <w:r>
        <w:rPr>
          <w:lang w:val="es-AR"/>
        </w:rPr>
        <w:t xml:space="preserve">que corresponde a la expresión</w:t>
      </w:r>
      <w:r>
        <w:rPr>
          <w:lang w:val="es-AR"/>
        </w:rPr>
        <w:t xml:space="preserve"> </w:t>
      </w:r>
      <m:oMath>
        <m:f>
          <m:fPr>
            <m:type m:val="bar"/>
          </m:fPr>
          <m:num>
            <m:r>
              <m:t>f</m:t>
            </m:r>
            <m:r>
              <m:rPr>
                <m:sty m:val="p"/>
              </m:rPr>
              <m:t>(</m:t>
            </m:r>
            <m:sSub>
              <m:e>
                <m:r>
                  <m:t>x</m:t>
                </m:r>
              </m:e>
              <m:sub>
                <m:r>
                  <m:t>0</m:t>
                </m:r>
              </m:sub>
            </m:sSub>
            <m:r>
              <m:rPr>
                <m:sty m:val="p"/>
              </m:rPr>
              <m:t>)</m:t>
            </m:r>
            <m:r>
              <m:rPr>
                <m:sty m:val="p"/>
              </m:rPr>
              <m:t>−</m:t>
            </m:r>
            <m:r>
              <m:t>2</m:t>
            </m:r>
            <m:r>
              <m:t>f</m:t>
            </m:r>
            <m:r>
              <m:rPr>
                <m:sty m:val="p"/>
              </m:rPr>
              <m:t>(</m:t>
            </m:r>
            <m:sSub>
              <m:e>
                <m:r>
                  <m:t>x</m:t>
                </m:r>
              </m:e>
              <m:sub>
                <m:r>
                  <m:t>0</m:t>
                </m:r>
              </m:sub>
            </m:sSub>
            <m:r>
              <m:rPr>
                <m:sty m:val="p"/>
              </m:rPr>
              <m:t>+</m:t>
            </m:r>
            <m:r>
              <m:t>h</m:t>
            </m:r>
            <m:r>
              <m:rPr>
                <m:sty m:val="p"/>
              </m:rPr>
              <m:t>)</m:t>
            </m:r>
            <m:r>
              <m:rPr>
                <m:sty m:val="p"/>
              </m:rPr>
              <m:t>+</m:t>
            </m:r>
            <m:r>
              <m:t>f</m:t>
            </m:r>
            <m:r>
              <m:rPr>
                <m:sty m:val="p"/>
              </m:rPr>
              <m:t>(</m:t>
            </m:r>
            <m:sSub>
              <m:e>
                <m:r>
                  <m:t>x</m:t>
                </m:r>
              </m:e>
              <m:sub>
                <m:r>
                  <m:t>0</m:t>
                </m:r>
              </m:sub>
            </m:sSub>
            <m:r>
              <m:rPr>
                <m:sty m:val="p"/>
              </m:rPr>
              <m:t>+</m:t>
            </m:r>
            <m:r>
              <m:t>2</m:t>
            </m:r>
            <m:r>
              <m:t>h</m:t>
            </m:r>
            <m:r>
              <m:rPr>
                <m:sty m:val="p"/>
              </m:rPr>
              <m:t>)</m:t>
            </m:r>
          </m:num>
          <m:den>
            <m:sSup>
              <m:e>
                <m:r>
                  <m:t>h</m:t>
                </m:r>
              </m:e>
              <m:sup>
                <m:r>
                  <m:t>2</m:t>
                </m:r>
              </m:sup>
            </m:sSup>
          </m:den>
        </m:f>
      </m:oMath>
      <w:r>
        <w:rPr>
          <w:lang w:val="es-AR"/>
        </w:rPr>
        <w:t xml:space="preserve"> </w:t>
      </w:r>
      <w:r>
        <w:rPr>
          <w:lang w:val="es-AR"/>
        </w:rPr>
        <w:t xml:space="preserve">del cap. 6.1 evaluada con</w:t>
      </w:r>
      <w:r>
        <w:rPr>
          <w:lang w:val="es-AR"/>
        </w:rPr>
        <w:t xml:space="preserve"> </w:t>
      </w:r>
      <m:oMath>
        <m:sSub>
          <m:e>
            <m:r>
              <m:t>x</m:t>
            </m:r>
          </m:e>
          <m:sub>
            <m:r>
              <m:t>0</m:t>
            </m:r>
          </m:sub>
        </m:sSub>
        <m:r>
          <m:rPr>
            <m:sty m:val="p"/>
          </m:rPr>
          <m:t>=</m:t>
        </m:r>
        <m:sSub>
          <m:e>
            <m:r>
              <m:t>t</m:t>
            </m:r>
          </m:e>
          <m:sub>
            <m:r>
              <m:t>i</m:t>
            </m:r>
            <m:r>
              <m:rPr>
                <m:sty m:val="p"/>
              </m:rPr>
              <m:t>−</m:t>
            </m:r>
            <m:r>
              <m:t>1</m:t>
            </m:r>
          </m:sub>
        </m:sSub>
      </m:oMath>
      <w:r>
        <w:rPr>
          <w:lang w:val="es-AR"/>
        </w:rPr>
        <w:t xml:space="preserve"> </w:t>
      </w:r>
      <w:r>
        <w:rPr>
          <w:lang w:val="es-AR"/>
        </w:rPr>
        <w:t xml:space="preserve">y asignada al nodo central</w:t>
      </w:r>
      <w:r>
        <w:rPr>
          <w:lang w:val="es-AR"/>
        </w:rPr>
        <w:t xml:space="preserve"> </w:t>
      </w:r>
      <m:oMath>
        <m:sSub>
          <m:e>
            <m:r>
              <m:t>t</m:t>
            </m:r>
          </m:e>
          <m:sub>
            <m:r>
              <m:t>i</m:t>
            </m:r>
          </m:sub>
        </m:sSub>
      </m:oMath>
      <w:r>
        <w:rPr>
          <w:lang w:val="es-AR"/>
        </w:rPr>
        <w:t xml:space="preserve">. Sin embargo, en esta serie real la diferencia segunda cambia de signo 18 veces en 45 semanas: las fluctuaciones semanales de la demanda dominan sobre la tendencia y no permiten identificar un único punto de inflexión. Esta situación es la que advierten los apuntes al señalar que las fórmulas de diferencias pierden utilidad cuando la función presenta variaciones fuertes.</w:t>
      </w:r>
    </w:p>
    <w:p>
      <w:pPr>
        <w:pStyle w:val="BodyText"/>
      </w:pPr>
      <w:r>
        <w:rPr>
          <w:lang w:val="es-AR"/>
        </w:rPr>
        <w:t xml:space="preserve">Por ese motivo, el pico se analizó de dos maneras complementarias:</w:t>
      </w:r>
    </w:p>
    <w:p>
      <w:pPr>
        <w:pStyle w:val="Compact"/>
        <w:numPr>
          <w:ilvl w:val="0"/>
          <w:numId w:val="1007"/>
        </w:numPr>
      </w:pPr>
      <w:r>
        <w:rPr>
          <w:b/>
          <w:bCs/>
          <w:lang w:val="es-AR"/>
        </w:rPr>
        <w:t xml:space="preserve">Sobre los datos:</w:t>
      </w:r>
      <w:r>
        <w:rPr>
          <w:lang w:val="es-AR"/>
        </w:rPr>
        <w:t xml:space="preserve"> </w:t>
      </w:r>
      <w:r>
        <w:rPr>
          <w:lang w:val="es-AR"/>
        </w:rPr>
        <w:t xml:space="preserve">el máximo de la diferencia hacia atrás, que coincide con la semana de más reproducciones, se produjo en la semana 26 (cierre el 27 de julio de 2023), con 4,171 M; el máximo de la diferencia centrada fue de 3,912 M/semana en la semana 32.</w:t>
      </w:r>
    </w:p>
    <w:p>
      <w:pPr>
        <w:pStyle w:val="Compact"/>
        <w:numPr>
          <w:ilvl w:val="0"/>
          <w:numId w:val="1007"/>
        </w:numPr>
      </w:pPr>
      <w:r>
        <w:rPr>
          <w:b/>
          <w:bCs/>
          <w:lang w:val="es-AR"/>
        </w:rPr>
        <w:t xml:space="preserve">Sobre el modelo de regresión</w:t>
      </w:r>
      <w:r>
        <w:rPr>
          <w:lang w:val="es-AR"/>
        </w:rPr>
        <w:t xml:space="preserve">, que actúa como un suavizado de la tendencia, en forma analítica:</w:t>
      </w:r>
    </w:p>
    <w:p>
      <w:pPr>
        <w:pStyle w:val="FirstParagraph"/>
      </w:pPr>
      <m:oMathPara>
        <m:oMathParaPr>
          <m:jc m:val="center"/>
        </m:oMathParaPr>
        <m:oMath>
          <m:sSup>
            <m:e>
              <m:acc>
                <m:accPr>
                  <m:chr m:val="̂"/>
                </m:accPr>
                <m:e>
                  <m:r>
                    <m:t>S</m:t>
                  </m:r>
                </m:e>
              </m:acc>
            </m:e>
            <m:sup>
              <m:r>
                <m:rPr>
                  <m:sty m:val="p"/>
                </m:rPr>
                <m:t>″</m:t>
              </m:r>
            </m:sup>
          </m:sSup>
          <m:r>
            <m:rPr>
              <m:sty m:val="p"/>
            </m:rPr>
            <m:t>(</m:t>
          </m:r>
          <m:r>
            <m:t>t</m:t>
          </m:r>
          <m:r>
            <m:rPr>
              <m:sty m:val="p"/>
            </m:rPr>
            <m:t>)</m:t>
          </m:r>
          <m:r>
            <m:rPr>
              <m:sty m:val="p"/>
            </m:rPr>
            <m:t>=</m:t>
          </m:r>
          <m:r>
            <m:t>6</m:t>
          </m:r>
          <m:sSub>
            <m:e>
              <m:r>
                <m:t>a</m:t>
              </m:r>
            </m:e>
            <m:sub>
              <m:r>
                <m:t>3</m:t>
              </m:r>
            </m:sub>
          </m:sSub>
          <m:r>
            <m:t>t</m:t>
          </m:r>
          <m:r>
            <m:rPr>
              <m:sty m:val="p"/>
            </m:rPr>
            <m:t>+</m:t>
          </m:r>
          <m:r>
            <m:t>2</m:t>
          </m:r>
          <m:sSub>
            <m:e>
              <m:r>
                <m:t>a</m:t>
              </m:r>
            </m:e>
            <m:sub>
              <m:r>
                <m:t>2</m:t>
              </m:r>
            </m:sub>
          </m:sSub>
          <m:r>
            <m:rPr>
              <m:sty m:val="p"/>
            </m:rPr>
            <m:t>=</m:t>
          </m:r>
          <m:r>
            <m:t>0</m:t>
          </m:r>
          <m:r>
            <m:t> </m:t>
          </m:r>
          <m:r>
            <m:rPr>
              <m:sty m:val="p"/>
            </m:rPr>
            <m:t>⇒</m:t>
          </m:r>
          <m:r>
            <m:t> </m:t>
          </m:r>
          <m:sSub>
            <m:e>
              <m:r>
                <m:t>t</m:t>
              </m:r>
            </m:e>
            <m:sub>
              <m:r>
                <m:t>p</m:t>
              </m:r>
              <m:r>
                <m:t>i</m:t>
              </m:r>
              <m:r>
                <m:t>c</m:t>
              </m:r>
              <m:r>
                <m:t>o</m:t>
              </m:r>
            </m:sub>
          </m:sSub>
          <m:r>
            <m:rPr>
              <m:sty m:val="p"/>
            </m:rPr>
            <m:t>=</m:t>
          </m:r>
          <m:r>
            <m:rPr>
              <m:sty m:val="p"/>
            </m:rPr>
            <m:t>−</m:t>
          </m:r>
          <m:f>
            <m:fPr>
              <m:type m:val="bar"/>
            </m:fPr>
            <m:num>
              <m:sSub>
                <m:e>
                  <m:r>
                    <m:t>a</m:t>
                  </m:r>
                </m:e>
                <m:sub>
                  <m:r>
                    <m:t>2</m:t>
                  </m:r>
                </m:sub>
              </m:sSub>
            </m:num>
            <m:den>
              <m:r>
                <m:t>3</m:t>
              </m:r>
              <m:sSub>
                <m:e>
                  <m:r>
                    <m:t>a</m:t>
                  </m:r>
                </m:e>
                <m:sub>
                  <m:r>
                    <m:t>3</m:t>
                  </m:r>
                </m:sub>
              </m:sSub>
            </m:den>
          </m:f>
          <m:r>
            <m:rPr>
              <m:sty m:val="p"/>
            </m:rPr>
            <m:t>=</m:t>
          </m:r>
          <m:r>
            <m:t>30</m:t>
          </m:r>
          <m:r>
            <m:rPr>
              <m:sty m:val="p"/>
            </m:rPr>
            <m:t>,</m:t>
          </m:r>
          <m:r>
            <m:t>59</m:t>
          </m:r>
          <m:r>
            <m:t> </m:t>
          </m:r>
          <m:r>
            <m:rPr>
              <m:nor/>
            </m:rPr>
            <m:t>semanas</m:t>
          </m:r>
          <m:r>
            <m:rPr>
              <m:sty m:val="p"/>
            </m:rPr>
            <m:t>,</m:t>
          </m:r>
          <m:r>
            <m:t>  </m:t>
          </m:r>
          <m:sSup>
            <m:e>
              <m:acc>
                <m:accPr>
                  <m:chr m:val="̂"/>
                </m:accPr>
                <m:e>
                  <m:r>
                    <m:t>S</m:t>
                  </m:r>
                </m:e>
              </m:acc>
            </m:e>
            <m:sup>
              <m:r>
                <m:rPr>
                  <m:sty m:val="p"/>
                </m:rPr>
                <m:t>′</m:t>
              </m:r>
            </m:sup>
          </m:sSup>
          <m:r>
            <m:rPr>
              <m:sty m:val="p"/>
            </m:rPr>
            <m:t>(</m:t>
          </m:r>
          <m:sSub>
            <m:e>
              <m:r>
                <m:t>t</m:t>
              </m:r>
            </m:e>
            <m:sub>
              <m:r>
                <m:t>p</m:t>
              </m:r>
              <m:r>
                <m:t>i</m:t>
              </m:r>
              <m:r>
                <m:t>c</m:t>
              </m:r>
              <m:r>
                <m:t>o</m:t>
              </m:r>
            </m:sub>
          </m:sSub>
          <m:r>
            <m:rPr>
              <m:sty m:val="p"/>
            </m:rPr>
            <m:t>)</m:t>
          </m:r>
          <m:r>
            <m:rPr>
              <m:sty m:val="p"/>
            </m:rPr>
            <m:t>=</m:t>
          </m:r>
          <m:r>
            <m:t>3</m:t>
          </m:r>
          <m:r>
            <m:rPr>
              <m:sty m:val="p"/>
            </m:rPr>
            <m:t>,</m:t>
          </m:r>
          <m:r>
            <m:t>436</m:t>
          </m:r>
          <m:r>
            <m:t> </m:t>
          </m:r>
          <m:r>
            <m:rPr>
              <m:nor/>
            </m:rPr>
            <m:t>M/semana</m:t>
          </m:r>
        </m:oMath>
      </m:oMathPara>
    </w:p>
    <w:p>
      <w:pPr>
        <w:pStyle w:val="FirstParagraph"/>
      </w:pPr>
      <w:r>
        <w:rPr>
          <w:lang w:val="es-AR"/>
        </w:rPr>
        <w:t xml:space="preserve">Como</w:t>
      </w:r>
      <w:r>
        <w:rPr>
          <w:lang w:val="es-AR"/>
        </w:rPr>
        <w:t xml:space="preserve"> </w:t>
      </w:r>
      <m:oMath>
        <m:sSub>
          <m:e>
            <m:r>
              <m:t>a</m:t>
            </m:r>
          </m:e>
          <m:sub>
            <m:r>
              <m:t>3</m:t>
            </m:r>
          </m:sub>
        </m:sSub>
        <m:r>
          <m:rPr>
            <m:sty m:val="p"/>
          </m:rPr>
          <m:t>&lt;</m:t>
        </m:r>
        <m:r>
          <m:t>0</m:t>
        </m:r>
      </m:oMath>
      <w:r>
        <w:rPr>
          <w:lang w:val="es-AR"/>
        </w:rPr>
        <w:t xml:space="preserve"> </w:t>
      </w:r>
      <w:r>
        <w:rPr>
          <w:lang w:val="es-AR"/>
        </w:rPr>
        <w:t xml:space="preserve">y</w:t>
      </w:r>
      <w:r>
        <w:rPr>
          <w:lang w:val="es-AR"/>
        </w:rPr>
        <w:t xml:space="preserve"> </w:t>
      </w:r>
      <m:oMath>
        <m:sSub>
          <m:e>
            <m:r>
              <m:t>t</m:t>
            </m:r>
          </m:e>
          <m:sub>
            <m:r>
              <m:t>p</m:t>
            </m:r>
            <m:r>
              <m:t>i</m:t>
            </m:r>
            <m:r>
              <m:t>c</m:t>
            </m:r>
            <m:r>
              <m:t>o</m:t>
            </m:r>
          </m:sub>
        </m:sSub>
      </m:oMath>
      <w:r>
        <w:rPr>
          <w:lang w:val="es-AR"/>
        </w:rPr>
        <w:t xml:space="preserve"> </w:t>
      </w:r>
      <w:r>
        <w:rPr>
          <w:lang w:val="es-AR"/>
        </w:rPr>
        <w:t xml:space="preserve">está dentro del período, este punto es efectivamente un máximo de la velocidad de crecimiento. El modelo ubica el pico de la tendencia hacia el 28 de agosto de 2023, unas 4,6 semanas después del máximo semanal medido, y con un valor un 18 % menor. La diferencia se explica porque el máximo medido es un pico puntual asociado a la viralización de julio, mientras que la cúbica representa la tendencia de todo el año. Ambos resultados son útiles con fines distintos: el máximo medido indica la demanda puntual más alta, y el pico del modelo, el período de mayor demanda sostenida.</w:t>
      </w:r>
    </w:p>
    <w:p>
      <w:pPr>
        <w:pStyle w:val="CaptionedFigure"/>
      </w:pPr>
      <w:r>
        <w:drawing>
          <wp:inline>
            <wp:extent cx="5334000" cy="3200400"/>
            <wp:effectExtent b="0" l="0" r="0" t="0"/>
            <wp:docPr descr="Figura 3. Velocidad de crecimiento de las reproducciones: datos semanales, derivada del modelo de regresión y ubicación del pico de la tendencia." title="" id="42" name="Picture"/>
            <a:graphic>
              <a:graphicData uri="http://schemas.openxmlformats.org/drawingml/2006/picture">
                <pic:pic>
                  <pic:nvPicPr>
                    <pic:cNvPr descr="img/grafico_3_derivada_tasa_viralidad.png" id="43" name="Picture"/>
                    <pic:cNvPicPr>
                      <a:picLocks noChangeArrowheads="1" noChangeAspect="1"/>
                    </pic:cNvPicPr>
                  </pic:nvPicPr>
                  <pic:blipFill>
                    <a:blip r:embed="rId4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lang w:val="es-AR"/>
        </w:rPr>
        <w:t xml:space="preserve">Figura 3. Velocidad de crecimiento de las reproducciones: datos semanales, derivada del modelo de regresión y ubicación del pico de la tendencia.</w:t>
      </w:r>
    </w:p>
    <w:bookmarkEnd w:id="44"/>
    <w:bookmarkEnd w:id="45"/>
    <w:bookmarkStart w:id="49" w:name="generalización-a-otras-canciones"/>
    <w:p>
      <w:pPr>
        <w:pStyle w:val="Heading2"/>
      </w:pPr>
      <w:r>
        <w:rPr>
          <w:lang w:val="es-AR"/>
        </w:rPr>
        <w:t xml:space="preserve">3.5. Generalización a otras canciones</w:t>
      </w:r>
    </w:p>
    <w:p>
      <w:pPr>
        <w:pStyle w:val="FirstParagraph"/>
      </w:pPr>
      <w:r>
        <w:rPr>
          <w:lang w:val="es-AR"/>
        </w:rPr>
        <w:t xml:space="preserve">Para evaluar la aplicabilidad del procedimiento como herramienta general, el programa se organizó de manera que cualquier canción pueda analizarse a partir de un archivo CSV con su serie semanal. Se aplicó a dos estrenos de gran éxito en Spotify México, tomando como</w:t>
      </w:r>
      <w:r>
        <w:rPr>
          <w:lang w:val="es-AR"/>
        </w:rPr>
        <w:t xml:space="preserve"> </w:t>
      </w:r>
      <m:oMath>
        <m:r>
          <m:t>t</m:t>
        </m:r>
        <m:r>
          <m:rPr>
            <m:sty m:val="p"/>
          </m:rPr>
          <m:t>=</m:t>
        </m:r>
        <m:r>
          <m:t>0</m:t>
        </m:r>
      </m:oMath>
      <w:r>
        <w:rPr>
          <w:lang w:val="es-AR"/>
        </w:rPr>
        <w:t xml:space="preserve"> </w:t>
      </w:r>
      <w:r>
        <w:rPr>
          <w:lang w:val="es-AR"/>
        </w:rPr>
        <w:t xml:space="preserve">la primera semana de cada tema en el chart: «Ella Baila Sola» de Eslabón Armado y Peso Pluma, desde el 23 de marzo de 2023 (52 semanas; Kworb, 2026b), y «Tití Me Preguntó» de Bad Bunny, desde el 12 de mayo de 2022 (52 semanas; Kworb, 2026c). Las Tablas 8 a 10 resumen los resultados.</w:t>
      </w:r>
    </w:p>
    <w:p>
      <w:pPr>
        <w:pStyle w:val="TableCaption"/>
      </w:pPr>
      <w:r>
        <w:rPr>
          <w:lang w:val="es-AR"/>
        </w:rPr>
        <w:t xml:space="preserve">Tabla 8. Datos y ajuste cúbico de las tres canciones.</w:t>
      </w:r>
    </w:p>
    <w:tbl>
      <w:tblPr>
        <w:tblStyle w:val="Table"/>
        <w:tblW w:type="dxa" w:w="8320"/>
        <w:tblLook w:firstRow="1" w:lastRow="0" w:firstColumn="0" w:lastColumn="0" w:noHBand="0" w:noVBand="0" w:val="0020"/>
        <w:tblCaption w:val="Tabla 8. Datos y ajuste cúbico de las tres canciones."/>
      </w:tblPr>
      <w:tblGrid>
        <w:gridCol w:w="2340"/>
        <w:gridCol w:w="1170"/>
        <w:gridCol w:w="1560"/>
        <w:gridCol w:w="910"/>
        <w:gridCol w:w="1040"/>
        <w:gridCol w:w="1300"/>
      </w:tblGrid>
      <w:tr>
        <w:trPr>
          <w:tblHeader w:val="on"/>
        </w:trPr>
        <w:tc>
          <w:tcPr>
            <w:tcW w:type="dxa" w:w="2340"/>
          </w:tcPr>
          <w:p>
            <w:pPr>
              <w:pStyle w:val="TableText"/>
              <w:jc w:val="left"/>
            </w:pPr>
            <w:r>
              <w:rPr>
                <w:lang w:val="es-AR"/>
              </w:rPr>
              <w:t xml:space="preserve">Canción</w:t>
            </w:r>
          </w:p>
        </w:tc>
        <w:tc>
          <w:tcPr>
            <w:tcW w:type="dxa" w:w="1170"/>
          </w:tcPr>
          <w:p>
            <w:pPr>
              <w:pStyle w:val="TableText"/>
              <w:jc w:val="center"/>
            </w:pPr>
            <w:r>
              <w:rPr>
                <w:lang w:val="es-AR"/>
              </w:rPr>
              <w:t xml:space="preserve">Semanas</w:t>
            </w:r>
          </w:p>
        </w:tc>
        <w:tc>
          <w:tcPr>
            <w:tcW w:type="dxa" w:w="1560"/>
          </w:tcPr>
          <w:p>
            <w:pPr>
              <w:pStyle w:val="TableText"/>
              <w:jc w:val="center"/>
            </w:pPr>
            <w:r>
              <w:rPr>
                <w:lang w:val="es-AR"/>
              </w:rPr>
              <w:t xml:space="preserve">Inicio (</w:t>
            </w:r>
            <m:oMath>
              <m:r>
                <m:t>t</m:t>
              </m:r>
              <m:r>
                <m:rPr>
                  <m:sty m:val="p"/>
                </m:rPr>
                <m:t>=</m:t>
              </m:r>
              <m:r>
                <m:t>0</m:t>
              </m:r>
            </m:oMath>
            <w:r>
              <w:rPr>
                <w:lang w:val="es-AR"/>
              </w:rPr>
              <w:t xml:space="preserve">)</w:t>
            </w:r>
          </w:p>
        </w:tc>
        <w:tc>
          <w:tcPr>
            <w:tcW w:type="dxa" w:w="910"/>
          </w:tcPr>
          <w:p>
            <w:pPr>
              <w:pStyle w:val="TableText"/>
              <w:jc w:val="center"/>
            </w:pPr>
            <w:r>
              <w:rPr>
                <w:lang w:val="es-AR"/>
              </w:rPr>
              <w:t xml:space="preserve">Total (M)</w:t>
            </w:r>
          </w:p>
        </w:tc>
        <w:tc>
          <w:tcPr>
            <w:tcW w:type="dxa" w:w="1040"/>
          </w:tcPr>
          <w:p>
            <w:pPr>
              <w:pStyle w:val="TableText"/>
              <w:jc w:val="center"/>
            </w:pPr>
            <m:oMath>
              <m:sSup>
                <m:e>
                  <m:r>
                    <m:t>r</m:t>
                  </m:r>
                </m:e>
                <m:sup>
                  <m:r>
                    <m:t>2</m:t>
                  </m:r>
                </m:sup>
              </m:sSup>
            </m:oMath>
            <w:r>
              <w:rPr>
                <w:lang w:val="es-AR"/>
              </w:rPr>
              <w:t xml:space="preserve">​</w:t>
            </w:r>
          </w:p>
        </w:tc>
        <w:tc>
          <w:tcPr>
            <w:tcW w:type="dxa" w:w="1300"/>
          </w:tcPr>
          <w:p>
            <w:pPr>
              <w:pStyle w:val="TableText"/>
              <w:jc w:val="center"/>
            </w:pPr>
            <m:oMath>
              <m:sSub>
                <m:e>
                  <m:r>
                    <m:t>S</m:t>
                  </m:r>
                </m:e>
                <m:sub>
                  <m:r>
                    <m:t>y</m:t>
                  </m:r>
                  <m:r>
                    <m:rPr>
                      <m:sty m:val="p"/>
                    </m:rPr>
                    <m:t>/</m:t>
                  </m:r>
                  <m:r>
                    <m:t>x</m:t>
                  </m:r>
                </m:sub>
              </m:sSub>
            </m:oMath>
            <w:r>
              <w:rPr>
                <w:lang w:val="es-AR"/>
              </w:rPr>
              <w:t xml:space="preserve"> </w:t>
            </w:r>
            <w:r>
              <w:rPr>
                <w:lang w:val="es-AR"/>
              </w:rPr>
              <w:t xml:space="preserve">(M)</w:t>
            </w:r>
          </w:p>
        </w:tc>
      </w:tr>
      <w:tr>
        <w:tc>
          <w:tcPr>
            <w:tcW w:type="dxa" w:w="2340"/>
          </w:tcPr>
          <w:p>
            <w:pPr>
              <w:pStyle w:val="TableText"/>
              <w:jc w:val="left"/>
            </w:pPr>
            <w:r>
              <w:rPr>
                <w:lang w:val="es-AR"/>
              </w:rPr>
              <w:t xml:space="preserve">Rosa Pastel</w:t>
            </w:r>
          </w:p>
        </w:tc>
        <w:tc>
          <w:tcPr>
            <w:tcW w:type="dxa" w:w="1170"/>
          </w:tcPr>
          <w:p>
            <w:pPr>
              <w:pStyle w:val="TableText"/>
              <w:jc w:val="center"/>
            </w:pPr>
            <w:r>
              <w:rPr>
                <w:lang w:val="es-AR"/>
              </w:rPr>
              <w:t xml:space="preserve">47</w:t>
            </w:r>
          </w:p>
        </w:tc>
        <w:tc>
          <w:tcPr>
            <w:tcW w:type="dxa" w:w="1560"/>
          </w:tcPr>
          <w:p>
            <w:pPr>
              <w:pStyle w:val="TableText"/>
              <w:jc w:val="center"/>
            </w:pPr>
            <w:r>
              <w:rPr>
                <w:lang w:val="es-AR"/>
              </w:rPr>
              <w:t xml:space="preserve">2023-01-26</w:t>
            </w:r>
          </w:p>
        </w:tc>
        <w:tc>
          <w:tcPr>
            <w:tcW w:type="dxa" w:w="910"/>
          </w:tcPr>
          <w:p>
            <w:pPr>
              <w:pStyle w:val="TableText"/>
              <w:jc w:val="center"/>
            </w:pPr>
            <w:r>
              <w:rPr>
                <w:lang w:val="es-AR"/>
              </w:rPr>
              <w:t xml:space="preserve">132,9</w:t>
            </w:r>
          </w:p>
        </w:tc>
        <w:tc>
          <w:tcPr>
            <w:tcW w:type="dxa" w:w="1040"/>
          </w:tcPr>
          <w:p>
            <w:pPr>
              <w:pStyle w:val="TableText"/>
              <w:jc w:val="center"/>
            </w:pPr>
            <w:r>
              <w:rPr>
                <w:lang w:val="es-AR"/>
              </w:rPr>
              <w:t xml:space="preserve">0,9995</w:t>
            </w:r>
          </w:p>
        </w:tc>
        <w:tc>
          <w:tcPr>
            <w:tcW w:type="dxa" w:w="1300"/>
          </w:tcPr>
          <w:p>
            <w:pPr>
              <w:pStyle w:val="TableText"/>
              <w:jc w:val="center"/>
            </w:pPr>
            <w:r>
              <w:rPr>
                <w:lang w:val="es-AR"/>
              </w:rPr>
              <w:t xml:space="preserve">0,927</w:t>
            </w:r>
          </w:p>
        </w:tc>
      </w:tr>
      <w:tr>
        <w:tc>
          <w:tcPr>
            <w:tcW w:type="dxa" w:w="2340"/>
          </w:tcPr>
          <w:p>
            <w:pPr>
              <w:pStyle w:val="TableText"/>
              <w:jc w:val="left"/>
            </w:pPr>
            <w:r>
              <w:rPr>
                <w:lang w:val="es-AR"/>
              </w:rPr>
              <w:t xml:space="preserve">Ella Baila Sola</w:t>
            </w:r>
          </w:p>
        </w:tc>
        <w:tc>
          <w:tcPr>
            <w:tcW w:type="dxa" w:w="1170"/>
          </w:tcPr>
          <w:p>
            <w:pPr>
              <w:pStyle w:val="TableText"/>
              <w:jc w:val="center"/>
            </w:pPr>
            <w:r>
              <w:rPr>
                <w:lang w:val="es-AR"/>
              </w:rPr>
              <w:t xml:space="preserve">52</w:t>
            </w:r>
          </w:p>
        </w:tc>
        <w:tc>
          <w:tcPr>
            <w:tcW w:type="dxa" w:w="1560"/>
          </w:tcPr>
          <w:p>
            <w:pPr>
              <w:pStyle w:val="TableText"/>
              <w:jc w:val="center"/>
            </w:pPr>
            <w:r>
              <w:rPr>
                <w:lang w:val="es-AR"/>
              </w:rPr>
              <w:t xml:space="preserve">2023-03-23</w:t>
            </w:r>
          </w:p>
        </w:tc>
        <w:tc>
          <w:tcPr>
            <w:tcW w:type="dxa" w:w="910"/>
          </w:tcPr>
          <w:p>
            <w:pPr>
              <w:pStyle w:val="TableText"/>
              <w:jc w:val="center"/>
            </w:pPr>
            <w:r>
              <w:rPr>
                <w:lang w:val="es-AR"/>
              </w:rPr>
              <w:t xml:space="preserve">409,6</w:t>
            </w:r>
          </w:p>
        </w:tc>
        <w:tc>
          <w:tcPr>
            <w:tcW w:type="dxa" w:w="1040"/>
          </w:tcPr>
          <w:p>
            <w:pPr>
              <w:pStyle w:val="TableText"/>
              <w:jc w:val="center"/>
            </w:pPr>
            <w:r>
              <w:rPr>
                <w:lang w:val="es-AR"/>
              </w:rPr>
              <w:t xml:space="preserve">0,9963</w:t>
            </w:r>
          </w:p>
        </w:tc>
        <w:tc>
          <w:tcPr>
            <w:tcW w:type="dxa" w:w="1300"/>
          </w:tcPr>
          <w:p>
            <w:pPr>
              <w:pStyle w:val="TableText"/>
              <w:jc w:val="center"/>
            </w:pPr>
            <w:r>
              <w:rPr>
                <w:lang w:val="es-AR"/>
              </w:rPr>
              <w:t xml:space="preserve">6,656</w:t>
            </w:r>
          </w:p>
        </w:tc>
      </w:tr>
      <w:tr>
        <w:tc>
          <w:tcPr>
            <w:tcW w:type="dxa" w:w="2340"/>
          </w:tcPr>
          <w:p>
            <w:pPr>
              <w:pStyle w:val="TableText"/>
              <w:jc w:val="left"/>
            </w:pPr>
            <w:r>
              <w:rPr>
                <w:lang w:val="es-AR"/>
              </w:rPr>
              <w:t xml:space="preserve">Tití Me Preguntó</w:t>
            </w:r>
          </w:p>
        </w:tc>
        <w:tc>
          <w:tcPr>
            <w:tcW w:type="dxa" w:w="1170"/>
          </w:tcPr>
          <w:p>
            <w:pPr>
              <w:pStyle w:val="TableText"/>
              <w:jc w:val="center"/>
            </w:pPr>
            <w:r>
              <w:rPr>
                <w:lang w:val="es-AR"/>
              </w:rPr>
              <w:t xml:space="preserve">52</w:t>
            </w:r>
          </w:p>
        </w:tc>
        <w:tc>
          <w:tcPr>
            <w:tcW w:type="dxa" w:w="1560"/>
          </w:tcPr>
          <w:p>
            <w:pPr>
              <w:pStyle w:val="TableText"/>
              <w:jc w:val="center"/>
            </w:pPr>
            <w:r>
              <w:rPr>
                <w:lang w:val="es-AR"/>
              </w:rPr>
              <w:t xml:space="preserve">2022-05-12</w:t>
            </w:r>
          </w:p>
        </w:tc>
        <w:tc>
          <w:tcPr>
            <w:tcW w:type="dxa" w:w="910"/>
          </w:tcPr>
          <w:p>
            <w:pPr>
              <w:pStyle w:val="TableText"/>
              <w:jc w:val="center"/>
            </w:pPr>
            <w:r>
              <w:rPr>
                <w:lang w:val="es-AR"/>
              </w:rPr>
              <w:t xml:space="preserve">298,3</w:t>
            </w:r>
          </w:p>
        </w:tc>
        <w:tc>
          <w:tcPr>
            <w:tcW w:type="dxa" w:w="1040"/>
          </w:tcPr>
          <w:p>
            <w:pPr>
              <w:pStyle w:val="TableText"/>
              <w:jc w:val="center"/>
            </w:pPr>
            <w:r>
              <w:rPr>
                <w:lang w:val="es-AR"/>
              </w:rPr>
              <w:t xml:space="preserve">0,9997</w:t>
            </w:r>
          </w:p>
        </w:tc>
        <w:tc>
          <w:tcPr>
            <w:tcW w:type="dxa" w:w="1300"/>
          </w:tcPr>
          <w:p>
            <w:pPr>
              <w:pStyle w:val="TableText"/>
              <w:jc w:val="center"/>
            </w:pPr>
            <w:r>
              <w:rPr>
                <w:lang w:val="es-AR"/>
              </w:rPr>
              <w:t xml:space="preserve">1,595</w:t>
            </w:r>
          </w:p>
        </w:tc>
      </w:tr>
    </w:tbl>
    <w:p/>
    <w:p>
      <w:pPr>
        <w:pStyle w:val="TableCaption"/>
      </w:pPr>
      <w:r>
        <w:rPr>
          <w:lang w:val="es-AR"/>
        </w:rPr>
        <w:t xml:space="preserve">Tabla 9. Pico de demanda según el modelo y según los datos.</w:t>
      </w:r>
    </w:p>
    <w:tbl>
      <w:tblPr>
        <w:tblStyle w:val="Table"/>
        <w:tblW w:type="dxa" w:w="8785"/>
        <w:tblLook w:firstRow="1" w:lastRow="0" w:firstColumn="0" w:lastColumn="0" w:noHBand="0" w:noVBand="0" w:val="0020"/>
        <w:tblCaption w:val="Tabla 9. Pico de demanda según el modelo y según los datos."/>
      </w:tblPr>
      <w:tblGrid>
        <w:gridCol w:w="2054"/>
        <w:gridCol w:w="1255"/>
        <w:gridCol w:w="1597"/>
        <w:gridCol w:w="2396"/>
        <w:gridCol w:w="1483"/>
      </w:tblGrid>
      <w:tr>
        <w:trPr>
          <w:tblHeader w:val="on"/>
        </w:trPr>
        <w:tc>
          <w:tcPr>
            <w:tcW w:type="dxa" w:w="2054"/>
          </w:tcPr>
          <w:p>
            <w:pPr>
              <w:pStyle w:val="TableText"/>
              <w:jc w:val="left"/>
            </w:pPr>
            <w:r>
              <w:rPr>
                <w:lang w:val="es-AR"/>
              </w:rPr>
              <w:t xml:space="preserve">Canción</w:t>
            </w:r>
          </w:p>
        </w:tc>
        <w:tc>
          <w:tcPr>
            <w:tcW w:type="dxa" w:w="1255"/>
          </w:tcPr>
          <w:p>
            <w:pPr>
              <w:pStyle w:val="TableText"/>
              <w:jc w:val="center"/>
            </w:pPr>
            <m:oMath>
              <m:sSub>
                <m:e>
                  <m:r>
                    <m:t>a</m:t>
                  </m:r>
                </m:e>
                <m:sub>
                  <m:r>
                    <m:t>3</m:t>
                  </m:r>
                </m:sub>
              </m:sSub>
            </m:oMath>
            <w:r>
              <w:rPr>
                <w:lang w:val="es-AR"/>
              </w:rPr>
              <w:t xml:space="preserve">​</w:t>
            </w:r>
          </w:p>
        </w:tc>
        <w:tc>
          <w:tcPr>
            <w:tcW w:type="dxa" w:w="1597"/>
          </w:tcPr>
          <w:p>
            <w:pPr>
              <w:pStyle w:val="TableText"/>
              <w:jc w:val="center"/>
            </w:pPr>
            <w:r>
              <w:rPr>
                <w:lang w:val="es-AR"/>
              </w:rPr>
              <w:t xml:space="preserve">Pico del modelo</w:t>
            </w:r>
          </w:p>
        </w:tc>
        <w:tc>
          <w:tcPr>
            <w:tcW w:type="dxa" w:w="2396"/>
          </w:tcPr>
          <w:p>
            <w:pPr>
              <w:pStyle w:val="TableText"/>
              <w:jc w:val="center"/>
            </w:pPr>
            <w:r>
              <w:rPr>
                <w:lang w:val="es-AR"/>
              </w:rPr>
              <w:t xml:space="preserve">Pico de los datos</w:t>
            </w:r>
          </w:p>
        </w:tc>
        <w:tc>
          <w:tcPr>
            <w:tcW w:type="dxa" w:w="1483"/>
          </w:tcPr>
          <w:p>
            <w:pPr>
              <w:pStyle w:val="TableText"/>
              <w:jc w:val="center"/>
            </w:pPr>
            <w:r>
              <w:rPr>
                <w:lang w:val="es-AR"/>
              </w:rPr>
              <w:t xml:space="preserve">Diagnóstico</w:t>
            </w:r>
          </w:p>
        </w:tc>
      </w:tr>
      <w:tr>
        <w:tc>
          <w:tcPr>
            <w:tcW w:type="dxa" w:w="2054"/>
          </w:tcPr>
          <w:p>
            <w:pPr>
              <w:pStyle w:val="TableText"/>
              <w:jc w:val="left"/>
            </w:pPr>
            <w:r>
              <w:rPr>
                <w:lang w:val="es-AR"/>
              </w:rPr>
              <w:t xml:space="preserve">Rosa Pastel</w:t>
            </w:r>
          </w:p>
        </w:tc>
        <w:tc>
          <w:tcPr>
            <w:tcW w:type="dxa" w:w="1255"/>
          </w:tcPr>
          <w:p>
            <w:pPr>
              <w:pStyle w:val="TableText"/>
              <w:jc w:val="center"/>
            </w:pPr>
            <w:r>
              <w:rPr>
                <w:lang w:val="es-AR"/>
              </w:rPr>
              <w:t xml:space="preserve">−0,000839</w:t>
            </w:r>
          </w:p>
        </w:tc>
        <w:tc>
          <w:tcPr>
            <w:tcW w:type="dxa" w:w="1597"/>
          </w:tcPr>
          <w:p>
            <w:pPr>
              <w:pStyle w:val="TableText"/>
              <w:jc w:val="center"/>
            </w:pPr>
            <w:r>
              <w:rPr>
                <w:lang w:val="es-AR"/>
              </w:rPr>
              <w:t xml:space="preserve">semana 30,59</w:t>
            </w:r>
          </w:p>
        </w:tc>
        <w:tc>
          <w:tcPr>
            <w:tcW w:type="dxa" w:w="2396"/>
          </w:tcPr>
          <w:p>
            <w:pPr>
              <w:pStyle w:val="TableText"/>
              <w:jc w:val="center"/>
            </w:pPr>
            <w:r>
              <w:rPr>
                <w:lang w:val="es-AR"/>
              </w:rPr>
              <w:t xml:space="preserve">semana 26 (4,171 M)</w:t>
            </w:r>
          </w:p>
        </w:tc>
        <w:tc>
          <w:tcPr>
            <w:tcW w:type="dxa" w:w="1483"/>
          </w:tcPr>
          <w:p>
            <w:pPr>
              <w:pStyle w:val="TableText"/>
              <w:jc w:val="center"/>
            </w:pPr>
            <w:r>
              <w:rPr>
                <w:lang w:val="es-AR"/>
              </w:rPr>
              <w:t xml:space="preserve">aplica</w:t>
            </w:r>
          </w:p>
        </w:tc>
      </w:tr>
      <w:tr>
        <w:tc>
          <w:tcPr>
            <w:tcW w:type="dxa" w:w="2054"/>
          </w:tcPr>
          <w:p>
            <w:pPr>
              <w:pStyle w:val="TableText"/>
              <w:jc w:val="left"/>
            </w:pPr>
            <w:r>
              <w:rPr>
                <w:lang w:val="es-AR"/>
              </w:rPr>
              <w:t xml:space="preserve">Ella Baila Sola</w:t>
            </w:r>
          </w:p>
        </w:tc>
        <w:tc>
          <w:tcPr>
            <w:tcW w:type="dxa" w:w="1255"/>
          </w:tcPr>
          <w:p>
            <w:pPr>
              <w:pStyle w:val="TableText"/>
              <w:jc w:val="center"/>
            </w:pPr>
            <w:r>
              <w:rPr>
                <w:lang w:val="es-AR"/>
              </w:rPr>
              <w:t xml:space="preserve">0,005926</w:t>
            </w:r>
          </w:p>
        </w:tc>
        <w:tc>
          <w:tcPr>
            <w:tcW w:type="dxa" w:w="1597"/>
          </w:tcPr>
          <w:p>
            <w:pPr>
              <w:pStyle w:val="TableText"/>
              <w:jc w:val="center"/>
            </w:pPr>
            <w:r>
              <w:rPr>
                <w:lang w:val="es-AR"/>
              </w:rPr>
              <w:t xml:space="preserve">no detecta</w:t>
            </w:r>
          </w:p>
        </w:tc>
        <w:tc>
          <w:tcPr>
            <w:tcW w:type="dxa" w:w="2396"/>
          </w:tcPr>
          <w:p>
            <w:pPr>
              <w:pStyle w:val="TableText"/>
              <w:jc w:val="center"/>
            </w:pPr>
            <w:r>
              <w:rPr>
                <w:lang w:val="es-AR"/>
              </w:rPr>
              <w:t xml:space="preserve">semana 5 (26,140 M)</w:t>
            </w:r>
          </w:p>
        </w:tc>
        <w:tc>
          <w:tcPr>
            <w:tcW w:type="dxa" w:w="1483"/>
          </w:tcPr>
          <w:p>
            <w:pPr>
              <w:pStyle w:val="TableText"/>
              <w:jc w:val="center"/>
            </w:pPr>
            <w:r>
              <w:rPr>
                <w:lang w:val="es-AR"/>
              </w:rPr>
              <w:t xml:space="preserve">no aplica</w:t>
            </w:r>
          </w:p>
        </w:tc>
      </w:tr>
      <w:tr>
        <w:tc>
          <w:tcPr>
            <w:tcW w:type="dxa" w:w="2054"/>
          </w:tcPr>
          <w:p>
            <w:pPr>
              <w:pStyle w:val="TableText"/>
              <w:jc w:val="left"/>
            </w:pPr>
            <w:r>
              <w:rPr>
                <w:lang w:val="es-AR"/>
              </w:rPr>
              <w:t xml:space="preserve">Tití Me Preguntó</w:t>
            </w:r>
          </w:p>
        </w:tc>
        <w:tc>
          <w:tcPr>
            <w:tcW w:type="dxa" w:w="1255"/>
          </w:tcPr>
          <w:p>
            <w:pPr>
              <w:pStyle w:val="TableText"/>
              <w:jc w:val="center"/>
            </w:pPr>
            <w:r>
              <w:rPr>
                <w:lang w:val="es-AR"/>
              </w:rPr>
              <w:t xml:space="preserve">0,000279</w:t>
            </w:r>
          </w:p>
        </w:tc>
        <w:tc>
          <w:tcPr>
            <w:tcW w:type="dxa" w:w="1597"/>
          </w:tcPr>
          <w:p>
            <w:pPr>
              <w:pStyle w:val="TableText"/>
              <w:jc w:val="center"/>
            </w:pPr>
            <w:r>
              <w:rPr>
                <w:lang w:val="es-AR"/>
              </w:rPr>
              <w:t xml:space="preserve">no detecta</w:t>
            </w:r>
          </w:p>
        </w:tc>
        <w:tc>
          <w:tcPr>
            <w:tcW w:type="dxa" w:w="2396"/>
          </w:tcPr>
          <w:p>
            <w:pPr>
              <w:pStyle w:val="TableText"/>
              <w:jc w:val="center"/>
            </w:pPr>
            <w:r>
              <w:rPr>
                <w:lang w:val="es-AR"/>
              </w:rPr>
              <w:t xml:space="preserve">semana 6 (9,860 M)</w:t>
            </w:r>
          </w:p>
        </w:tc>
        <w:tc>
          <w:tcPr>
            <w:tcW w:type="dxa" w:w="1483"/>
          </w:tcPr>
          <w:p>
            <w:pPr>
              <w:pStyle w:val="TableText"/>
              <w:jc w:val="center"/>
            </w:pPr>
            <w:r>
              <w:rPr>
                <w:lang w:val="es-AR"/>
              </w:rPr>
              <w:t xml:space="preserve">no aplica</w:t>
            </w:r>
          </w:p>
        </w:tc>
      </w:tr>
    </w:tbl>
    <w:p/>
    <w:p>
      <w:pPr>
        <w:pStyle w:val="TableCaption"/>
      </w:pPr>
      <w:r>
        <w:rPr>
          <w:lang w:val="es-AR"/>
        </w:rPr>
        <w:t xml:space="preserve">Tabla 10. Instante en que se superan los 100 millones de reproducciones (semanas desde</w:t>
      </w:r>
      <w:r>
        <w:rPr>
          <w:lang w:val="es-AR"/>
        </w:rPr>
        <w:t xml:space="preserve"> </w:t>
      </w:r>
      <m:oMath>
        <m:r>
          <m:t>t</m:t>
        </m:r>
        <m:r>
          <m:rPr>
            <m:sty m:val="p"/>
          </m:rPr>
          <m:t>=</m:t>
        </m:r>
        <m:r>
          <m:t>0</m:t>
        </m:r>
      </m:oMath>
      <w:r>
        <w:rPr>
          <w:lang w:val="es-AR"/>
        </w:rPr>
        <w:t xml:space="preserve"> </w:t>
      </w:r>
      <w:r>
        <w:rPr>
          <w:lang w:val="es-AR"/>
        </w:rPr>
        <w:t xml:space="preserve">de cada canción).</w:t>
      </w:r>
    </w:p>
    <w:tbl>
      <w:tblPr>
        <w:tblStyle w:val="Table"/>
        <w:tblW w:type="dxa" w:w="8783"/>
        <w:tblLook w:firstRow="1" w:lastRow="0" w:firstColumn="0" w:lastColumn="0" w:noHBand="0" w:noVBand="0" w:val="0020"/>
        <w:tblCaption w:val="Tabla 10. Instante en que se superan los 100 millones de reproducciones (semanas desde t = 0 de cada canción)."/>
      </w:tblPr>
      <w:tblGrid>
        <w:gridCol w:w="1683"/>
        <w:gridCol w:w="1028"/>
        <w:gridCol w:w="1267"/>
        <w:gridCol w:w="1028"/>
        <w:gridCol w:w="1402"/>
        <w:gridCol w:w="748"/>
        <w:gridCol w:w="1627"/>
      </w:tblGrid>
      <w:tr>
        <w:trPr>
          <w:tblHeader w:val="on"/>
        </w:trPr>
        <w:tc>
          <w:tcPr>
            <w:tcW w:type="dxa" w:w="1683"/>
          </w:tcPr>
          <w:p>
            <w:pPr>
              <w:pStyle w:val="TableText"/>
              <w:jc w:val="left"/>
            </w:pPr>
            <w:r>
              <w:rPr>
                <w:lang w:val="es-AR"/>
              </w:rPr>
              <w:t xml:space="preserve">Canción</w:t>
            </w:r>
          </w:p>
        </w:tc>
        <w:tc>
          <w:tcPr>
            <w:tcW w:type="dxa" w:w="1028"/>
          </w:tcPr>
          <w:p>
            <w:pPr>
              <w:pStyle w:val="TableText"/>
              <w:jc w:val="center"/>
            </w:pPr>
            <w:r>
              <w:rPr>
                <w:lang w:val="es-AR"/>
              </w:rPr>
              <w:t xml:space="preserve">Regresión (NR)</w:t>
            </w:r>
          </w:p>
        </w:tc>
        <w:tc>
          <w:tcPr>
            <w:tcW w:type="dxa" w:w="1267"/>
          </w:tcPr>
          <w:p>
            <w:pPr>
              <w:pStyle w:val="TableText"/>
              <w:jc w:val="center"/>
            </w:pPr>
            <w:r>
              <w:rPr>
                <w:lang w:val="es-AR"/>
              </w:rPr>
              <w:t xml:space="preserve">Iteraciones Bis. / NR</w:t>
            </w:r>
          </w:p>
        </w:tc>
        <w:tc>
          <w:tcPr>
            <w:tcW w:type="dxa" w:w="1028"/>
          </w:tcPr>
          <w:p>
            <w:pPr>
              <w:pStyle w:val="TableText"/>
              <w:jc w:val="center"/>
            </w:pPr>
            <w:r>
              <w:rPr>
                <w:lang w:val="es-AR"/>
              </w:rPr>
              <w:t xml:space="preserve">Trazadora (NR)</w:t>
            </w:r>
          </w:p>
        </w:tc>
        <w:tc>
          <w:tcPr>
            <w:tcW w:type="dxa" w:w="1402"/>
          </w:tcPr>
          <w:p>
            <w:pPr>
              <w:pStyle w:val="TableText"/>
              <w:jc w:val="center"/>
            </w:pPr>
            <w:r>
              <w:rPr>
                <w:lang w:val="es-AR"/>
              </w:rPr>
              <w:t xml:space="preserve">Interpolación lineal</w:t>
            </w:r>
          </w:p>
        </w:tc>
        <w:tc>
          <w:tcPr>
            <w:tcW w:type="dxa" w:w="748"/>
          </w:tcPr>
          <w:p>
            <w:pPr>
              <w:pStyle w:val="TableText"/>
              <w:jc w:val="center"/>
            </w:pPr>
            <m:oMath>
              <m:r>
                <m:rPr>
                  <m:sty m:val="p"/>
                </m:rPr>
                <m:t>Δ</m:t>
              </m:r>
              <m:r>
                <m:t>t</m:t>
              </m:r>
            </m:oMath>
            <w:r>
              <w:rPr>
                <w:lang w:val="es-AR"/>
              </w:rPr>
              <w:t xml:space="preserve"> </w:t>
            </w:r>
            <w:r>
              <w:rPr>
                <w:lang w:val="es-AR"/>
              </w:rPr>
              <w:t xml:space="preserve">(días)</w:t>
            </w:r>
          </w:p>
        </w:tc>
        <w:tc>
          <w:tcPr>
            <w:tcW w:type="dxa" w:w="1627"/>
          </w:tcPr>
          <w:p>
            <w:pPr>
              <w:pStyle w:val="TableText"/>
              <w:jc w:val="center"/>
            </w:pPr>
            <w:r>
              <w:rPr>
                <w:lang w:val="es-AR"/>
              </w:rPr>
              <w:t xml:space="preserve">Regresión − trazadora (días)</w:t>
            </w:r>
          </w:p>
        </w:tc>
      </w:tr>
      <w:tr>
        <w:tc>
          <w:tcPr>
            <w:tcW w:type="dxa" w:w="1683"/>
          </w:tcPr>
          <w:p>
            <w:pPr>
              <w:pStyle w:val="TableText"/>
              <w:jc w:val="left"/>
            </w:pPr>
            <w:r>
              <w:rPr>
                <w:lang w:val="es-AR"/>
              </w:rPr>
              <w:t xml:space="preserve">Rosa Pastel</w:t>
            </w:r>
          </w:p>
        </w:tc>
        <w:tc>
          <w:tcPr>
            <w:tcW w:type="dxa" w:w="1028"/>
          </w:tcPr>
          <w:p>
            <w:pPr>
              <w:pStyle w:val="TableText"/>
              <w:jc w:val="center"/>
            </w:pPr>
            <w:r>
              <w:rPr>
                <w:lang w:val="es-AR"/>
              </w:rPr>
              <w:t xml:space="preserve">35,5201</w:t>
            </w:r>
          </w:p>
        </w:tc>
        <w:tc>
          <w:tcPr>
            <w:tcW w:type="dxa" w:w="1267"/>
          </w:tcPr>
          <w:p>
            <w:pPr>
              <w:pStyle w:val="TableText"/>
              <w:jc w:val="center"/>
            </w:pPr>
            <w:r>
              <w:rPr>
                <w:lang w:val="es-AR"/>
              </w:rPr>
              <w:t xml:space="preserve">15 / 3</w:t>
            </w:r>
          </w:p>
        </w:tc>
        <w:tc>
          <w:tcPr>
            <w:tcW w:type="dxa" w:w="1028"/>
          </w:tcPr>
          <w:p>
            <w:pPr>
              <w:pStyle w:val="TableText"/>
              <w:jc w:val="center"/>
            </w:pPr>
            <w:r>
              <w:rPr>
                <w:lang w:val="es-AR"/>
              </w:rPr>
              <w:t xml:space="preserve">35,1244</w:t>
            </w:r>
          </w:p>
        </w:tc>
        <w:tc>
          <w:tcPr>
            <w:tcW w:type="dxa" w:w="1402"/>
          </w:tcPr>
          <w:p>
            <w:pPr>
              <w:pStyle w:val="TableText"/>
              <w:jc w:val="center"/>
            </w:pPr>
            <w:r>
              <w:rPr>
                <w:lang w:val="es-AR"/>
              </w:rPr>
              <w:t xml:space="preserve">35,1269</w:t>
            </w:r>
          </w:p>
        </w:tc>
        <w:tc>
          <w:tcPr>
            <w:tcW w:type="dxa" w:w="748"/>
          </w:tcPr>
          <w:p>
            <w:pPr>
              <w:pStyle w:val="TableText"/>
              <w:jc w:val="center"/>
            </w:pPr>
            <w:r>
              <w:rPr>
                <w:lang w:val="es-AR"/>
              </w:rPr>
              <w:t xml:space="preserve">±1,92</w:t>
            </w:r>
          </w:p>
        </w:tc>
        <w:tc>
          <w:tcPr>
            <w:tcW w:type="dxa" w:w="1627"/>
          </w:tcPr>
          <w:p>
            <w:pPr>
              <w:pStyle w:val="TableText"/>
              <w:jc w:val="center"/>
            </w:pPr>
            <w:r>
              <w:rPr>
                <w:lang w:val="es-AR"/>
              </w:rPr>
              <w:t xml:space="preserve">2,77</w:t>
            </w:r>
          </w:p>
        </w:tc>
      </w:tr>
      <w:tr>
        <w:tc>
          <w:tcPr>
            <w:tcW w:type="dxa" w:w="1683"/>
          </w:tcPr>
          <w:p>
            <w:pPr>
              <w:pStyle w:val="TableText"/>
              <w:jc w:val="left"/>
            </w:pPr>
            <w:r>
              <w:rPr>
                <w:lang w:val="es-AR"/>
              </w:rPr>
              <w:t xml:space="preserve">Ella Baila Sola</w:t>
            </w:r>
          </w:p>
        </w:tc>
        <w:tc>
          <w:tcPr>
            <w:tcW w:type="dxa" w:w="1028"/>
          </w:tcPr>
          <w:p>
            <w:pPr>
              <w:pStyle w:val="TableText"/>
              <w:jc w:val="center"/>
            </w:pPr>
            <w:r>
              <w:rPr>
                <w:lang w:val="es-AR"/>
              </w:rPr>
              <w:t xml:space="preserve">3,5530</w:t>
            </w:r>
          </w:p>
        </w:tc>
        <w:tc>
          <w:tcPr>
            <w:tcW w:type="dxa" w:w="1267"/>
          </w:tcPr>
          <w:p>
            <w:pPr>
              <w:pStyle w:val="TableText"/>
              <w:jc w:val="center"/>
            </w:pPr>
            <w:r>
              <w:rPr>
                <w:lang w:val="es-AR"/>
              </w:rPr>
              <w:t xml:space="preserve">19 / 3</w:t>
            </w:r>
          </w:p>
        </w:tc>
        <w:tc>
          <w:tcPr>
            <w:tcW w:type="dxa" w:w="1028"/>
          </w:tcPr>
          <w:p>
            <w:pPr>
              <w:pStyle w:val="TableText"/>
              <w:jc w:val="center"/>
            </w:pPr>
            <w:r>
              <w:rPr>
                <w:lang w:val="es-AR"/>
              </w:rPr>
              <w:t xml:space="preserve">3,8736</w:t>
            </w:r>
          </w:p>
        </w:tc>
        <w:tc>
          <w:tcPr>
            <w:tcW w:type="dxa" w:w="1402"/>
          </w:tcPr>
          <w:p>
            <w:pPr>
              <w:pStyle w:val="TableText"/>
              <w:jc w:val="center"/>
            </w:pPr>
            <w:r>
              <w:rPr>
                <w:lang w:val="es-AR"/>
              </w:rPr>
              <w:t xml:space="preserve">3,8644</w:t>
            </w:r>
          </w:p>
        </w:tc>
        <w:tc>
          <w:tcPr>
            <w:tcW w:type="dxa" w:w="748"/>
          </w:tcPr>
          <w:p>
            <w:pPr>
              <w:pStyle w:val="TableText"/>
              <w:jc w:val="center"/>
            </w:pPr>
            <w:r>
              <w:rPr>
                <w:lang w:val="es-AR"/>
              </w:rPr>
              <w:t xml:space="preserve">±2,27</w:t>
            </w:r>
          </w:p>
        </w:tc>
        <w:tc>
          <w:tcPr>
            <w:tcW w:type="dxa" w:w="1627"/>
          </w:tcPr>
          <w:p>
            <w:pPr>
              <w:pStyle w:val="TableText"/>
              <w:jc w:val="center"/>
            </w:pPr>
            <w:r>
              <w:rPr>
                <w:lang w:val="es-AR"/>
              </w:rPr>
              <w:t xml:space="preserve">−2,24</w:t>
            </w:r>
          </w:p>
        </w:tc>
      </w:tr>
      <w:tr>
        <w:tc>
          <w:tcPr>
            <w:tcW w:type="dxa" w:w="1683"/>
          </w:tcPr>
          <w:p>
            <w:pPr>
              <w:pStyle w:val="TableText"/>
              <w:jc w:val="left"/>
            </w:pPr>
            <w:r>
              <w:rPr>
                <w:lang w:val="es-AR"/>
              </w:rPr>
              <w:t xml:space="preserve">Tití Me Preguntó</w:t>
            </w:r>
          </w:p>
        </w:tc>
        <w:tc>
          <w:tcPr>
            <w:tcW w:type="dxa" w:w="1028"/>
          </w:tcPr>
          <w:p>
            <w:pPr>
              <w:pStyle w:val="TableText"/>
              <w:jc w:val="center"/>
            </w:pPr>
            <w:r>
              <w:rPr>
                <w:lang w:val="es-AR"/>
              </w:rPr>
              <w:t xml:space="preserve">9,8661</w:t>
            </w:r>
          </w:p>
        </w:tc>
        <w:tc>
          <w:tcPr>
            <w:tcW w:type="dxa" w:w="1267"/>
          </w:tcPr>
          <w:p>
            <w:pPr>
              <w:pStyle w:val="TableText"/>
              <w:jc w:val="center"/>
            </w:pPr>
            <w:r>
              <w:rPr>
                <w:lang w:val="es-AR"/>
              </w:rPr>
              <w:t xml:space="preserve">17 / 3</w:t>
            </w:r>
          </w:p>
        </w:tc>
        <w:tc>
          <w:tcPr>
            <w:tcW w:type="dxa" w:w="1028"/>
          </w:tcPr>
          <w:p>
            <w:pPr>
              <w:pStyle w:val="TableText"/>
              <w:jc w:val="center"/>
            </w:pPr>
            <w:r>
              <w:rPr>
                <w:lang w:val="es-AR"/>
              </w:rPr>
              <w:t xml:space="preserve">10,0395</w:t>
            </w:r>
          </w:p>
        </w:tc>
        <w:tc>
          <w:tcPr>
            <w:tcW w:type="dxa" w:w="1402"/>
          </w:tcPr>
          <w:p>
            <w:pPr>
              <w:pStyle w:val="TableText"/>
              <w:jc w:val="center"/>
            </w:pPr>
            <w:r>
              <w:rPr>
                <w:lang w:val="es-AR"/>
              </w:rPr>
              <w:t xml:space="preserve">10,0400</w:t>
            </w:r>
          </w:p>
        </w:tc>
        <w:tc>
          <w:tcPr>
            <w:tcW w:type="dxa" w:w="748"/>
          </w:tcPr>
          <w:p>
            <w:pPr>
              <w:pStyle w:val="TableText"/>
              <w:jc w:val="center"/>
            </w:pPr>
            <w:r>
              <w:rPr>
                <w:lang w:val="es-AR"/>
              </w:rPr>
              <w:t xml:space="preserve">±1,29</w:t>
            </w:r>
          </w:p>
        </w:tc>
        <w:tc>
          <w:tcPr>
            <w:tcW w:type="dxa" w:w="1627"/>
          </w:tcPr>
          <w:p>
            <w:pPr>
              <w:pStyle w:val="TableText"/>
              <w:jc w:val="center"/>
            </w:pPr>
            <w:r>
              <w:rPr>
                <w:lang w:val="es-AR"/>
              </w:rPr>
              <w:t xml:space="preserve">−1,21</w:t>
            </w:r>
          </w:p>
        </w:tc>
      </w:tr>
    </w:tbl>
    <w:p>
      <w:pPr>
        <w:pStyle w:val="BodyText"/>
        <w:spacing w:before="240"/>
      </w:pPr>
      <w:r>
        <w:rPr>
          <w:lang w:val="es-AR"/>
        </w:rPr>
        <w:t xml:space="preserve">Se observa que:</w:t>
      </w:r>
    </w:p>
    <w:p>
      <w:pPr>
        <w:pStyle w:val="Compact"/>
        <w:numPr>
          <w:ilvl w:val="0"/>
          <w:numId w:val="1008"/>
        </w:numPr>
      </w:pPr>
      <w:r>
        <w:rPr>
          <w:b/>
          <w:bCs/>
          <w:lang w:val="es-AR"/>
        </w:rPr>
        <w:t xml:space="preserve">El ajuste es bueno en los tres casos</w:t>
      </w:r>
      <w:r>
        <w:rPr>
          <w:lang w:val="es-AR"/>
        </w:rPr>
        <w:t xml:space="preserve"> </w:t>
      </w:r>
      <w:r>
        <w:rPr>
          <w:lang w:val="es-AR"/>
        </w:rPr>
        <w:t xml:space="preserve">(</w:t>
      </w:r>
      <m:oMath>
        <m:sSup>
          <m:e>
            <m:r>
              <m:t>r</m:t>
            </m:r>
          </m:e>
          <m:sup>
            <m:r>
              <m:t>2</m:t>
            </m:r>
          </m:sup>
        </m:sSup>
        <m:r>
          <m:rPr>
            <m:sty m:val="p"/>
          </m:rPr>
          <m:t>&gt;</m:t>
        </m:r>
        <m:r>
          <m:t>0</m:t>
        </m:r>
        <m:r>
          <m:rPr>
            <m:sty m:val="p"/>
          </m:rPr>
          <m:t>,</m:t>
        </m:r>
        <m:r>
          <m:t>99</m:t>
        </m:r>
      </m:oMath>
      <w:r>
        <w:rPr>
          <w:lang w:val="es-AR"/>
        </w:rPr>
        <w:t xml:space="preserve">), y la búsqueda de raíces funciona igual: Newton-Raphson converge en 3 iteraciones y la Bisección en 15 a 19. En los estrenos, la regresión se aparta de la trazadora en una magnitud comparable a su incertidumbre</w:t>
      </w:r>
      <w:r>
        <w:rPr>
          <w:lang w:val="es-AR"/>
        </w:rPr>
        <w:t xml:space="preserve"> </w:t>
      </w:r>
      <m:oMath>
        <m:r>
          <m:rPr>
            <m:sty m:val="p"/>
          </m:rPr>
          <m:t>Δ</m:t>
        </m:r>
        <m:r>
          <m:t>t</m:t>
        </m:r>
      </m:oMath>
      <w:r>
        <w:rPr>
          <w:lang w:val="es-AR"/>
        </w:rPr>
        <w:t xml:space="preserve">, mientras que en «Rosa Pastel» la supera.</w:t>
      </w:r>
    </w:p>
    <w:p>
      <w:pPr>
        <w:pStyle w:val="Compact"/>
        <w:numPr>
          <w:ilvl w:val="0"/>
          <w:numId w:val="1008"/>
        </w:numPr>
      </w:pPr>
      <w:r>
        <w:rPr>
          <w:b/>
          <w:bCs/>
          <w:lang w:val="es-AR"/>
        </w:rPr>
        <w:t xml:space="preserve">El pico solo se detecta en «Rosa Pastel».</w:t>
      </w:r>
      <w:r>
        <w:rPr>
          <w:lang w:val="es-AR"/>
        </w:rPr>
        <w:t xml:space="preserve"> </w:t>
      </w:r>
      <w:r>
        <w:rPr>
          <w:lang w:val="es-AR"/>
        </w:rPr>
        <w:t xml:space="preserve">En los estrenos, las reproducciones semanales alcanzan su máximo en las primeras semanas (semana 5 con 26,140 M y semana 6 con 9,860 M, respectivamente) y luego decaen durante meses. La cúbica ajusta ese largo decaimiento con</w:t>
      </w:r>
      <w:r>
        <w:rPr>
          <w:lang w:val="es-AR"/>
        </w:rPr>
        <w:t xml:space="preserve"> </w:t>
      </w:r>
      <m:oMath>
        <m:sSub>
          <m:e>
            <m:r>
              <m:t>a</m:t>
            </m:r>
          </m:e>
          <m:sub>
            <m:r>
              <m:t>3</m:t>
            </m:r>
          </m:sub>
        </m:sSub>
        <m:r>
          <m:rPr>
            <m:sty m:val="p"/>
          </m:rPr>
          <m:t>&gt;</m:t>
        </m:r>
        <m:r>
          <m:t>0</m:t>
        </m:r>
      </m:oMath>
      <w:r>
        <w:rPr>
          <w:lang w:val="es-AR"/>
        </w:rPr>
        <w:t xml:space="preserve"> </w:t>
      </w:r>
      <w:r>
        <w:rPr>
          <w:lang w:val="es-AR"/>
        </w:rPr>
        <w:t xml:space="preserve">(</w:t>
      </w:r>
      <m:oMath>
        <m:sSub>
          <m:e>
            <m:r>
              <m:t>a</m:t>
            </m:r>
          </m:e>
          <m:sub>
            <m:r>
              <m:t>3</m:t>
            </m:r>
          </m:sub>
        </m:sSub>
        <m:r>
          <m:rPr>
            <m:sty m:val="p"/>
          </m:rPr>
          <m:t>=</m:t>
        </m:r>
        <m:r>
          <m:t>0</m:t>
        </m:r>
        <m:r>
          <m:rPr>
            <m:sty m:val="p"/>
          </m:rPr>
          <m:t>,</m:t>
        </m:r>
        <m:r>
          <m:t>005926</m:t>
        </m:r>
      </m:oMath>
      <w:r>
        <w:rPr>
          <w:lang w:val="es-AR"/>
        </w:rPr>
        <w:t xml:space="preserve"> </w:t>
      </w:r>
      <w:r>
        <w:rPr>
          <w:lang w:val="es-AR"/>
        </w:rPr>
        <w:t xml:space="preserve">y</w:t>
      </w:r>
      <w:r>
        <w:rPr>
          <w:lang w:val="es-AR"/>
        </w:rPr>
        <w:t xml:space="preserve"> </w:t>
      </w:r>
      <m:oMath>
        <m:sSub>
          <m:e>
            <m:r>
              <m:t>a</m:t>
            </m:r>
          </m:e>
          <m:sub>
            <m:r>
              <m:t>3</m:t>
            </m:r>
          </m:sub>
        </m:sSub>
        <m:r>
          <m:rPr>
            <m:sty m:val="p"/>
          </m:rPr>
          <m:t>=</m:t>
        </m:r>
        <m:r>
          <m:t>0</m:t>
        </m:r>
        <m:r>
          <m:rPr>
            <m:sty m:val="p"/>
          </m:rPr>
          <m:t>,</m:t>
        </m:r>
        <m:r>
          <m:t>000279</m:t>
        </m:r>
      </m:oMath>
      <w:r>
        <w:rPr>
          <w:lang w:val="es-AR"/>
        </w:rPr>
        <w:t xml:space="preserve">), por lo que su derivada</w:t>
      </w:r>
      <w:r>
        <w:rPr>
          <w:lang w:val="es-AR"/>
        </w:rPr>
        <w:t xml:space="preserve"> </w:t>
      </w:r>
      <m:oMath>
        <m:sSup>
          <m:e>
            <m:acc>
              <m:accPr>
                <m:chr m:val="̂"/>
              </m:accPr>
              <m:e>
                <m:r>
                  <m:t>S</m:t>
                </m:r>
              </m:e>
            </m:acc>
          </m:e>
          <m:sup>
            <m:r>
              <m:rPr>
                <m:sty m:val="p"/>
              </m:rPr>
              <m:t>′</m:t>
            </m:r>
          </m:sup>
        </m:sSup>
        <m:r>
          <m:rPr>
            <m:sty m:val="p"/>
          </m:rPr>
          <m:t>(</m:t>
        </m:r>
        <m:r>
          <m:t>t</m:t>
        </m:r>
        <m:r>
          <m:rPr>
            <m:sty m:val="p"/>
          </m:rPr>
          <m:t>)</m:t>
        </m:r>
      </m:oMath>
      <w:r>
        <w:rPr>
          <w:lang w:val="es-AR"/>
        </w:rPr>
        <w:t xml:space="preserve"> </w:t>
      </w:r>
      <w:r>
        <w:rPr>
          <w:lang w:val="es-AR"/>
        </w:rPr>
        <w:t xml:space="preserve">es una parábola con concavidad hacia arriba: el punto de inflexión es un</w:t>
      </w:r>
      <w:r>
        <w:rPr>
          <w:lang w:val="es-AR"/>
        </w:rPr>
        <w:t xml:space="preserve"> </w:t>
      </w:r>
      <w:r>
        <w:rPr>
          <w:b/>
          <w:bCs/>
          <w:lang w:val="es-AR"/>
        </w:rPr>
        <w:t xml:space="preserve">mínimo</w:t>
      </w:r>
      <w:r>
        <w:rPr>
          <w:lang w:val="es-AR"/>
        </w:rPr>
        <w:t xml:space="preserve"> </w:t>
      </w:r>
      <w:r>
        <w:rPr>
          <w:lang w:val="es-AR"/>
        </w:rPr>
        <w:t xml:space="preserve">de la velocidad de crecimiento, no un máximo. El programa detecta esta situación verificando el signo de</w:t>
      </w:r>
      <w:r>
        <w:rPr>
          <w:lang w:val="es-AR"/>
        </w:rPr>
        <w:t xml:space="preserve"> </w:t>
      </w:r>
      <m:oMath>
        <m:sSub>
          <m:e>
            <m:r>
              <m:t>a</m:t>
            </m:r>
          </m:e>
          <m:sub>
            <m:r>
              <m:t>3</m:t>
            </m:r>
          </m:sub>
        </m:sSub>
      </m:oMath>
      <w:r>
        <w:rPr>
          <w:lang w:val="es-AR"/>
        </w:rPr>
        <w:t xml:space="preserve"> </w:t>
      </w:r>
      <w:r>
        <w:rPr>
          <w:lang w:val="es-AR"/>
        </w:rPr>
        <w:t xml:space="preserve">y que la inflexión caiga dentro del período, e informa que el modelo no es aplicable para ubicar el pico.</w:t>
      </w:r>
    </w:p>
    <w:p>
      <w:pPr>
        <w:pStyle w:val="FirstParagraph"/>
      </w:pPr>
      <w:r>
        <w:rPr>
          <w:lang w:val="es-AR"/>
        </w:rPr>
        <w:t xml:space="preserve">En consecuencia, la regresión cúbica es adecuada para describir fenómenos de resurgimiento gradual, con un crecimiento y una estabilización suaves, pero no para estrenos cuyo máximo se produce al comienzo de la serie. Para estos últimos, el pico debe tomarse directamente de los datos o recurrir a otro tipo de modelo. La Figura 4 compara las tres series.</w:t>
      </w:r>
    </w:p>
    <w:p>
      <w:pPr>
        <w:pStyle w:val="CaptionedFigure"/>
      </w:pPr>
      <w:r>
        <w:drawing>
          <wp:inline>
            <wp:extent cx="5334000" cy="6400799"/>
            <wp:effectExtent b="0" l="0" r="0" t="0"/>
            <wp:docPr descr="Figura 4. Reproducciones semanales y derivada del modelo cúbico para las tres canciones analizadas." title="" id="47" name="Picture"/>
            <a:graphic>
              <a:graphicData uri="http://schemas.openxmlformats.org/drawingml/2006/picture">
                <pic:pic>
                  <pic:nvPicPr>
                    <pic:cNvPr descr="img/grafico_4_comparacion_canciones.png" id="48" name="Picture"/>
                    <pic:cNvPicPr>
                      <a:picLocks noChangeArrowheads="1" noChangeAspect="1"/>
                    </pic:cNvPicPr>
                  </pic:nvPicPr>
                  <pic:blipFill>
                    <a:blip r:embed="rId46"/>
                    <a:stretch>
                      <a:fillRect/>
                    </a:stretch>
                  </pic:blipFill>
                  <pic:spPr bwMode="auto">
                    <a:xfrm>
                      <a:off x="0" y="0"/>
                      <a:ext cx="5334000" cy="6400799"/>
                    </a:xfrm>
                    <a:prstGeom prst="rect">
                      <a:avLst/>
                    </a:prstGeom>
                    <a:noFill/>
                    <a:ln w="9525">
                      <a:noFill/>
                      <a:headEnd/>
                      <a:tailEnd/>
                    </a:ln>
                  </pic:spPr>
                </pic:pic>
              </a:graphicData>
            </a:graphic>
          </wp:inline>
        </w:drawing>
      </w:r>
    </w:p>
    <w:p>
      <w:pPr>
        <w:pStyle w:val="ImageCaption"/>
      </w:pPr>
      <w:r>
        <w:rPr>
          <w:lang w:val="es-AR"/>
        </w:rPr>
        <w:t xml:space="preserve">Figura 4. Reproducciones semanales y derivada del modelo cúbico para las tres canciones analizadas.</w:t>
      </w:r>
    </w:p>
    <w:bookmarkEnd w:id="49"/>
    <w:bookmarkStart w:id="57" w:name="Xb4aeaf5738463767e76a730099be0da113d0287"/>
    <w:p>
      <w:pPr>
        <w:pStyle w:val="Heading2"/>
      </w:pPr>
      <w:r>
        <w:rPr>
          <w:lang w:val="es-AR"/>
        </w:rPr>
        <w:t xml:space="preserve">3.6. Aplicación de ingeniería: dimensionamiento de la demanda</w:t>
      </w:r>
    </w:p>
    <w:bookmarkStart w:id="50" w:name="planteo"/>
    <w:p>
      <w:pPr>
        <w:pStyle w:val="Heading3"/>
      </w:pPr>
      <w:r>
        <w:rPr>
          <w:lang w:val="es-AR"/>
        </w:rPr>
        <w:t xml:space="preserve">3.6.1. Planteo</w:t>
      </w:r>
    </w:p>
    <w:p>
      <w:pPr>
        <w:pStyle w:val="FirstParagraph"/>
      </w:pPr>
      <w:r>
        <w:rPr>
          <w:lang w:val="es-AR"/>
        </w:rPr>
        <w:t xml:space="preserve">Para dimensionar la infraestructura que atiende la demanda de una canción interesan dos magnitudes distintas, y cada una se obtiene de un resultado diferente del modelo:</w:t>
      </w:r>
    </w:p>
    <w:p>
      <w:pPr>
        <w:pStyle w:val="Compact"/>
        <w:numPr>
          <w:ilvl w:val="0"/>
          <w:numId w:val="1009"/>
        </w:numPr>
      </w:pPr>
      <w:r>
        <w:rPr>
          <w:lang w:val="es-AR"/>
        </w:rPr>
        <w:t xml:space="preserve">La</w:t>
      </w:r>
      <w:r>
        <w:rPr>
          <w:lang w:val="es-AR"/>
        </w:rPr>
        <w:t xml:space="preserve"> </w:t>
      </w:r>
      <w:r>
        <w:rPr>
          <w:b/>
          <w:bCs/>
          <w:lang w:val="es-AR"/>
        </w:rPr>
        <w:t xml:space="preserve">capacidad</w:t>
      </w:r>
      <w:r>
        <w:rPr>
          <w:lang w:val="es-AR"/>
        </w:rPr>
        <w:t xml:space="preserve">, es decir, el ancho de banda necesario, depende de la</w:t>
      </w:r>
      <w:r>
        <w:rPr>
          <w:lang w:val="es-AR"/>
        </w:rPr>
        <w:t xml:space="preserve"> </w:t>
      </w:r>
      <w:r>
        <w:rPr>
          <w:b/>
          <w:bCs/>
          <w:lang w:val="es-AR"/>
        </w:rPr>
        <w:t xml:space="preserve">tasa</w:t>
      </w:r>
      <w:r>
        <w:rPr>
          <w:lang w:val="es-AR"/>
        </w:rPr>
        <w:t xml:space="preserve"> </w:t>
      </w:r>
      <w:r>
        <w:rPr>
          <w:lang w:val="es-AR"/>
        </w:rPr>
        <w:t xml:space="preserve">de reproducciones</w:t>
      </w:r>
      <w:r>
        <w:rPr>
          <w:lang w:val="es-AR"/>
        </w:rPr>
        <w:t xml:space="preserve"> </w:t>
      </w:r>
      <m:oMath>
        <m:sSup>
          <m:e>
            <m:r>
              <m:t>S</m:t>
            </m:r>
          </m:e>
          <m:sup>
            <m:r>
              <m:rPr>
                <m:sty m:val="p"/>
              </m:rPr>
              <m:t>′</m:t>
            </m:r>
          </m:sup>
        </m:sSup>
        <m:r>
          <m:rPr>
            <m:sty m:val="p"/>
          </m:rPr>
          <m:t>(</m:t>
        </m:r>
        <m:r>
          <m:t>t</m:t>
        </m:r>
        <m:r>
          <m:rPr>
            <m:sty m:val="p"/>
          </m:rPr>
          <m:t>)</m:t>
        </m:r>
      </m:oMath>
      <w:r>
        <w:rPr>
          <w:lang w:val="es-AR"/>
        </w:rPr>
        <w:t xml:space="preserve">, obtenida por diferenciación.</w:t>
      </w:r>
    </w:p>
    <w:p>
      <w:pPr>
        <w:pStyle w:val="Compact"/>
        <w:numPr>
          <w:ilvl w:val="0"/>
          <w:numId w:val="1009"/>
        </w:numPr>
      </w:pPr>
      <w:r>
        <w:rPr>
          <w:lang w:val="es-AR"/>
        </w:rPr>
        <w:t xml:space="preserve">El</w:t>
      </w:r>
      <w:r>
        <w:rPr>
          <w:lang w:val="es-AR"/>
        </w:rPr>
        <w:t xml:space="preserve"> </w:t>
      </w:r>
      <w:r>
        <w:rPr>
          <w:b/>
          <w:bCs/>
          <w:lang w:val="es-AR"/>
        </w:rPr>
        <w:t xml:space="preserve">volumen</w:t>
      </w:r>
      <w:r>
        <w:rPr>
          <w:lang w:val="es-AR"/>
        </w:rPr>
        <w:t xml:space="preserve"> </w:t>
      </w:r>
      <w:r>
        <w:rPr>
          <w:lang w:val="es-AR"/>
        </w:rPr>
        <w:t xml:space="preserve">total de datos transferidos, del que dependen los costos de red, depende del</w:t>
      </w:r>
      <w:r>
        <w:rPr>
          <w:lang w:val="es-AR"/>
        </w:rPr>
        <w:t xml:space="preserve"> </w:t>
      </w:r>
      <w:r>
        <w:rPr>
          <w:b/>
          <w:bCs/>
          <w:lang w:val="es-AR"/>
        </w:rPr>
        <w:t xml:space="preserve">acumulado</w:t>
      </w:r>
      <w:r>
        <w:rPr>
          <w:lang w:val="es-AR"/>
        </w:rPr>
        <w:t xml:space="preserve"> </w:t>
      </w:r>
      <m:oMath>
        <m:r>
          <m:t>S</m:t>
        </m:r>
        <m:r>
          <m:rPr>
            <m:sty m:val="p"/>
          </m:rPr>
          <m:t>(</m:t>
        </m:r>
        <m:r>
          <m:t>t</m:t>
        </m:r>
        <m:r>
          <m:rPr>
            <m:sty m:val="p"/>
          </m:rPr>
          <m:t>)</m:t>
        </m:r>
      </m:oMath>
      <w:r>
        <w:rPr>
          <w:lang w:val="es-AR"/>
        </w:rPr>
        <w:t xml:space="preserve">.</w:t>
      </w:r>
    </w:p>
    <w:p>
      <w:pPr>
        <w:pStyle w:val="FirstParagraph"/>
      </w:pPr>
      <w:r>
        <w:rPr>
          <w:lang w:val="es-AR"/>
        </w:rPr>
        <w:t xml:space="preserve">Si una reproducción completa de duración</w:t>
      </w:r>
      <w:r>
        <w:rPr>
          <w:lang w:val="es-AR"/>
        </w:rPr>
        <w:t xml:space="preserve"> </w:t>
      </w:r>
      <m:oMath>
        <m:r>
          <m:t>d</m:t>
        </m:r>
      </m:oMath>
      <w:r>
        <w:rPr>
          <w:lang w:val="es-AR"/>
        </w:rPr>
        <w:t xml:space="preserve"> </w:t>
      </w:r>
      <w:r>
        <w:rPr>
          <w:lang w:val="es-AR"/>
        </w:rPr>
        <w:t xml:space="preserve">(en segundos) se transmite con una tasa de bits</w:t>
      </w:r>
      <w:r>
        <w:rPr>
          <w:lang w:val="es-AR"/>
        </w:rPr>
        <w:t xml:space="preserve"> </w:t>
      </w:r>
      <m:oMath>
        <m:r>
          <m:t>b</m:t>
        </m:r>
      </m:oMath>
      <w:r>
        <w:rPr>
          <w:lang w:val="es-AR"/>
        </w:rPr>
        <w:t xml:space="preserve"> </w:t>
      </w:r>
      <w:r>
        <w:rPr>
          <w:lang w:val="es-AR"/>
        </w:rPr>
        <w:t xml:space="preserve">(en kbit/s), su tamaño en megabits es</w:t>
      </w:r>
      <w:r>
        <w:rPr>
          <w:lang w:val="es-AR"/>
        </w:rPr>
        <w:t xml:space="preserve"> </w:t>
      </w:r>
      <m:oMath>
        <m:r>
          <m:t>b</m:t>
        </m:r>
        <m:r>
          <m:t> </m:t>
        </m:r>
        <m:r>
          <m:t>d</m:t>
        </m:r>
        <m:r>
          <m:rPr>
            <m:sty m:val="p"/>
          </m:rPr>
          <m:t>/</m:t>
        </m:r>
        <m:r>
          <m:t>1000</m:t>
        </m:r>
      </m:oMath>
      <w:r>
        <w:rPr>
          <w:lang w:val="es-AR"/>
        </w:rPr>
        <w:t xml:space="preserve">. Por lo tanto, una tasa de</w:t>
      </w:r>
      <w:r>
        <w:rPr>
          <w:lang w:val="es-AR"/>
        </w:rPr>
        <w:t xml:space="preserve"> </w:t>
      </w:r>
      <m:oMath>
        <m:r>
          <m:t>r</m:t>
        </m:r>
      </m:oMath>
      <w:r>
        <w:rPr>
          <w:lang w:val="es-AR"/>
        </w:rPr>
        <w:t xml:space="preserve"> </w:t>
      </w:r>
      <w:r>
        <w:rPr>
          <w:lang w:val="es-AR"/>
        </w:rPr>
        <w:t xml:space="preserve">millones de reproducciones por semana equivale a un ancho de banda promedio</w:t>
      </w:r>
    </w:p>
    <w:p>
      <w:pPr>
        <w:pStyle w:val="BodyText"/>
      </w:pPr>
      <m:oMathPara>
        <m:oMathParaPr>
          <m:jc m:val="center"/>
        </m:oMathParaPr>
        <m:oMath>
          <m:r>
            <m:t>B</m:t>
          </m:r>
          <m:r>
            <m:t> </m:t>
          </m:r>
          <m:r>
            <m:rPr>
              <m:sty m:val="p"/>
            </m:rPr>
            <m:t>[</m:t>
          </m:r>
          <m:r>
            <m:rPr>
              <m:nor/>
            </m:rPr>
            <m:t>Mbps</m:t>
          </m:r>
          <m:r>
            <m:rPr>
              <m:sty m:val="p"/>
            </m:rPr>
            <m:t>]</m:t>
          </m:r>
          <m:r>
            <m:rPr>
              <m:sty m:val="p"/>
            </m:rPr>
            <m:t>=</m:t>
          </m:r>
          <m:f>
            <m:fPr>
              <m:type m:val="bar"/>
            </m:fPr>
            <m:num>
              <m:r>
                <m:t>r</m:t>
              </m:r>
              <m:r>
                <m:rPr>
                  <m:sty m:val="p"/>
                </m:rPr>
                <m:t>⋅</m:t>
              </m:r>
              <m:sSup>
                <m:e>
                  <m:r>
                    <m:t>10</m:t>
                  </m:r>
                </m:e>
                <m:sup>
                  <m:r>
                    <m:t>6</m:t>
                  </m:r>
                </m:sup>
              </m:sSup>
              <m:r>
                <m:rPr>
                  <m:sty m:val="p"/>
                </m:rPr>
                <m:t>⋅</m:t>
              </m:r>
              <m:r>
                <m:t>b</m:t>
              </m:r>
              <m:r>
                <m:rPr>
                  <m:sty m:val="p"/>
                </m:rPr>
                <m:t>⋅</m:t>
              </m:r>
              <m:r>
                <m:t>d</m:t>
              </m:r>
            </m:num>
            <m:den>
              <m:r>
                <m:t>1000</m:t>
              </m:r>
              <m:r>
                <m:rPr>
                  <m:sty m:val="p"/>
                </m:rPr>
                <m:t>⋅</m:t>
              </m:r>
              <m:r>
                <m:t>604</m:t>
              </m:r>
              <m:r>
                <m:t> </m:t>
              </m:r>
              <m:r>
                <m:t>800</m:t>
              </m:r>
            </m:den>
          </m:f>
        </m:oMath>
      </m:oMathPara>
    </w:p>
    <w:p>
      <w:pPr>
        <w:pStyle w:val="FirstParagraph"/>
      </w:pPr>
      <w:r>
        <w:rPr>
          <w:lang w:val="es-AR"/>
        </w:rPr>
        <w:t xml:space="preserve">donde</w:t>
      </w:r>
      <w:r>
        <w:rPr>
          <w:lang w:val="es-AR"/>
        </w:rPr>
        <w:t xml:space="preserve"> </w:t>
      </w:r>
      <m:oMath>
        <m:r>
          <m:t>604</m:t>
        </m:r>
        <m:r>
          <m:t> </m:t>
        </m:r>
        <m:r>
          <m:t>800</m:t>
        </m:r>
      </m:oMath>
      <w:r>
        <w:rPr>
          <w:lang w:val="es-AR"/>
        </w:rPr>
        <w:t xml:space="preserve"> </w:t>
      </w:r>
      <w:r>
        <w:rPr>
          <w:lang w:val="es-AR"/>
        </w:rPr>
        <w:t xml:space="preserve">es la cantidad de segundos de una semana, y un acumulado de</w:t>
      </w:r>
      <w:r>
        <w:rPr>
          <w:lang w:val="es-AR"/>
        </w:rPr>
        <w:t xml:space="preserve"> </w:t>
      </w:r>
      <m:oMath>
        <m:r>
          <m:t>S</m:t>
        </m:r>
      </m:oMath>
      <w:r>
        <w:rPr>
          <w:lang w:val="es-AR"/>
        </w:rPr>
        <w:t xml:space="preserve"> </w:t>
      </w:r>
      <w:r>
        <w:rPr>
          <w:lang w:val="es-AR"/>
        </w:rPr>
        <w:t xml:space="preserve">millones de reproducciones equivale a un volumen transferido</w:t>
      </w:r>
    </w:p>
    <w:p>
      <w:pPr>
        <w:pStyle w:val="BodyText"/>
      </w:pPr>
      <m:oMathPara>
        <m:oMathParaPr>
          <m:jc m:val="center"/>
        </m:oMathParaPr>
        <m:oMath>
          <m:r>
            <m:t>V</m:t>
          </m:r>
          <m:r>
            <m:t> </m:t>
          </m:r>
          <m:r>
            <m:rPr>
              <m:sty m:val="p"/>
            </m:rPr>
            <m:t>[</m:t>
          </m:r>
          <m:r>
            <m:rPr>
              <m:nor/>
            </m:rPr>
            <m:t>TB</m:t>
          </m:r>
          <m:r>
            <m:rPr>
              <m:sty m:val="p"/>
            </m:rPr>
            <m:t>]</m:t>
          </m:r>
          <m:r>
            <m:rPr>
              <m:sty m:val="p"/>
            </m:rPr>
            <m:t>=</m:t>
          </m:r>
          <m:f>
            <m:fPr>
              <m:type m:val="bar"/>
            </m:fPr>
            <m:num>
              <m:r>
                <m:t>S</m:t>
              </m:r>
              <m:r>
                <m:rPr>
                  <m:sty m:val="p"/>
                </m:rPr>
                <m:t>⋅</m:t>
              </m:r>
              <m:sSup>
                <m:e>
                  <m:r>
                    <m:t>10</m:t>
                  </m:r>
                </m:e>
                <m:sup>
                  <m:r>
                    <m:t>6</m:t>
                  </m:r>
                </m:sup>
              </m:sSup>
              <m:r>
                <m:rPr>
                  <m:sty m:val="p"/>
                </m:rPr>
                <m:t>⋅</m:t>
              </m:r>
              <m:r>
                <m:t>b</m:t>
              </m:r>
              <m:r>
                <m:rPr>
                  <m:sty m:val="p"/>
                </m:rPr>
                <m:t>⋅</m:t>
              </m:r>
              <m:r>
                <m:t>d</m:t>
              </m:r>
            </m:num>
            <m:den>
              <m:r>
                <m:t>8</m:t>
              </m:r>
              <m:r>
                <m:rPr>
                  <m:sty m:val="p"/>
                </m:rPr>
                <m:t>⋅</m:t>
              </m:r>
              <m:sSup>
                <m:e>
                  <m:r>
                    <m:t>10</m:t>
                  </m:r>
                </m:e>
                <m:sup>
                  <m:r>
                    <m:t>3</m:t>
                  </m:r>
                </m:sup>
              </m:sSup>
              <m:r>
                <m:rPr>
                  <m:sty m:val="p"/>
                </m:rPr>
                <m:t>⋅</m:t>
              </m:r>
              <m:sSup>
                <m:e>
                  <m:r>
                    <m:t>10</m:t>
                  </m:r>
                </m:e>
                <m:sup>
                  <m:r>
                    <m:t>6</m:t>
                  </m:r>
                </m:sup>
              </m:sSup>
            </m:den>
          </m:f>
        </m:oMath>
      </m:oMathPara>
    </w:p>
    <w:bookmarkEnd w:id="50"/>
    <w:bookmarkStart w:id="51" w:name="supuestos"/>
    <w:p>
      <w:pPr>
        <w:pStyle w:val="Heading3"/>
      </w:pPr>
      <w:r>
        <w:rPr>
          <w:lang w:val="es-AR"/>
        </w:rPr>
        <w:t xml:space="preserve">3.6.2. Supuestos</w:t>
      </w:r>
    </w:p>
    <w:p>
      <w:pPr>
        <w:pStyle w:val="FirstParagraph"/>
      </w:pPr>
      <w:r>
        <w:rPr>
          <w:lang w:val="es-AR"/>
        </w:rPr>
        <w:t xml:space="preserve">Los resultados de esta sección son órdenes de magnitud, que dependen de los siguientes supuestos:</w:t>
      </w:r>
    </w:p>
    <w:p>
      <w:pPr>
        <w:pStyle w:val="TableCaption"/>
      </w:pPr>
      <w:r>
        <w:rPr>
          <w:lang w:val="es-AR"/>
        </w:rPr>
        <w:t xml:space="preserve">Tabla 11. Supuestos del dimensionamiento.</w:t>
      </w:r>
    </w:p>
    <w:tbl>
      <w:tblPr>
        <w:tblStyle w:val="Table"/>
        <w:tblW w:type="dxa" w:w="8785"/>
        <w:tblLook w:firstRow="1" w:lastRow="0" w:firstColumn="0" w:lastColumn="0" w:noHBand="0" w:noVBand="0" w:val="0020"/>
        <w:tblCaption w:val="Tabla 11. Supuestos del dimensionamiento."/>
      </w:tblPr>
      <w:tblGrid>
        <w:gridCol w:w="1480"/>
        <w:gridCol w:w="1100"/>
        <w:gridCol w:w="6205"/>
      </w:tblGrid>
      <w:tr>
        <w:trPr>
          <w:tblHeader w:val="on"/>
        </w:trPr>
        <w:tc>
          <w:tcPr>
            <w:tcW w:type="dxa" w:w="1480"/>
          </w:tcPr>
          <w:p>
            <w:pPr>
              <w:pStyle w:val="TableText"/>
              <w:jc w:val="left"/>
            </w:pPr>
            <w:r>
              <w:rPr>
                <w:lang w:val="es-AR"/>
              </w:rPr>
              <w:t xml:space="preserve">Supuesto</w:t>
            </w:r>
          </w:p>
        </w:tc>
        <w:tc>
          <w:tcPr>
            <w:tcW w:type="dxa" w:w="1100"/>
          </w:tcPr>
          <w:p>
            <w:pPr>
              <w:pStyle w:val="TableText"/>
              <w:jc w:val="left"/>
            </w:pPr>
            <w:r>
              <w:rPr>
                <w:lang w:val="es-AR"/>
              </w:rPr>
              <w:t xml:space="preserve">Valor adoptado</w:t>
            </w:r>
          </w:p>
        </w:tc>
        <w:tc>
          <w:tcPr>
            <w:tcW w:type="dxa" w:w="6205"/>
          </w:tcPr>
          <w:p>
            <w:pPr>
              <w:pStyle w:val="TableText"/>
              <w:jc w:val="left"/>
            </w:pPr>
            <w:r>
              <w:rPr>
                <w:lang w:val="es-AR"/>
              </w:rPr>
              <w:t xml:space="preserve">Justificación</w:t>
            </w:r>
          </w:p>
        </w:tc>
      </w:tr>
      <w:tr>
        <w:tc>
          <w:tcPr>
            <w:tcW w:type="dxa" w:w="1480"/>
          </w:tcPr>
          <w:p>
            <w:pPr>
              <w:pStyle w:val="TableText"/>
              <w:jc w:val="left"/>
            </w:pPr>
            <w:r>
              <w:rPr>
                <w:lang w:val="es-AR"/>
              </w:rPr>
              <w:t xml:space="preserve">Duración de la canción,</w:t>
            </w:r>
            <w:r>
              <w:rPr>
                <w:lang w:val="es-AR"/>
              </w:rPr>
              <w:t xml:space="preserve"> </w:t>
            </w:r>
            <m:oMath>
              <m:r>
                <m:t>d</m:t>
              </m:r>
            </m:oMath>
          </w:p>
        </w:tc>
        <w:tc>
          <w:tcPr>
            <w:tcW w:type="dxa" w:w="1100"/>
          </w:tcPr>
          <w:p>
            <w:pPr>
              <w:pStyle w:val="TableText"/>
              <w:jc w:val="left"/>
            </w:pPr>
            <w:r>
              <w:rPr>
                <w:lang w:val="es-AR"/>
              </w:rPr>
              <w:t xml:space="preserve">186 s (3:06)</w:t>
            </w:r>
          </w:p>
        </w:tc>
        <w:tc>
          <w:tcPr>
            <w:tcW w:type="dxa" w:w="6205"/>
          </w:tcPr>
          <w:p>
            <w:pPr>
              <w:pStyle w:val="TableText"/>
              <w:jc w:val="left"/>
            </w:pPr>
            <w:r>
              <w:rPr>
                <w:lang w:val="es-AR"/>
              </w:rPr>
              <w:t xml:space="preserve">Listado de pistas del álbum</w:t>
            </w:r>
            <w:r>
              <w:rPr>
                <w:lang w:val="es-AR"/>
              </w:rPr>
              <w:t xml:space="preserve"> </w:t>
            </w:r>
            <w:r>
              <w:rPr>
                <w:i/>
                <w:iCs/>
                <w:lang w:val="es-AR"/>
              </w:rPr>
              <w:t xml:space="preserve">Dulce Beat</w:t>
            </w:r>
            <w:r>
              <w:rPr>
                <w:lang w:val="es-AR"/>
              </w:rPr>
              <w:t xml:space="preserve"> </w:t>
            </w:r>
            <w:r>
              <w:rPr>
                <w:lang w:val="es-AR"/>
              </w:rPr>
              <w:t xml:space="preserve">(Wikipedia, 2026)</w:t>
            </w:r>
          </w:p>
        </w:tc>
      </w:tr>
      <w:tr>
        <w:tc>
          <w:tcPr>
            <w:tcW w:type="dxa" w:w="1480"/>
          </w:tcPr>
          <w:p>
            <w:pPr>
              <w:pStyle w:val="TableText"/>
              <w:jc w:val="left"/>
            </w:pPr>
            <w:r>
              <w:rPr>
                <w:lang w:val="es-AR"/>
              </w:rPr>
              <w:t xml:space="preserve">Tasa de bits,</w:t>
            </w:r>
            <w:r>
              <w:rPr>
                <w:lang w:val="es-AR"/>
              </w:rPr>
              <w:t xml:space="preserve"> </w:t>
            </w:r>
            <m:oMath>
              <m:r>
                <m:t>b</m:t>
              </m:r>
            </m:oMath>
          </w:p>
        </w:tc>
        <w:tc>
          <w:tcPr>
            <w:tcW w:type="dxa" w:w="1100"/>
          </w:tcPr>
          <w:p>
            <w:pPr>
              <w:pStyle w:val="TableText"/>
              <w:jc w:val="left"/>
            </w:pPr>
            <w:r>
              <w:rPr>
                <w:lang w:val="es-AR"/>
              </w:rPr>
              <w:t xml:space="preserve">96,</w:t>
            </w:r>
            <w:r>
              <w:rPr>
                <w:lang w:val="es-AR"/>
              </w:rPr>
              <w:t xml:space="preserve"> </w:t>
            </w:r>
            <w:r>
              <w:rPr>
                <w:b/>
                <w:bCs/>
                <w:lang w:val="es-AR"/>
              </w:rPr>
              <w:t xml:space="preserve">160</w:t>
            </w:r>
            <w:r>
              <w:rPr>
                <w:lang w:val="es-AR"/>
              </w:rPr>
              <w:t xml:space="preserve"> </w:t>
            </w:r>
            <w:r>
              <w:rPr>
                <w:lang w:val="es-AR"/>
              </w:rPr>
              <w:t xml:space="preserve">y 320 kbit/s</w:t>
            </w:r>
          </w:p>
        </w:tc>
        <w:tc>
          <w:tcPr>
            <w:tcW w:type="dxa" w:w="6205"/>
          </w:tcPr>
          <w:p>
            <w:pPr>
              <w:pStyle w:val="TableText"/>
              <w:jc w:val="left"/>
            </w:pPr>
            <w:r>
              <w:rPr>
                <w:lang w:val="es-AR"/>
              </w:rPr>
              <w:t xml:space="preserve">Calidades normal, alta y muy alta de Spotify (Spotify, 2026); se toma 160 kbit/s como referencia</w:t>
            </w:r>
          </w:p>
        </w:tc>
      </w:tr>
      <w:tr>
        <w:tc>
          <w:tcPr>
            <w:tcW w:type="dxa" w:w="1480"/>
          </w:tcPr>
          <w:p>
            <w:pPr>
              <w:pStyle w:val="TableText"/>
              <w:jc w:val="left"/>
            </w:pPr>
            <w:r>
              <w:rPr>
                <w:lang w:val="es-AR"/>
              </w:rPr>
              <w:t xml:space="preserve">Factor de hora pico</w:t>
            </w:r>
          </w:p>
        </w:tc>
        <w:tc>
          <w:tcPr>
            <w:tcW w:type="dxa" w:w="1100"/>
          </w:tcPr>
          <w:p>
            <w:pPr>
              <w:pStyle w:val="TableText"/>
              <w:jc w:val="left"/>
            </w:pPr>
            <w:r>
              <w:rPr>
                <w:lang w:val="es-AR"/>
              </w:rPr>
              <w:t xml:space="preserve">2</w:t>
            </w:r>
          </w:p>
        </w:tc>
        <w:tc>
          <w:tcPr>
            <w:tcW w:type="dxa" w:w="6205"/>
          </w:tcPr>
          <w:p>
            <w:pPr>
              <w:pStyle w:val="TableText"/>
              <w:jc w:val="left"/>
            </w:pPr>
            <w:r>
              <w:rPr>
                <w:lang w:val="es-AR"/>
              </w:rPr>
              <w:t xml:space="preserve">Supuesto de planificación: el tráfico se concentra en algunas horas del día, por lo que la hora pico supera al promedio semanal. No se dispone de datos para medirlo</w:t>
            </w:r>
          </w:p>
        </w:tc>
      </w:tr>
      <w:tr>
        <w:tc>
          <w:tcPr>
            <w:tcW w:type="dxa" w:w="1480"/>
          </w:tcPr>
          <w:p>
            <w:pPr>
              <w:pStyle w:val="TableText"/>
              <w:jc w:val="left"/>
            </w:pPr>
            <w:r>
              <w:rPr>
                <w:lang w:val="es-AR"/>
              </w:rPr>
              <w:t xml:space="preserve">Reproducciones guardadas</w:t>
            </w:r>
          </w:p>
        </w:tc>
        <w:tc>
          <w:tcPr>
            <w:tcW w:type="dxa" w:w="1100"/>
          </w:tcPr>
          <w:p>
            <w:pPr>
              <w:pStyle w:val="TableText"/>
              <w:jc w:val="left"/>
            </w:pPr>
            <w:r>
              <w:rPr>
                <w:lang w:val="es-AR"/>
              </w:rPr>
              <w:t xml:space="preserve">No se descuentan</w:t>
            </w:r>
          </w:p>
        </w:tc>
        <w:tc>
          <w:tcPr>
            <w:tcW w:type="dxa" w:w="6205"/>
          </w:tcPr>
          <w:p>
            <w:pPr>
              <w:pStyle w:val="TableText"/>
              <w:jc w:val="left"/>
            </w:pPr>
            <w:r>
              <w:rPr>
                <w:lang w:val="es-AR"/>
              </w:rPr>
              <w:t xml:space="preserve">Las reproducciones guardadas en el dispositivo no generan tráfico: los valores son una</w:t>
            </w:r>
            <w:r>
              <w:rPr>
                <w:lang w:val="es-AR"/>
              </w:rPr>
              <w:t xml:space="preserve"> </w:t>
            </w:r>
            <w:r>
              <w:rPr>
                <w:b/>
                <w:bCs/>
                <w:lang w:val="es-AR"/>
              </w:rPr>
              <w:t xml:space="preserve">cota superior</w:t>
            </w:r>
          </w:p>
        </w:tc>
      </w:tr>
      <w:tr>
        <w:tc>
          <w:tcPr>
            <w:tcW w:type="dxa" w:w="1480"/>
          </w:tcPr>
          <w:p>
            <w:pPr>
              <w:pStyle w:val="TableText"/>
              <w:jc w:val="left"/>
            </w:pPr>
            <w:r>
              <w:rPr>
                <w:lang w:val="es-AR"/>
              </w:rPr>
              <w:t xml:space="preserve">Alcance</w:t>
            </w:r>
          </w:p>
        </w:tc>
        <w:tc>
          <w:tcPr>
            <w:tcW w:type="dxa" w:w="1100"/>
          </w:tcPr>
          <w:p>
            <w:pPr>
              <w:pStyle w:val="TableText"/>
              <w:jc w:val="left"/>
            </w:pPr>
            <w:r>
              <w:rPr>
                <w:lang w:val="es-AR"/>
              </w:rPr>
              <w:t xml:space="preserve">Spotify México, Top 200</w:t>
            </w:r>
          </w:p>
        </w:tc>
        <w:tc>
          <w:tcPr>
            <w:tcW w:type="dxa" w:w="6205"/>
          </w:tcPr>
          <w:p>
            <w:pPr>
              <w:pStyle w:val="TableText"/>
              <w:jc w:val="left"/>
            </w:pPr>
            <w:r>
              <w:rPr>
                <w:lang w:val="es-AR"/>
              </w:rPr>
              <w:t xml:space="preserve">Mismo alcance que los datos de la sección 2.2</w:t>
            </w:r>
          </w:p>
        </w:tc>
      </w:tr>
    </w:tbl>
    <w:bookmarkEnd w:id="51"/>
    <w:bookmarkStart w:id="52" w:name="ancho-de-banda-y-volumen-transferido"/>
    <w:p>
      <w:pPr>
        <w:pStyle w:val="Heading3"/>
      </w:pPr>
      <w:r>
        <w:rPr>
          <w:lang w:val="es-AR"/>
        </w:rPr>
        <w:t xml:space="preserve">3.6.3. Ancho de banda y volumen transferido</w:t>
      </w:r>
    </w:p>
    <w:p>
      <w:pPr>
        <w:pStyle w:val="FirstParagraph"/>
      </w:pPr>
      <w:r>
        <w:rPr>
          <w:lang w:val="es-AR"/>
        </w:rPr>
        <w:t xml:space="preserve">La Tabla 12 presenta los resultados para las tres tasas de bits. A modo de ejemplo, con la tasa de referencia cada reproducción ocupa 3,72 MB y el máximo semanal medido (</w:t>
      </w:r>
      <m:oMath>
        <m:r>
          <m:t>4</m:t>
        </m:r>
        <m:r>
          <m:rPr>
            <m:sty m:val="p"/>
          </m:rPr>
          <m:t>,</m:t>
        </m:r>
        <m:r>
          <m:t>170775</m:t>
        </m:r>
      </m:oMath>
      <w:r>
        <w:rPr>
          <w:lang w:val="es-AR"/>
        </w:rPr>
        <w:t xml:space="preserve"> </w:t>
      </w:r>
      <w:r>
        <w:rPr>
          <w:lang w:val="es-AR"/>
        </w:rPr>
        <w:t xml:space="preserve">millones de reproducciones en la semana 26) equivale a</w:t>
      </w:r>
    </w:p>
    <w:p>
      <w:pPr>
        <w:pStyle w:val="BodyText"/>
      </w:pPr>
      <m:oMathPara>
        <m:oMathParaPr>
          <m:jc m:val="center"/>
        </m:oMathParaPr>
        <m:oMath>
          <m:r>
            <m:t>B</m:t>
          </m:r>
          <m:r>
            <m:rPr>
              <m:sty m:val="p"/>
            </m:rPr>
            <m:t>=</m:t>
          </m:r>
          <m:f>
            <m:fPr>
              <m:type m:val="bar"/>
            </m:fPr>
            <m:num>
              <m:r>
                <m:t>4</m:t>
              </m:r>
              <m:r>
                <m:rPr>
                  <m:sty m:val="p"/>
                </m:rPr>
                <m:t>,</m:t>
              </m:r>
              <m:r>
                <m:t>170775</m:t>
              </m:r>
              <m:r>
                <m:rPr>
                  <m:sty m:val="p"/>
                </m:rPr>
                <m:t>⋅</m:t>
              </m:r>
              <m:sSup>
                <m:e>
                  <m:r>
                    <m:t>10</m:t>
                  </m:r>
                </m:e>
                <m:sup>
                  <m:r>
                    <m:t>6</m:t>
                  </m:r>
                </m:sup>
              </m:sSup>
              <m:r>
                <m:rPr>
                  <m:sty m:val="p"/>
                </m:rPr>
                <m:t>⋅</m:t>
              </m:r>
              <m:r>
                <m:t>160</m:t>
              </m:r>
              <m:r>
                <m:rPr>
                  <m:sty m:val="p"/>
                </m:rPr>
                <m:t>⋅</m:t>
              </m:r>
              <m:r>
                <m:t>186</m:t>
              </m:r>
            </m:num>
            <m:den>
              <m:r>
                <m:t>1000</m:t>
              </m:r>
              <m:r>
                <m:rPr>
                  <m:sty m:val="p"/>
                </m:rPr>
                <m:t>⋅</m:t>
              </m:r>
              <m:r>
                <m:t>604</m:t>
              </m:r>
              <m:r>
                <m:t> </m:t>
              </m:r>
              <m:r>
                <m:t>800</m:t>
              </m:r>
            </m:den>
          </m:f>
          <m:r>
            <m:rPr>
              <m:sty m:val="p"/>
            </m:rPr>
            <m:t>=</m:t>
          </m:r>
          <m:r>
            <m:t>205</m:t>
          </m:r>
          <m:r>
            <m:rPr>
              <m:sty m:val="p"/>
            </m:rPr>
            <m:t>,</m:t>
          </m:r>
          <m:r>
            <m:t>2</m:t>
          </m:r>
          <m:r>
            <m:t> </m:t>
          </m:r>
          <m:r>
            <m:rPr>
              <m:nor/>
            </m:rPr>
            <m:t>Mbps</m:t>
          </m:r>
        </m:oMath>
      </m:oMathPara>
    </w:p>
    <w:p>
      <w:pPr>
        <w:pStyle w:val="TableCaption"/>
      </w:pPr>
      <w:r>
        <w:rPr>
          <w:lang w:val="es-AR"/>
        </w:rPr>
        <w:t xml:space="preserve">Tabla 12. Ancho de banda y volumen transferido para «Rosa Pastel» en Spotify México.</w:t>
      </w:r>
    </w:p>
    <w:tbl>
      <w:tblPr>
        <w:tblStyle w:val="Table"/>
        <w:tblW w:type="dxa" w:w="8784"/>
        <w:tblLook w:firstRow="1" w:lastRow="0" w:firstColumn="0" w:lastColumn="0" w:noHBand="0" w:noVBand="0" w:val="0020"/>
        <w:tblCaption w:val="Tabla 12. Ancho de banda y volumen transferido para «Rosa Pastel» en Spotify México."/>
      </w:tblPr>
      <w:tblGrid>
        <w:gridCol w:w="949"/>
        <w:gridCol w:w="1369"/>
        <w:gridCol w:w="1164"/>
        <w:gridCol w:w="1379"/>
        <w:gridCol w:w="1487"/>
        <w:gridCol w:w="1272"/>
        <w:gridCol w:w="1164"/>
      </w:tblGrid>
      <w:tr>
        <w:trPr>
          <w:tblHeader w:val="on"/>
        </w:trPr>
        <w:tc>
          <w:tcPr>
            <w:tcW w:type="dxa" w:w="949"/>
          </w:tcPr>
          <w:p>
            <w:pPr>
              <w:pStyle w:val="TableText"/>
              <w:jc w:val="center"/>
            </w:pPr>
            <w:r>
              <w:rPr>
                <w:lang w:val="es-AR"/>
              </w:rPr>
              <w:t xml:space="preserve">Bitrate (kbps)</w:t>
            </w:r>
          </w:p>
        </w:tc>
        <w:tc>
          <w:tcPr>
            <w:tcW w:type="dxa" w:w="1369"/>
          </w:tcPr>
          <w:p>
            <w:pPr>
              <w:pStyle w:val="TableText"/>
              <w:jc w:val="center"/>
            </w:pPr>
            <w:r>
              <w:rPr>
                <w:lang w:val="es-AR"/>
              </w:rPr>
              <w:t xml:space="preserve">MB por reproducción</w:t>
            </w:r>
          </w:p>
        </w:tc>
        <w:tc>
          <w:tcPr>
            <w:tcW w:type="dxa" w:w="1164"/>
          </w:tcPr>
          <w:p>
            <w:pPr>
              <w:pStyle w:val="TableText"/>
              <w:jc w:val="center"/>
            </w:pPr>
            <w:r>
              <w:rPr>
                <w:lang w:val="es-AR"/>
              </w:rPr>
              <w:t xml:space="preserve">Pico medido (Mbps)</w:t>
            </w:r>
          </w:p>
        </w:tc>
        <w:tc>
          <w:tcPr>
            <w:tcW w:type="dxa" w:w="1379"/>
          </w:tcPr>
          <w:p>
            <w:pPr>
              <w:pStyle w:val="TableText"/>
              <w:jc w:val="center"/>
            </w:pPr>
            <w:r>
              <w:rPr>
                <w:lang w:val="es-AR"/>
              </w:rPr>
              <w:t xml:space="preserve">Pico del modelo (Mbps)</w:t>
            </w:r>
          </w:p>
        </w:tc>
        <w:tc>
          <w:tcPr>
            <w:tcW w:type="dxa" w:w="1487"/>
          </w:tcPr>
          <w:p>
            <w:pPr>
              <w:pStyle w:val="TableText"/>
              <w:jc w:val="center"/>
            </w:pPr>
            <w:r>
              <w:rPr>
                <w:lang w:val="es-AR"/>
              </w:rPr>
              <w:t xml:space="preserve">Hora pico, medido (Mbps)</w:t>
            </w:r>
          </w:p>
        </w:tc>
        <w:tc>
          <w:tcPr>
            <w:tcW w:type="dxa" w:w="1272"/>
          </w:tcPr>
          <w:p>
            <w:pPr>
              <w:pStyle w:val="TableText"/>
              <w:jc w:val="center"/>
            </w:pPr>
            <w:r>
              <w:rPr>
                <w:lang w:val="es-AR"/>
              </w:rPr>
              <w:t xml:space="preserve">Volumen a 100 M (TB)</w:t>
            </w:r>
          </w:p>
        </w:tc>
        <w:tc>
          <w:tcPr>
            <w:tcW w:type="dxa" w:w="1164"/>
          </w:tcPr>
          <w:p>
            <w:pPr>
              <w:pStyle w:val="TableText"/>
              <w:jc w:val="center"/>
            </w:pPr>
            <w:r>
              <w:rPr>
                <w:lang w:val="es-AR"/>
              </w:rPr>
              <w:t xml:space="preserve">Volumen total (TB)</w:t>
            </w:r>
          </w:p>
        </w:tc>
      </w:tr>
      <w:tr>
        <w:tc>
          <w:tcPr>
            <w:tcW w:type="dxa" w:w="949"/>
          </w:tcPr>
          <w:p>
            <w:pPr>
              <w:pStyle w:val="TableText"/>
              <w:jc w:val="center"/>
            </w:pPr>
            <w:r>
              <w:rPr>
                <w:lang w:val="es-AR"/>
              </w:rPr>
              <w:t xml:space="preserve">96</w:t>
            </w:r>
          </w:p>
        </w:tc>
        <w:tc>
          <w:tcPr>
            <w:tcW w:type="dxa" w:w="1369"/>
          </w:tcPr>
          <w:p>
            <w:pPr>
              <w:pStyle w:val="TableText"/>
              <w:jc w:val="center"/>
            </w:pPr>
            <w:r>
              <w:rPr>
                <w:lang w:val="es-AR"/>
              </w:rPr>
              <w:t xml:space="preserve">2,23</w:t>
            </w:r>
          </w:p>
        </w:tc>
        <w:tc>
          <w:tcPr>
            <w:tcW w:type="dxa" w:w="1164"/>
          </w:tcPr>
          <w:p>
            <w:pPr>
              <w:pStyle w:val="TableText"/>
              <w:jc w:val="center"/>
            </w:pPr>
            <w:r>
              <w:rPr>
                <w:lang w:val="es-AR"/>
              </w:rPr>
              <w:t xml:space="preserve">123,1</w:t>
            </w:r>
          </w:p>
        </w:tc>
        <w:tc>
          <w:tcPr>
            <w:tcW w:type="dxa" w:w="1379"/>
          </w:tcPr>
          <w:p>
            <w:pPr>
              <w:pStyle w:val="TableText"/>
              <w:jc w:val="center"/>
            </w:pPr>
            <w:r>
              <w:rPr>
                <w:lang w:val="es-AR"/>
              </w:rPr>
              <w:t xml:space="preserve">101,4</w:t>
            </w:r>
          </w:p>
        </w:tc>
        <w:tc>
          <w:tcPr>
            <w:tcW w:type="dxa" w:w="1487"/>
          </w:tcPr>
          <w:p>
            <w:pPr>
              <w:pStyle w:val="TableText"/>
              <w:jc w:val="center"/>
            </w:pPr>
            <w:r>
              <w:rPr>
                <w:lang w:val="es-AR"/>
              </w:rPr>
              <w:t xml:space="preserve">246,3</w:t>
            </w:r>
          </w:p>
        </w:tc>
        <w:tc>
          <w:tcPr>
            <w:tcW w:type="dxa" w:w="1272"/>
          </w:tcPr>
          <w:p>
            <w:pPr>
              <w:pStyle w:val="TableText"/>
              <w:jc w:val="center"/>
            </w:pPr>
            <w:r>
              <w:rPr>
                <w:lang w:val="es-AR"/>
              </w:rPr>
              <w:t xml:space="preserve">223,2</w:t>
            </w:r>
          </w:p>
        </w:tc>
        <w:tc>
          <w:tcPr>
            <w:tcW w:type="dxa" w:w="1164"/>
          </w:tcPr>
          <w:p>
            <w:pPr>
              <w:pStyle w:val="TableText"/>
              <w:jc w:val="center"/>
            </w:pPr>
            <w:r>
              <w:rPr>
                <w:lang w:val="es-AR"/>
              </w:rPr>
              <w:t xml:space="preserve">296,6</w:t>
            </w:r>
          </w:p>
        </w:tc>
      </w:tr>
      <w:tr>
        <w:tc>
          <w:tcPr>
            <w:tcW w:type="dxa" w:w="949"/>
          </w:tcPr>
          <w:p>
            <w:pPr>
              <w:pStyle w:val="TableText"/>
              <w:jc w:val="center"/>
            </w:pPr>
            <w:r>
              <w:rPr>
                <w:lang w:val="es-AR"/>
              </w:rPr>
              <w:t xml:space="preserve">160</w:t>
            </w:r>
          </w:p>
        </w:tc>
        <w:tc>
          <w:tcPr>
            <w:tcW w:type="dxa" w:w="1369"/>
          </w:tcPr>
          <w:p>
            <w:pPr>
              <w:pStyle w:val="TableText"/>
              <w:jc w:val="center"/>
            </w:pPr>
            <w:r>
              <w:rPr>
                <w:lang w:val="es-AR"/>
              </w:rPr>
              <w:t xml:space="preserve">3,72</w:t>
            </w:r>
          </w:p>
        </w:tc>
        <w:tc>
          <w:tcPr>
            <w:tcW w:type="dxa" w:w="1164"/>
          </w:tcPr>
          <w:p>
            <w:pPr>
              <w:pStyle w:val="TableText"/>
              <w:jc w:val="center"/>
            </w:pPr>
            <w:r>
              <w:rPr>
                <w:lang w:val="es-AR"/>
              </w:rPr>
              <w:t xml:space="preserve">205,2</w:t>
            </w:r>
          </w:p>
        </w:tc>
        <w:tc>
          <w:tcPr>
            <w:tcW w:type="dxa" w:w="1379"/>
          </w:tcPr>
          <w:p>
            <w:pPr>
              <w:pStyle w:val="TableText"/>
              <w:jc w:val="center"/>
            </w:pPr>
            <w:r>
              <w:rPr>
                <w:lang w:val="es-AR"/>
              </w:rPr>
              <w:t xml:space="preserve">169,1</w:t>
            </w:r>
          </w:p>
        </w:tc>
        <w:tc>
          <w:tcPr>
            <w:tcW w:type="dxa" w:w="1487"/>
          </w:tcPr>
          <w:p>
            <w:pPr>
              <w:pStyle w:val="TableText"/>
              <w:jc w:val="center"/>
            </w:pPr>
            <w:r>
              <w:rPr>
                <w:lang w:val="es-AR"/>
              </w:rPr>
              <w:t xml:space="preserve">410,5</w:t>
            </w:r>
          </w:p>
        </w:tc>
        <w:tc>
          <w:tcPr>
            <w:tcW w:type="dxa" w:w="1272"/>
          </w:tcPr>
          <w:p>
            <w:pPr>
              <w:pStyle w:val="TableText"/>
              <w:jc w:val="center"/>
            </w:pPr>
            <w:r>
              <w:rPr>
                <w:lang w:val="es-AR"/>
              </w:rPr>
              <w:t xml:space="preserve">372,0</w:t>
            </w:r>
          </w:p>
        </w:tc>
        <w:tc>
          <w:tcPr>
            <w:tcW w:type="dxa" w:w="1164"/>
          </w:tcPr>
          <w:p>
            <w:pPr>
              <w:pStyle w:val="TableText"/>
              <w:jc w:val="center"/>
            </w:pPr>
            <w:r>
              <w:rPr>
                <w:lang w:val="es-AR"/>
              </w:rPr>
              <w:t xml:space="preserve">494,4</w:t>
            </w:r>
          </w:p>
        </w:tc>
      </w:tr>
      <w:tr>
        <w:tc>
          <w:tcPr>
            <w:tcW w:type="dxa" w:w="949"/>
          </w:tcPr>
          <w:p>
            <w:pPr>
              <w:pStyle w:val="TableText"/>
              <w:jc w:val="center"/>
            </w:pPr>
            <w:r>
              <w:rPr>
                <w:lang w:val="es-AR"/>
              </w:rPr>
              <w:t xml:space="preserve">320</w:t>
            </w:r>
          </w:p>
        </w:tc>
        <w:tc>
          <w:tcPr>
            <w:tcW w:type="dxa" w:w="1369"/>
          </w:tcPr>
          <w:p>
            <w:pPr>
              <w:pStyle w:val="TableText"/>
              <w:jc w:val="center"/>
            </w:pPr>
            <w:r>
              <w:rPr>
                <w:lang w:val="es-AR"/>
              </w:rPr>
              <w:t xml:space="preserve">7,44</w:t>
            </w:r>
          </w:p>
        </w:tc>
        <w:tc>
          <w:tcPr>
            <w:tcW w:type="dxa" w:w="1164"/>
          </w:tcPr>
          <w:p>
            <w:pPr>
              <w:pStyle w:val="TableText"/>
              <w:jc w:val="center"/>
            </w:pPr>
            <w:r>
              <w:rPr>
                <w:lang w:val="es-AR"/>
              </w:rPr>
              <w:t xml:space="preserve">410,5</w:t>
            </w:r>
          </w:p>
        </w:tc>
        <w:tc>
          <w:tcPr>
            <w:tcW w:type="dxa" w:w="1379"/>
          </w:tcPr>
          <w:p>
            <w:pPr>
              <w:pStyle w:val="TableText"/>
              <w:jc w:val="center"/>
            </w:pPr>
            <w:r>
              <w:rPr>
                <w:lang w:val="es-AR"/>
              </w:rPr>
              <w:t xml:space="preserve">338,1</w:t>
            </w:r>
          </w:p>
        </w:tc>
        <w:tc>
          <w:tcPr>
            <w:tcW w:type="dxa" w:w="1487"/>
          </w:tcPr>
          <w:p>
            <w:pPr>
              <w:pStyle w:val="TableText"/>
              <w:jc w:val="center"/>
            </w:pPr>
            <w:r>
              <w:rPr>
                <w:lang w:val="es-AR"/>
              </w:rPr>
              <w:t xml:space="preserve">820,9</w:t>
            </w:r>
          </w:p>
        </w:tc>
        <w:tc>
          <w:tcPr>
            <w:tcW w:type="dxa" w:w="1272"/>
          </w:tcPr>
          <w:p>
            <w:pPr>
              <w:pStyle w:val="TableText"/>
              <w:jc w:val="center"/>
            </w:pPr>
            <w:r>
              <w:rPr>
                <w:lang w:val="es-AR"/>
              </w:rPr>
              <w:t xml:space="preserve">744,0</w:t>
            </w:r>
          </w:p>
        </w:tc>
        <w:tc>
          <w:tcPr>
            <w:tcW w:type="dxa" w:w="1164"/>
          </w:tcPr>
          <w:p>
            <w:pPr>
              <w:pStyle w:val="TableText"/>
              <w:jc w:val="center"/>
            </w:pPr>
            <w:r>
              <w:rPr>
                <w:lang w:val="es-AR"/>
              </w:rPr>
              <w:t xml:space="preserve">988,8</w:t>
            </w:r>
          </w:p>
        </w:tc>
      </w:tr>
    </w:tbl>
    <w:p>
      <w:pPr>
        <w:pStyle w:val="BodyText"/>
        <w:spacing w:before="240"/>
      </w:pPr>
      <w:r>
        <w:rPr>
          <w:lang w:val="es-AR"/>
        </w:rPr>
        <w:t xml:space="preserve">De estos resultados se desprenden tres conclusiones de ingeniería:</w:t>
      </w:r>
    </w:p>
    <w:p>
      <w:pPr>
        <w:pStyle w:val="Compact"/>
        <w:numPr>
          <w:ilvl w:val="0"/>
          <w:numId w:val="1010"/>
        </w:numPr>
      </w:pPr>
      <w:r>
        <w:rPr>
          <w:b/>
          <w:bCs/>
          <w:lang w:val="es-AR"/>
        </w:rPr>
        <w:t xml:space="preserve">El pico para dimensionar debe tomarse de los datos y no del modelo.</w:t>
      </w:r>
      <w:r>
        <w:rPr>
          <w:lang w:val="es-AR"/>
        </w:rPr>
        <w:t xml:space="preserve"> </w:t>
      </w:r>
      <w:r>
        <w:rPr>
          <w:lang w:val="es-AR"/>
        </w:rPr>
        <w:t xml:space="preserve">La cúbica suaviza la serie y su máximo (169 Mbps a 160 kbit/s) es un 18 % menor que el medido (205 Mbps). Dimensionar con el modelo dejaría la capacidad corta, por lo que debe agregarse un margen o usarse el máximo medido.</w:t>
      </w:r>
    </w:p>
    <w:p>
      <w:pPr>
        <w:pStyle w:val="Compact"/>
        <w:numPr>
          <w:ilvl w:val="0"/>
          <w:numId w:val="1010"/>
        </w:numPr>
      </w:pPr>
      <w:r>
        <w:rPr>
          <w:b/>
          <w:bCs/>
          <w:lang w:val="es-AR"/>
        </w:rPr>
        <w:t xml:space="preserve">El promedio semanal no alcanza.</w:t>
      </w:r>
      <w:r>
        <w:rPr>
          <w:lang w:val="es-AR"/>
        </w:rPr>
        <w:t xml:space="preserve"> </w:t>
      </w:r>
      <w:r>
        <w:rPr>
          <w:lang w:val="es-AR"/>
        </w:rPr>
        <w:t xml:space="preserve">Con el factor de hora pico adoptado, el máximo medido equivale a unos 410 Mbps en la hora de mayor tráfico, y el rango de tasas de bits lleva el promedio del pico de 123 a 410 Mbps.</w:t>
      </w:r>
    </w:p>
    <w:p>
      <w:pPr>
        <w:pStyle w:val="Compact"/>
        <w:numPr>
          <w:ilvl w:val="0"/>
          <w:numId w:val="1010"/>
        </w:numPr>
      </w:pPr>
      <w:r>
        <w:rPr>
          <w:b/>
          <w:bCs/>
          <w:lang w:val="es-AR"/>
        </w:rPr>
        <w:t xml:space="preserve">El hito de 100 millones tiene una lectura de volumen.</w:t>
      </w:r>
      <w:r>
        <w:rPr>
          <w:lang w:val="es-AR"/>
        </w:rPr>
        <w:t xml:space="preserve"> </w:t>
      </w:r>
      <w:r>
        <w:rPr>
          <w:lang w:val="es-AR"/>
        </w:rPr>
        <w:t xml:space="preserve">Con la tasa de referencia equivale a unos 372 TB transferidos, de modo que la raíz</w:t>
      </w:r>
      <w:r>
        <w:rPr>
          <w:lang w:val="es-AR"/>
        </w:rPr>
        <w:t xml:space="preserve"> </w:t>
      </w:r>
      <m:oMath>
        <m:sSup>
          <m:e>
            <m:r>
              <m:t>t</m:t>
            </m:r>
          </m:e>
          <m:sup>
            <m:r>
              <m:rPr>
                <m:sty m:val="p"/>
              </m:rPr>
              <m:t>*</m:t>
            </m:r>
          </m:sup>
        </m:sSup>
      </m:oMath>
      <w:r>
        <w:rPr>
          <w:lang w:val="es-AR"/>
        </w:rPr>
        <w:t xml:space="preserve"> </w:t>
      </w:r>
      <w:r>
        <w:rPr>
          <w:lang w:val="es-AR"/>
        </w:rPr>
        <w:t xml:space="preserve">calculada en la sección 3.2 responde también a cuándo se alcanzó ese volumen. En todo el período se transfirieron unos 494 TB.</w:t>
      </w:r>
    </w:p>
    <w:bookmarkEnd w:id="52"/>
    <w:bookmarkStart w:id="56" w:name="X4082eef77d17ff1acd971e3f9caf9c737a3505a"/>
    <w:p>
      <w:pPr>
        <w:pStyle w:val="Heading3"/>
      </w:pPr>
      <w:r>
        <w:rPr>
          <w:lang w:val="es-AR"/>
        </w:rPr>
        <w:t xml:space="preserve">3.6.4. Ventana en que la demanda supera una capacidad</w:t>
      </w:r>
    </w:p>
    <w:p>
      <w:pPr>
        <w:pStyle w:val="FirstParagraph"/>
      </w:pPr>
      <w:r>
        <w:rPr>
          <w:lang w:val="es-AR"/>
        </w:rPr>
        <w:t xml:space="preserve">La pregunta «¿cuándo la demanda supera una capacidad</w:t>
      </w:r>
      <w:r>
        <w:rPr>
          <w:lang w:val="es-AR"/>
        </w:rPr>
        <w:t xml:space="preserve"> </w:t>
      </w:r>
      <m:oMath>
        <m:r>
          <m:t>C</m:t>
        </m:r>
      </m:oMath>
      <w:r>
        <w:rPr>
          <w:lang w:val="es-AR"/>
        </w:rPr>
        <w:t xml:space="preserve">?» no se plantea sobre el acumulado, como el hito de 100 millones, sino sobre la</w:t>
      </w:r>
      <w:r>
        <w:rPr>
          <w:lang w:val="es-AR"/>
        </w:rPr>
        <w:t xml:space="preserve"> </w:t>
      </w:r>
      <w:r>
        <w:rPr>
          <w:b/>
          <w:bCs/>
          <w:lang w:val="es-AR"/>
        </w:rPr>
        <w:t xml:space="preserve">tasa</w:t>
      </w:r>
      <w:r>
        <w:rPr>
          <w:lang w:val="es-AR"/>
        </w:rPr>
        <w:t xml:space="preserve">. Se toma como ejemplo una capacidad reservada de</w:t>
      </w:r>
      <w:r>
        <w:rPr>
          <w:lang w:val="es-AR"/>
        </w:rPr>
        <w:t xml:space="preserve"> </w:t>
      </w:r>
      <m:oMath>
        <m:r>
          <m:t>C</m:t>
        </m:r>
        <m:r>
          <m:rPr>
            <m:sty m:val="p"/>
          </m:rPr>
          <m:t>=</m:t>
        </m:r>
        <m:r>
          <m:t>150</m:t>
        </m:r>
      </m:oMath>
      <w:r>
        <w:rPr>
          <w:lang w:val="es-AR"/>
        </w:rPr>
        <w:t xml:space="preserve"> </w:t>
      </w:r>
      <w:r>
        <w:rPr>
          <w:lang w:val="es-AR"/>
        </w:rPr>
        <w:t xml:space="preserve">Mbps, que con la tasa de referencia equivale a</w:t>
      </w:r>
      <w:r>
        <w:rPr>
          <w:lang w:val="es-AR"/>
        </w:rPr>
        <w:t xml:space="preserve"> </w:t>
      </w:r>
      <m:oMath>
        <m:sSub>
          <m:e>
            <m:r>
              <m:t>C</m:t>
            </m:r>
          </m:e>
          <m:sub>
            <m:r>
              <m:t>s</m:t>
            </m:r>
          </m:sub>
        </m:sSub>
        <m:r>
          <m:rPr>
            <m:sty m:val="p"/>
          </m:rPr>
          <m:t>=</m:t>
        </m:r>
        <m:r>
          <m:t>3</m:t>
        </m:r>
        <m:r>
          <m:rPr>
            <m:sty m:val="p"/>
          </m:rPr>
          <m:t>,</m:t>
        </m:r>
        <m:r>
          <m:t>0484</m:t>
        </m:r>
      </m:oMath>
      <w:r>
        <w:rPr>
          <w:lang w:val="es-AR"/>
        </w:rPr>
        <w:t xml:space="preserve"> </w:t>
      </w:r>
      <w:r>
        <w:rPr>
          <w:lang w:val="es-AR"/>
        </w:rPr>
        <w:t xml:space="preserve">millones de reproducciones por semana. La ecuación no lineal es</w:t>
      </w:r>
    </w:p>
    <w:p>
      <w:pPr>
        <w:pStyle w:val="BodyText"/>
      </w:pPr>
      <m:oMathPara>
        <m:oMathParaPr>
          <m:jc m:val="center"/>
        </m:oMathParaPr>
        <m:oMath>
          <m:r>
            <m:t>g</m:t>
          </m:r>
          <m:r>
            <m:rPr>
              <m:sty m:val="p"/>
            </m:rPr>
            <m:t>(</m:t>
          </m:r>
          <m:r>
            <m:t>t</m:t>
          </m:r>
          <m:r>
            <m:rPr>
              <m:sty m:val="p"/>
            </m:rPr>
            <m:t>)</m:t>
          </m:r>
          <m:r>
            <m:rPr>
              <m:sty m:val="p"/>
            </m:rPr>
            <m:t>=</m:t>
          </m:r>
          <m:sSup>
            <m:e>
              <m:acc>
                <m:accPr>
                  <m:chr m:val="̂"/>
                </m:accPr>
                <m:e>
                  <m:r>
                    <m:t>S</m:t>
                  </m:r>
                </m:e>
              </m:acc>
            </m:e>
            <m:sup>
              <m:r>
                <m:rPr>
                  <m:sty m:val="p"/>
                </m:rPr>
                <m:t>′</m:t>
              </m:r>
            </m:sup>
          </m:sSup>
          <m:r>
            <m:rPr>
              <m:sty m:val="p"/>
            </m:rPr>
            <m:t>(</m:t>
          </m:r>
          <m:r>
            <m:t>t</m:t>
          </m:r>
          <m:r>
            <m:rPr>
              <m:sty m:val="p"/>
            </m:rPr>
            <m:t>)</m:t>
          </m:r>
          <m:r>
            <m:rPr>
              <m:sty m:val="p"/>
            </m:rPr>
            <m:t>−</m:t>
          </m:r>
          <m:sSub>
            <m:e>
              <m:r>
                <m:t>C</m:t>
              </m:r>
            </m:e>
            <m:sub>
              <m:r>
                <m:t>s</m:t>
              </m:r>
            </m:sub>
          </m:sSub>
          <m:r>
            <m:rPr>
              <m:sty m:val="p"/>
            </m:rPr>
            <m:t>=</m:t>
          </m:r>
          <m:r>
            <m:rPr>
              <m:sty m:val="p"/>
            </m:rPr>
            <m:t>−</m:t>
          </m:r>
          <m:r>
            <m:t>0</m:t>
          </m:r>
          <m:r>
            <m:rPr>
              <m:sty m:val="p"/>
            </m:rPr>
            <m:t>,</m:t>
          </m:r>
          <m:r>
            <m:t>002517</m:t>
          </m:r>
          <m:r>
            <m:t> </m:t>
          </m:r>
          <m:sSup>
            <m:e>
              <m:r>
                <m:t>t</m:t>
              </m:r>
            </m:e>
            <m:sup>
              <m:r>
                <m:t>2</m:t>
              </m:r>
            </m:sup>
          </m:sSup>
          <m:r>
            <m:rPr>
              <m:sty m:val="p"/>
            </m:rPr>
            <m:t>+</m:t>
          </m:r>
          <m:r>
            <m:t>0</m:t>
          </m:r>
          <m:r>
            <m:rPr>
              <m:sty m:val="p"/>
            </m:rPr>
            <m:t>,</m:t>
          </m:r>
          <m:r>
            <m:t>153954</m:t>
          </m:r>
          <m:r>
            <m:t> </m:t>
          </m:r>
          <m:r>
            <m:t>t</m:t>
          </m:r>
          <m:r>
            <m:rPr>
              <m:sty m:val="p"/>
            </m:rPr>
            <m:t>−</m:t>
          </m:r>
          <m:r>
            <m:t>1</m:t>
          </m:r>
          <m:r>
            <m:rPr>
              <m:sty m:val="p"/>
            </m:rPr>
            <m:t>,</m:t>
          </m:r>
          <m:r>
            <m:t>967225</m:t>
          </m:r>
          <m:r>
            <m:rPr>
              <m:sty m:val="p"/>
            </m:rPr>
            <m:t>=</m:t>
          </m:r>
          <m:r>
            <m:t>0</m:t>
          </m:r>
        </m:oMath>
      </m:oMathPara>
    </w:p>
    <w:p>
      <w:pPr>
        <w:pStyle w:val="FirstParagraph"/>
      </w:pPr>
      <w:r>
        <w:rPr>
          <w:lang w:val="es-AR"/>
        </w:rPr>
        <w:t xml:space="preserve">y su derivada, necesaria para Newton-Raphson, es la derivada segunda del modelo:</w:t>
      </w:r>
    </w:p>
    <w:p>
      <w:pPr>
        <w:pStyle w:val="BodyText"/>
      </w:pPr>
      <m:oMathPara>
        <m:oMathParaPr>
          <m:jc m:val="center"/>
        </m:oMathParaPr>
        <m:oMath>
          <m:sSup>
            <m:e>
              <m:r>
                <m:t>g</m:t>
              </m:r>
            </m:e>
            <m:sup>
              <m:r>
                <m:rPr>
                  <m:sty m:val="p"/>
                </m:rPr>
                <m:t>′</m:t>
              </m:r>
            </m:sup>
          </m:sSup>
          <m:r>
            <m:rPr>
              <m:sty m:val="p"/>
            </m:rPr>
            <m:t>(</m:t>
          </m:r>
          <m:r>
            <m:t>t</m:t>
          </m:r>
          <m:r>
            <m:rPr>
              <m:sty m:val="p"/>
            </m:rPr>
            <m:t>)</m:t>
          </m:r>
          <m:r>
            <m:rPr>
              <m:sty m:val="p"/>
            </m:rPr>
            <m:t>=</m:t>
          </m:r>
          <m:sSup>
            <m:e>
              <m:acc>
                <m:accPr>
                  <m:chr m:val="̂"/>
                </m:accPr>
                <m:e>
                  <m:r>
                    <m:t>S</m:t>
                  </m:r>
                </m:e>
              </m:acc>
            </m:e>
            <m:sup>
              <m:r>
                <m:rPr>
                  <m:sty m:val="p"/>
                </m:rPr>
                <m:t>″</m:t>
              </m:r>
            </m:sup>
          </m:sSup>
          <m:r>
            <m:rPr>
              <m:sty m:val="p"/>
            </m:rPr>
            <m:t>(</m:t>
          </m:r>
          <m:r>
            <m:t>t</m:t>
          </m:r>
          <m:r>
            <m:rPr>
              <m:sty m:val="p"/>
            </m:rPr>
            <m:t>)</m:t>
          </m:r>
          <m:r>
            <m:rPr>
              <m:sty m:val="p"/>
            </m:rPr>
            <m:t>=</m:t>
          </m:r>
          <m:r>
            <m:rPr>
              <m:sty m:val="p"/>
            </m:rPr>
            <m:t>−</m:t>
          </m:r>
          <m:r>
            <m:t>0</m:t>
          </m:r>
          <m:r>
            <m:rPr>
              <m:sty m:val="p"/>
            </m:rPr>
            <m:t>,</m:t>
          </m:r>
          <m:r>
            <m:t>005034</m:t>
          </m:r>
          <m:r>
            <m:t> </m:t>
          </m:r>
          <m:r>
            <m:t>t</m:t>
          </m:r>
          <m:r>
            <m:rPr>
              <m:sty m:val="p"/>
            </m:rPr>
            <m:t>+</m:t>
          </m:r>
          <m:r>
            <m:t>0</m:t>
          </m:r>
          <m:r>
            <m:rPr>
              <m:sty m:val="p"/>
            </m:rPr>
            <m:t>,</m:t>
          </m:r>
          <m:r>
            <m:t>153954</m:t>
          </m:r>
        </m:oMath>
      </m:oMathPara>
    </w:p>
    <w:p>
      <w:pPr>
        <w:pStyle w:val="FirstParagraph"/>
      </w:pPr>
      <w:r>
        <w:rPr>
          <w:lang w:val="es-AR"/>
        </w:rPr>
        <w:t xml:space="preserve">Como</w:t>
      </w:r>
      <w:r>
        <w:rPr>
          <w:lang w:val="es-AR"/>
        </w:rPr>
        <w:t xml:space="preserve"> </w:t>
      </w:r>
      <m:oMath>
        <m:sSup>
          <m:e>
            <m:acc>
              <m:accPr>
                <m:chr m:val="̂"/>
              </m:accPr>
              <m:e>
                <m:r>
                  <m:t>S</m:t>
                </m:r>
              </m:e>
            </m:acc>
          </m:e>
          <m:sup>
            <m:r>
              <m:rPr>
                <m:sty m:val="p"/>
              </m:rPr>
              <m:t>′</m:t>
            </m:r>
          </m:sup>
        </m:sSup>
        <m:r>
          <m:rPr>
            <m:sty m:val="p"/>
          </m:rPr>
          <m:t>(</m:t>
        </m:r>
        <m:r>
          <m:t>t</m:t>
        </m:r>
        <m:r>
          <m:rPr>
            <m:sty m:val="p"/>
          </m:rPr>
          <m:t>)</m:t>
        </m:r>
      </m:oMath>
      <w:r>
        <w:rPr>
          <w:lang w:val="es-AR"/>
        </w:rPr>
        <w:t xml:space="preserve"> </w:t>
      </w:r>
      <w:r>
        <w:rPr>
          <w:lang w:val="es-AR"/>
        </w:rPr>
        <w:t xml:space="preserve">es una parábola con su máximo en</w:t>
      </w:r>
      <w:r>
        <w:rPr>
          <w:lang w:val="es-AR"/>
        </w:rPr>
        <w:t xml:space="preserve"> </w:t>
      </w:r>
      <m:oMath>
        <m:sSub>
          <m:e>
            <m:r>
              <m:t>t</m:t>
            </m:r>
          </m:e>
          <m:sub>
            <m:r>
              <m:t>p</m:t>
            </m:r>
            <m:r>
              <m:t>i</m:t>
            </m:r>
            <m:r>
              <m:t>c</m:t>
            </m:r>
            <m:r>
              <m:t>o</m:t>
            </m:r>
          </m:sub>
        </m:sSub>
        <m:r>
          <m:rPr>
            <m:sty m:val="p"/>
          </m:rPr>
          <m:t>=</m:t>
        </m:r>
        <m:r>
          <m:t>30</m:t>
        </m:r>
        <m:r>
          <m:rPr>
            <m:sty m:val="p"/>
          </m:rPr>
          <m:t>,</m:t>
        </m:r>
        <m:r>
          <m:t>59</m:t>
        </m:r>
      </m:oMath>
      <w:r>
        <w:rPr>
          <w:lang w:val="es-AR"/>
        </w:rPr>
        <w:t xml:space="preserve"> </w:t>
      </w:r>
      <w:r>
        <w:rPr>
          <w:lang w:val="es-AR"/>
        </w:rPr>
        <w:t xml:space="preserve">semanas, y ese máximo supera a</w:t>
      </w:r>
      <w:r>
        <w:rPr>
          <w:lang w:val="es-AR"/>
        </w:rPr>
        <w:t xml:space="preserve"> </w:t>
      </w:r>
      <m:oMath>
        <m:sSub>
          <m:e>
            <m:r>
              <m:t>C</m:t>
            </m:r>
          </m:e>
          <m:sub>
            <m:r>
              <m:t>s</m:t>
            </m:r>
          </m:sub>
        </m:sSub>
      </m:oMath>
      <w:r>
        <w:rPr>
          <w:lang w:val="es-AR"/>
        </w:rPr>
        <w:t xml:space="preserve">, hay dos raíces: la</w:t>
      </w:r>
      <w:r>
        <w:rPr>
          <w:lang w:val="es-AR"/>
        </w:rPr>
        <w:t xml:space="preserve"> </w:t>
      </w:r>
      <w:r>
        <w:rPr>
          <w:b/>
          <w:bCs/>
          <w:lang w:val="es-AR"/>
        </w:rPr>
        <w:t xml:space="preserve">entrada</w:t>
      </w:r>
      <w:r>
        <w:rPr>
          <w:lang w:val="es-AR"/>
        </w:rPr>
        <w:t xml:space="preserve"> </w:t>
      </w:r>
      <w:r>
        <w:rPr>
          <w:lang w:val="es-AR"/>
        </w:rPr>
        <w:t xml:space="preserve">a la zona de saturación, en</w:t>
      </w:r>
      <w:r>
        <w:rPr>
          <w:lang w:val="es-AR"/>
        </w:rPr>
        <w:t xml:space="preserve"> </w:t>
      </w:r>
      <m:oMath>
        <m:r>
          <m:rPr>
            <m:sty m:val="p"/>
          </m:rPr>
          <m:t>[</m:t>
        </m:r>
        <m:r>
          <m:t>0</m:t>
        </m:r>
        <m:r>
          <m:rPr>
            <m:sty m:val="p"/>
          </m:rPr>
          <m:t>;</m:t>
        </m:r>
        <m:sSub>
          <m:e>
            <m:r>
              <m:t>t</m:t>
            </m:r>
          </m:e>
          <m:sub>
            <m:r>
              <m:t>p</m:t>
            </m:r>
            <m:r>
              <m:t>i</m:t>
            </m:r>
            <m:r>
              <m:t>c</m:t>
            </m:r>
            <m:r>
              <m:t>o</m:t>
            </m:r>
          </m:sub>
        </m:sSub>
        <m:r>
          <m:rPr>
            <m:sty m:val="p"/>
          </m:rPr>
          <m:t>]</m:t>
        </m:r>
      </m:oMath>
      <w:r>
        <w:rPr>
          <w:lang w:val="es-AR"/>
        </w:rPr>
        <w:t xml:space="preserve">, y la</w:t>
      </w:r>
      <w:r>
        <w:rPr>
          <w:lang w:val="es-AR"/>
        </w:rPr>
        <w:t xml:space="preserve"> </w:t>
      </w:r>
      <w:r>
        <w:rPr>
          <w:b/>
          <w:bCs/>
          <w:lang w:val="es-AR"/>
        </w:rPr>
        <w:t xml:space="preserve">salida</w:t>
      </w:r>
      <w:r>
        <w:rPr>
          <w:lang w:val="es-AR"/>
        </w:rPr>
        <w:t xml:space="preserve">, en</w:t>
      </w:r>
      <w:r>
        <w:rPr>
          <w:lang w:val="es-AR"/>
        </w:rPr>
        <w:t xml:space="preserve"> </w:t>
      </w:r>
      <m:oMath>
        <m:r>
          <m:rPr>
            <m:sty m:val="p"/>
          </m:rPr>
          <m:t>[</m:t>
        </m:r>
        <m:sSub>
          <m:e>
            <m:r>
              <m:t>t</m:t>
            </m:r>
          </m:e>
          <m:sub>
            <m:r>
              <m:t>p</m:t>
            </m:r>
            <m:r>
              <m:t>i</m:t>
            </m:r>
            <m:r>
              <m:t>c</m:t>
            </m:r>
            <m:r>
              <m:t>o</m:t>
            </m:r>
          </m:sub>
        </m:sSub>
        <m:r>
          <m:rPr>
            <m:sty m:val="p"/>
          </m:rPr>
          <m:t>;</m:t>
        </m:r>
        <m:r>
          <m:t>46</m:t>
        </m:r>
        <m:r>
          <m:rPr>
            <m:sty m:val="p"/>
          </m:rPr>
          <m:t>]</m:t>
        </m:r>
      </m:oMath>
      <w:r>
        <w:rPr>
          <w:lang w:val="es-AR"/>
        </w:rPr>
        <w:t xml:space="preserve">. En ambos intervalos se verifica el cambio de signo, por lo que se aplicó la Bisección. Newton-Raphson no puede iniciarse en</w:t>
      </w:r>
      <w:r>
        <w:rPr>
          <w:lang w:val="es-AR"/>
        </w:rPr>
        <w:t xml:space="preserve"> </w:t>
      </w:r>
      <m:oMath>
        <m:sSub>
          <m:e>
            <m:r>
              <m:t>t</m:t>
            </m:r>
          </m:e>
          <m:sub>
            <m:r>
              <m:t>p</m:t>
            </m:r>
            <m:r>
              <m:t>i</m:t>
            </m:r>
            <m:r>
              <m:t>c</m:t>
            </m:r>
            <m:r>
              <m:t>o</m:t>
            </m:r>
          </m:sub>
        </m:sSub>
      </m:oMath>
      <w:r>
        <w:rPr>
          <w:lang w:val="es-AR"/>
        </w:rPr>
        <w:t xml:space="preserve">, porque allí</w:t>
      </w:r>
      <w:r>
        <w:rPr>
          <w:lang w:val="es-AR"/>
        </w:rPr>
        <w:t xml:space="preserve"> </w:t>
      </w:r>
      <m:oMath>
        <m:sSup>
          <m:e>
            <m:r>
              <m:t>g</m:t>
            </m:r>
          </m:e>
          <m:sup>
            <m:r>
              <m:rPr>
                <m:sty m:val="p"/>
              </m:rPr>
              <m:t>′</m:t>
            </m:r>
          </m:sup>
        </m:sSup>
        <m:r>
          <m:rPr>
            <m:sty m:val="p"/>
          </m:rPr>
          <m:t>(</m:t>
        </m:r>
        <m:r>
          <m:t>t</m:t>
        </m:r>
        <m:r>
          <m:rPr>
            <m:sty m:val="p"/>
          </m:rPr>
          <m:t>)</m:t>
        </m:r>
        <m:r>
          <m:rPr>
            <m:sty m:val="p"/>
          </m:rPr>
          <m:t>=</m:t>
        </m:r>
        <m:r>
          <m:t>0</m:t>
        </m:r>
      </m:oMath>
      <w:r>
        <w:rPr>
          <w:lang w:val="es-AR"/>
        </w:rPr>
        <w:t xml:space="preserve"> </w:t>
      </w:r>
      <w:r>
        <w:rPr>
          <w:lang w:val="es-AR"/>
        </w:rPr>
        <w:t xml:space="preserve">y la recta tangente es horizontal; por eso se inició en los extremos alejados del pico,</w:t>
      </w:r>
      <w:r>
        <w:rPr>
          <w:lang w:val="es-AR"/>
        </w:rPr>
        <w:t xml:space="preserve"> </w:t>
      </w:r>
      <m:oMath>
        <m:sSub>
          <m:e>
            <m:r>
              <m:t>t</m:t>
            </m:r>
          </m:e>
          <m:sub>
            <m:r>
              <m:t>0</m:t>
            </m:r>
          </m:sub>
        </m:sSub>
        <m:r>
          <m:rPr>
            <m:sty m:val="p"/>
          </m:rPr>
          <m:t>=</m:t>
        </m:r>
        <m:r>
          <m:t>0</m:t>
        </m:r>
      </m:oMath>
      <w:r>
        <w:rPr>
          <w:lang w:val="es-AR"/>
        </w:rPr>
        <w:t xml:space="preserve"> </w:t>
      </w:r>
      <w:r>
        <w:rPr>
          <w:lang w:val="es-AR"/>
        </w:rPr>
        <w:t xml:space="preserve">y</w:t>
      </w:r>
      <w:r>
        <w:rPr>
          <w:lang w:val="es-AR"/>
        </w:rPr>
        <w:t xml:space="preserve"> </w:t>
      </w:r>
      <m:oMath>
        <m:sSub>
          <m:e>
            <m:r>
              <m:t>t</m:t>
            </m:r>
          </m:e>
          <m:sub>
            <m:r>
              <m:t>0</m:t>
            </m:r>
          </m:sub>
        </m:sSub>
        <m:r>
          <m:rPr>
            <m:sty m:val="p"/>
          </m:rPr>
          <m:t>=</m:t>
        </m:r>
        <m:r>
          <m:t>46</m:t>
        </m:r>
      </m:oMath>
      <w:r>
        <w:rPr>
          <w:lang w:val="es-AR"/>
        </w:rPr>
        <w:t xml:space="preserve">. La Tabla 13 resume los resultados y la Tabla 14 detalla las iteraciones de Newton-Raphson para la primera raíz.</w:t>
      </w:r>
    </w:p>
    <w:p>
      <w:pPr>
        <w:pStyle w:val="TableCaption"/>
      </w:pPr>
      <w:r>
        <w:rPr>
          <w:lang w:val="es-AR"/>
        </w:rPr>
        <w:t xml:space="preserve">Tabla 13. Raíces de</w:t>
      </w:r>
      <w:r>
        <w:rPr>
          <w:lang w:val="es-AR"/>
        </w:rPr>
        <w:t xml:space="preserve"> </w:t>
      </w:r>
      <m:oMath>
        <m:r>
          <m:t>g</m:t>
        </m:r>
        <m:r>
          <m:rPr>
            <m:sty m:val="p"/>
          </m:rPr>
          <m:t>(</m:t>
        </m:r>
        <m:r>
          <m:t>t</m:t>
        </m:r>
        <m:r>
          <m:rPr>
            <m:sty m:val="p"/>
          </m:rPr>
          <m:t>)</m:t>
        </m:r>
        <m:r>
          <m:rPr>
            <m:sty m:val="p"/>
          </m:rPr>
          <m:t>=</m:t>
        </m:r>
        <m:sSup>
          <m:e>
            <m:acc>
              <m:accPr>
                <m:chr m:val="̂"/>
              </m:accPr>
              <m:e>
                <m:r>
                  <m:t>S</m:t>
                </m:r>
              </m:e>
            </m:acc>
          </m:e>
          <m:sup>
            <m:r>
              <m:rPr>
                <m:sty m:val="p"/>
              </m:rPr>
              <m:t>′</m:t>
            </m:r>
          </m:sup>
        </m:sSup>
        <m:r>
          <m:rPr>
            <m:sty m:val="p"/>
          </m:rPr>
          <m:t>(</m:t>
        </m:r>
        <m:r>
          <m:t>t</m:t>
        </m:r>
        <m:r>
          <m:rPr>
            <m:sty m:val="p"/>
          </m:rPr>
          <m:t>)</m:t>
        </m:r>
        <m:r>
          <m:rPr>
            <m:sty m:val="p"/>
          </m:rPr>
          <m:t>−</m:t>
        </m:r>
        <m:sSub>
          <m:e>
            <m:r>
              <m:t>C</m:t>
            </m:r>
          </m:e>
          <m:sub>
            <m:r>
              <m:t>s</m:t>
            </m:r>
          </m:sub>
        </m:sSub>
      </m:oMath>
      <w:r>
        <w:rPr>
          <w:lang w:val="es-AR"/>
        </w:rPr>
        <w:t xml:space="preserve"> </w:t>
      </w:r>
      <w:r>
        <w:rPr>
          <w:lang w:val="es-AR"/>
        </w:rPr>
        <w:t xml:space="preserve">para</w:t>
      </w:r>
      <w:r>
        <w:rPr>
          <w:lang w:val="es-AR"/>
        </w:rPr>
        <w:t xml:space="preserve"> </w:t>
      </w:r>
      <m:oMath>
        <m:r>
          <m:t>C</m:t>
        </m:r>
        <m:r>
          <m:rPr>
            <m:sty m:val="p"/>
          </m:rPr>
          <m:t>=</m:t>
        </m:r>
        <m:r>
          <m:t>150</m:t>
        </m:r>
      </m:oMath>
      <w:r>
        <w:rPr>
          <w:lang w:val="es-AR"/>
        </w:rPr>
        <w:t xml:space="preserve"> </w:t>
      </w:r>
      <w:r>
        <w:rPr>
          <w:lang w:val="es-AR"/>
        </w:rPr>
        <w:t xml:space="preserve">Mbps.</w:t>
      </w:r>
    </w:p>
    <w:tbl>
      <w:tblPr>
        <w:tblStyle w:val="Table"/>
        <w:tblW w:type="dxa" w:w="8784"/>
        <w:tblLook w:firstRow="1" w:lastRow="0" w:firstColumn="0" w:lastColumn="0" w:noHBand="0" w:noVBand="0" w:val="0020"/>
        <w:tblCaption w:val="Tabla 13. Raíces de g(t) = \hat S'(t) - C_s para C = 150 Mbps."/>
      </w:tblPr>
      <w:tblGrid>
        <w:gridCol w:w="878"/>
        <w:gridCol w:w="1562"/>
        <w:gridCol w:w="1562"/>
        <w:gridCol w:w="1269"/>
        <w:gridCol w:w="1073"/>
        <w:gridCol w:w="2440"/>
      </w:tblGrid>
      <w:tr>
        <w:trPr>
          <w:tblHeader w:val="on"/>
        </w:trPr>
        <w:tc>
          <w:tcPr>
            <w:tcW w:type="dxa" w:w="878"/>
          </w:tcPr>
          <w:p>
            <w:pPr>
              <w:pStyle w:val="TableText"/>
              <w:jc w:val="center"/>
            </w:pPr>
            <w:r>
              <w:rPr>
                <w:lang w:val="es-AR"/>
              </w:rPr>
              <w:t xml:space="preserve">Raíz</w:t>
            </w:r>
          </w:p>
        </w:tc>
        <w:tc>
          <w:tcPr>
            <w:tcW w:type="dxa" w:w="1562"/>
          </w:tcPr>
          <w:p>
            <w:pPr>
              <w:pStyle w:val="TableText"/>
              <w:jc w:val="center"/>
            </w:pPr>
            <w:r>
              <w:rPr>
                <w:lang w:val="es-AR"/>
              </w:rPr>
              <w:t xml:space="preserve">Intervalo</w:t>
            </w:r>
          </w:p>
        </w:tc>
        <w:tc>
          <w:tcPr>
            <w:tcW w:type="dxa" w:w="1562"/>
          </w:tcPr>
          <w:p>
            <w:pPr>
              <w:pStyle w:val="TableText"/>
              <w:jc w:val="left"/>
            </w:pPr>
            <w:r>
              <w:rPr>
                <w:lang w:val="es-AR"/>
              </w:rPr>
              <w:t xml:space="preserve">Método</w:t>
            </w:r>
          </w:p>
        </w:tc>
        <w:tc>
          <w:tcPr>
            <w:tcW w:type="dxa" w:w="1269"/>
          </w:tcPr>
          <w:p>
            <w:pPr>
              <w:pStyle w:val="TableText"/>
              <w:jc w:val="center"/>
            </w:pPr>
            <w:r>
              <w:rPr>
                <w:lang w:val="es-AR"/>
              </w:rPr>
              <w:t xml:space="preserve">Iteraciones</w:t>
            </w:r>
          </w:p>
        </w:tc>
        <w:tc>
          <w:tcPr>
            <w:tcW w:type="dxa" w:w="1073"/>
          </w:tcPr>
          <w:p>
            <w:pPr>
              <w:pStyle w:val="TableText"/>
              <w:jc w:val="center"/>
            </w:pPr>
            <m:oMath>
              <m:r>
                <m:t>t</m:t>
              </m:r>
            </m:oMath>
            <w:r>
              <w:rPr>
                <w:lang w:val="es-AR"/>
              </w:rPr>
              <w:t xml:space="preserve"> </w:t>
            </w:r>
            <w:r>
              <w:rPr>
                <w:lang w:val="es-AR"/>
              </w:rPr>
              <w:t xml:space="preserve">(semanas)</w:t>
            </w:r>
          </w:p>
        </w:tc>
        <w:tc>
          <w:tcPr>
            <w:tcW w:type="dxa" w:w="2440"/>
          </w:tcPr>
          <w:p>
            <w:pPr>
              <w:pStyle w:val="TableText"/>
              <w:jc w:val="center"/>
            </w:pPr>
            <w:r>
              <w:rPr>
                <w:lang w:val="es-AR"/>
              </w:rPr>
              <w:t xml:space="preserve">Fecha estimada</w:t>
            </w:r>
          </w:p>
        </w:tc>
      </w:tr>
      <w:tr>
        <w:tc>
          <w:tcPr>
            <w:tcW w:type="dxa" w:w="878"/>
          </w:tcPr>
          <w:p>
            <w:pPr>
              <w:pStyle w:val="TableText"/>
              <w:jc w:val="center"/>
            </w:pPr>
            <w:r>
              <w:rPr>
                <w:lang w:val="es-AR"/>
              </w:rPr>
              <w:t xml:space="preserve">Entrada</w:t>
            </w:r>
          </w:p>
        </w:tc>
        <w:tc>
          <w:tcPr>
            <w:tcW w:type="dxa" w:w="1562"/>
          </w:tcPr>
          <w:p>
            <w:pPr>
              <w:pStyle w:val="TableText"/>
              <w:jc w:val="center"/>
            </w:pPr>
            <w:r>
              <w:rPr>
                <w:lang w:val="es-AR"/>
              </w:rPr>
              <w:t xml:space="preserve">[0,00; 30,59]</w:t>
            </w:r>
          </w:p>
        </w:tc>
        <w:tc>
          <w:tcPr>
            <w:tcW w:type="dxa" w:w="1562"/>
          </w:tcPr>
          <w:p>
            <w:pPr>
              <w:pStyle w:val="TableText"/>
              <w:jc w:val="left"/>
            </w:pPr>
            <w:r>
              <w:rPr>
                <w:lang w:val="es-AR"/>
              </w:rPr>
              <w:t xml:space="preserve">Bisección</w:t>
            </w:r>
          </w:p>
        </w:tc>
        <w:tc>
          <w:tcPr>
            <w:tcW w:type="dxa" w:w="1269"/>
          </w:tcPr>
          <w:p>
            <w:pPr>
              <w:pStyle w:val="TableText"/>
              <w:jc w:val="center"/>
            </w:pPr>
            <w:r>
              <w:rPr>
                <w:lang w:val="es-AR"/>
              </w:rPr>
              <w:t xml:space="preserve">21</w:t>
            </w:r>
          </w:p>
        </w:tc>
        <w:tc>
          <w:tcPr>
            <w:tcW w:type="dxa" w:w="1073"/>
          </w:tcPr>
          <w:p>
            <w:pPr>
              <w:pStyle w:val="TableText"/>
              <w:jc w:val="center"/>
            </w:pPr>
            <w:r>
              <w:rPr>
                <w:lang w:val="es-AR"/>
              </w:rPr>
              <w:t xml:space="preserve">18,182622</w:t>
            </w:r>
          </w:p>
        </w:tc>
        <w:tc>
          <w:tcPr>
            <w:tcW w:type="dxa" w:w="2440"/>
          </w:tcPr>
          <w:p>
            <w:pPr>
              <w:pStyle w:val="TableText"/>
              <w:jc w:val="center"/>
            </w:pPr>
            <w:r>
              <w:rPr>
                <w:lang w:val="es-AR"/>
              </w:rPr>
              <w:t xml:space="preserve">2 de junio de 2023</w:t>
            </w:r>
          </w:p>
        </w:tc>
      </w:tr>
      <w:tr>
        <w:tc>
          <w:tcPr>
            <w:tcW w:type="dxa" w:w="878"/>
          </w:tcPr>
          <w:p>
            <w:pPr>
              <w:pStyle w:val="TableText"/>
              <w:jc w:val="center"/>
            </w:pPr>
            <w:r>
              <w:rPr>
                <w:lang w:val="es-AR"/>
              </w:rPr>
              <w:t xml:space="preserve">Entrada</w:t>
            </w:r>
          </w:p>
        </w:tc>
        <w:tc>
          <w:tcPr>
            <w:tcW w:type="dxa" w:w="1562"/>
          </w:tcPr>
          <w:p>
            <w:pPr>
              <w:pStyle w:val="TableText"/>
              <w:jc w:val="center"/>
            </w:pPr>
            <w:r>
              <w:rPr>
                <w:lang w:val="es-AR"/>
              </w:rPr>
              <w:t xml:space="preserve">t0 = 0</w:t>
            </w:r>
          </w:p>
        </w:tc>
        <w:tc>
          <w:tcPr>
            <w:tcW w:type="dxa" w:w="1562"/>
          </w:tcPr>
          <w:p>
            <w:pPr>
              <w:pStyle w:val="TableText"/>
              <w:jc w:val="left"/>
            </w:pPr>
            <w:r>
              <w:rPr>
                <w:lang w:val="es-AR"/>
              </w:rPr>
              <w:t xml:space="preserve">Newton-Raphson</w:t>
            </w:r>
          </w:p>
        </w:tc>
        <w:tc>
          <w:tcPr>
            <w:tcW w:type="dxa" w:w="1269"/>
          </w:tcPr>
          <w:p>
            <w:pPr>
              <w:pStyle w:val="TableText"/>
              <w:jc w:val="center"/>
            </w:pPr>
            <w:r>
              <w:rPr>
                <w:lang w:val="es-AR"/>
              </w:rPr>
              <w:t xml:space="preserve">6</w:t>
            </w:r>
          </w:p>
        </w:tc>
        <w:tc>
          <w:tcPr>
            <w:tcW w:type="dxa" w:w="1073"/>
          </w:tcPr>
          <w:p>
            <w:pPr>
              <w:pStyle w:val="TableText"/>
              <w:jc w:val="center"/>
            </w:pPr>
            <w:r>
              <w:rPr>
                <w:lang w:val="es-AR"/>
              </w:rPr>
              <w:t xml:space="preserve">18,182615</w:t>
            </w:r>
          </w:p>
        </w:tc>
        <w:tc>
          <w:tcPr>
            <w:tcW w:type="dxa" w:w="2440"/>
          </w:tcPr>
          <w:p>
            <w:pPr>
              <w:pStyle w:val="TableText"/>
              <w:jc w:val="center"/>
            </w:pPr>
            <w:r>
              <w:rPr>
                <w:lang w:val="es-AR"/>
              </w:rPr>
              <w:t xml:space="preserve">2 de junio de 2023</w:t>
            </w:r>
          </w:p>
        </w:tc>
      </w:tr>
      <w:tr>
        <w:tc>
          <w:tcPr>
            <w:tcW w:type="dxa" w:w="878"/>
          </w:tcPr>
          <w:p>
            <w:pPr>
              <w:pStyle w:val="TableText"/>
              <w:jc w:val="center"/>
            </w:pPr>
            <w:r>
              <w:rPr>
                <w:lang w:val="es-AR"/>
              </w:rPr>
              <w:t xml:space="preserve">Salida</w:t>
            </w:r>
          </w:p>
        </w:tc>
        <w:tc>
          <w:tcPr>
            <w:tcW w:type="dxa" w:w="1562"/>
          </w:tcPr>
          <w:p>
            <w:pPr>
              <w:pStyle w:val="TableText"/>
              <w:jc w:val="center"/>
            </w:pPr>
            <w:r>
              <w:rPr>
                <w:lang w:val="es-AR"/>
              </w:rPr>
              <w:t xml:space="preserve">[30,59; 46,00]</w:t>
            </w:r>
          </w:p>
        </w:tc>
        <w:tc>
          <w:tcPr>
            <w:tcW w:type="dxa" w:w="1562"/>
          </w:tcPr>
          <w:p>
            <w:pPr>
              <w:pStyle w:val="TableText"/>
              <w:jc w:val="left"/>
            </w:pPr>
            <w:r>
              <w:rPr>
                <w:lang w:val="es-AR"/>
              </w:rPr>
              <w:t xml:space="preserve">Bisección</w:t>
            </w:r>
          </w:p>
        </w:tc>
        <w:tc>
          <w:tcPr>
            <w:tcW w:type="dxa" w:w="1269"/>
          </w:tcPr>
          <w:p>
            <w:pPr>
              <w:pStyle w:val="TableText"/>
              <w:jc w:val="center"/>
            </w:pPr>
            <w:r>
              <w:rPr>
                <w:lang w:val="es-AR"/>
              </w:rPr>
              <w:t xml:space="preserve">19</w:t>
            </w:r>
          </w:p>
        </w:tc>
        <w:tc>
          <w:tcPr>
            <w:tcW w:type="dxa" w:w="1073"/>
          </w:tcPr>
          <w:p>
            <w:pPr>
              <w:pStyle w:val="TableText"/>
              <w:jc w:val="center"/>
            </w:pPr>
            <w:r>
              <w:rPr>
                <w:lang w:val="es-AR"/>
              </w:rPr>
              <w:t xml:space="preserve">42,988779</w:t>
            </w:r>
          </w:p>
        </w:tc>
        <w:tc>
          <w:tcPr>
            <w:tcW w:type="dxa" w:w="2440"/>
          </w:tcPr>
          <w:p>
            <w:pPr>
              <w:pStyle w:val="TableText"/>
              <w:jc w:val="center"/>
            </w:pPr>
            <w:r>
              <w:rPr>
                <w:lang w:val="es-AR"/>
              </w:rPr>
              <w:t xml:space="preserve">23 de noviembre de 2023</w:t>
            </w:r>
          </w:p>
        </w:tc>
      </w:tr>
      <w:tr>
        <w:tc>
          <w:tcPr>
            <w:tcW w:type="dxa" w:w="878"/>
          </w:tcPr>
          <w:p>
            <w:pPr>
              <w:pStyle w:val="TableText"/>
              <w:jc w:val="center"/>
            </w:pPr>
            <w:r>
              <w:rPr>
                <w:lang w:val="es-AR"/>
              </w:rPr>
              <w:t xml:space="preserve">Salida</w:t>
            </w:r>
          </w:p>
        </w:tc>
        <w:tc>
          <w:tcPr>
            <w:tcW w:type="dxa" w:w="1562"/>
          </w:tcPr>
          <w:p>
            <w:pPr>
              <w:pStyle w:val="TableText"/>
              <w:jc w:val="center"/>
            </w:pPr>
            <w:r>
              <w:rPr>
                <w:lang w:val="es-AR"/>
              </w:rPr>
              <w:t xml:space="preserve">t0 = 46</w:t>
            </w:r>
          </w:p>
        </w:tc>
        <w:tc>
          <w:tcPr>
            <w:tcW w:type="dxa" w:w="1562"/>
          </w:tcPr>
          <w:p>
            <w:pPr>
              <w:pStyle w:val="TableText"/>
              <w:jc w:val="left"/>
            </w:pPr>
            <w:r>
              <w:rPr>
                <w:lang w:val="es-AR"/>
              </w:rPr>
              <w:t xml:space="preserve">Newton-Raphson</w:t>
            </w:r>
          </w:p>
        </w:tc>
        <w:tc>
          <w:tcPr>
            <w:tcW w:type="dxa" w:w="1269"/>
          </w:tcPr>
          <w:p>
            <w:pPr>
              <w:pStyle w:val="TableText"/>
              <w:jc w:val="center"/>
            </w:pPr>
            <w:r>
              <w:rPr>
                <w:lang w:val="es-AR"/>
              </w:rPr>
              <w:t xml:space="preserve">4</w:t>
            </w:r>
          </w:p>
        </w:tc>
        <w:tc>
          <w:tcPr>
            <w:tcW w:type="dxa" w:w="1073"/>
          </w:tcPr>
          <w:p>
            <w:pPr>
              <w:pStyle w:val="TableText"/>
              <w:jc w:val="center"/>
            </w:pPr>
            <w:r>
              <w:rPr>
                <w:lang w:val="es-AR"/>
              </w:rPr>
              <w:t xml:space="preserve">42,988801</w:t>
            </w:r>
          </w:p>
        </w:tc>
        <w:tc>
          <w:tcPr>
            <w:tcW w:type="dxa" w:w="2440"/>
          </w:tcPr>
          <w:p>
            <w:pPr>
              <w:pStyle w:val="TableText"/>
              <w:jc w:val="center"/>
            </w:pPr>
            <w:r>
              <w:rPr>
                <w:lang w:val="es-AR"/>
              </w:rPr>
              <w:t xml:space="preserve">23 de noviembre de 2023</w:t>
            </w:r>
          </w:p>
        </w:tc>
      </w:tr>
    </w:tbl>
    <w:p/>
    <w:p>
      <w:pPr>
        <w:pStyle w:val="TableCaption"/>
      </w:pPr>
      <w:r>
        <w:rPr>
          <w:lang w:val="es-AR"/>
        </w:rPr>
        <w:t xml:space="preserve">Tabla 14. Método de Newton-Raphson aplicado a</w:t>
      </w:r>
      <w:r>
        <w:rPr>
          <w:lang w:val="es-AR"/>
        </w:rPr>
        <w:t xml:space="preserve"> </w:t>
      </w:r>
      <m:oMath>
        <m:r>
          <m:t>g</m:t>
        </m:r>
        <m:r>
          <m:rPr>
            <m:sty m:val="p"/>
          </m:rPr>
          <m:t>(</m:t>
        </m:r>
        <m:r>
          <m:t>t</m:t>
        </m:r>
        <m:r>
          <m:rPr>
            <m:sty m:val="p"/>
          </m:rPr>
          <m:t>)</m:t>
        </m:r>
      </m:oMath>
      <w:r>
        <w:rPr>
          <w:lang w:val="es-AR"/>
        </w:rPr>
        <w:t xml:space="preserve"> </w:t>
      </w:r>
      <w:r>
        <w:rPr>
          <w:lang w:val="es-AR"/>
        </w:rPr>
        <w:t xml:space="preserve">con</w:t>
      </w:r>
      <w:r>
        <w:rPr>
          <w:lang w:val="es-AR"/>
        </w:rPr>
        <w:t xml:space="preserve"> </w:t>
      </w:r>
      <m:oMath>
        <m:sSub>
          <m:e>
            <m:r>
              <m:t>t</m:t>
            </m:r>
          </m:e>
          <m:sub>
            <m:r>
              <m:t>0</m:t>
            </m:r>
          </m:sub>
        </m:sSub>
        <m:r>
          <m:rPr>
            <m:sty m:val="p"/>
          </m:rPr>
          <m:t>=</m:t>
        </m:r>
        <m:r>
          <m:t>0</m:t>
        </m:r>
      </m:oMath>
      <w:r>
        <w:rPr>
          <w:lang w:val="es-AR"/>
        </w:rPr>
        <w:t xml:space="preserve">.</w:t>
      </w:r>
    </w:p>
    <w:tbl>
      <w:tblPr>
        <w:tblStyle w:val="Table"/>
        <w:tblW w:type="dxa" w:w="8320"/>
        <w:tblLook w:firstRow="1" w:lastRow="0" w:firstColumn="0" w:lastColumn="0" w:noHBand="0" w:noVBand="0" w:val="0020"/>
        <w:tblCaption w:val="Tabla 14. Método de Newton-Raphson aplicado a g(t) con t_0 = 0."/>
      </w:tblPr>
      <w:tblGrid>
        <w:gridCol w:w="520"/>
        <w:gridCol w:w="1430"/>
        <w:gridCol w:w="1560"/>
        <w:gridCol w:w="1820"/>
        <w:gridCol w:w="1430"/>
        <w:gridCol w:w="1560"/>
      </w:tblGrid>
      <w:tr>
        <w:trPr>
          <w:tblHeader w:val="on"/>
        </w:trPr>
        <w:tc>
          <w:tcPr>
            <w:tcW w:type="dxa" w:w="520"/>
          </w:tcPr>
          <w:p>
            <w:pPr>
              <w:pStyle w:val="TableText"/>
              <w:jc w:val="center"/>
            </w:pPr>
            <m:oMath>
              <m:r>
                <m:t>i</m:t>
              </m:r>
            </m:oMath>
            <w:r>
              <w:rPr>
                <w:lang w:val="es-AR"/>
              </w:rPr>
              <w:t xml:space="preserve">​</w:t>
            </w:r>
          </w:p>
        </w:tc>
        <w:tc>
          <w:tcPr>
            <w:tcW w:type="dxa" w:w="1430"/>
          </w:tcPr>
          <w:p>
            <w:pPr>
              <w:pStyle w:val="TableText"/>
              <w:jc w:val="center"/>
            </w:pPr>
            <m:oMath>
              <m:sSub>
                <m:e>
                  <m:r>
                    <m:t>t</m:t>
                  </m:r>
                </m:e>
                <m:sub>
                  <m:r>
                    <m:t>i</m:t>
                  </m:r>
                </m:sub>
              </m:sSub>
            </m:oMath>
            <w:r>
              <w:rPr>
                <w:lang w:val="es-AR"/>
              </w:rPr>
              <w:t xml:space="preserve">​</w:t>
            </w:r>
          </w:p>
        </w:tc>
        <w:tc>
          <w:tcPr>
            <w:tcW w:type="dxa" w:w="1560"/>
          </w:tcPr>
          <w:p>
            <w:pPr>
              <w:pStyle w:val="TableText"/>
              <w:jc w:val="center"/>
            </w:pPr>
            <m:oMath>
              <m:r>
                <m:t>g</m:t>
              </m:r>
              <m:r>
                <m:rPr>
                  <m:sty m:val="p"/>
                </m:rPr>
                <m:t>(</m:t>
              </m:r>
              <m:sSub>
                <m:e>
                  <m:r>
                    <m:t>t</m:t>
                  </m:r>
                </m:e>
                <m:sub>
                  <m:r>
                    <m:t>i</m:t>
                  </m:r>
                </m:sub>
              </m:sSub>
              <m:r>
                <m:rPr>
                  <m:sty m:val="p"/>
                </m:rPr>
                <m:t>)</m:t>
              </m:r>
            </m:oMath>
            <w:r>
              <w:rPr>
                <w:lang w:val="es-AR"/>
              </w:rPr>
              <w:t xml:space="preserve">​</w:t>
            </w:r>
          </w:p>
        </w:tc>
        <w:tc>
          <w:tcPr>
            <w:tcW w:type="dxa" w:w="1820"/>
          </w:tcPr>
          <w:p>
            <w:pPr>
              <w:pStyle w:val="TableText"/>
              <w:jc w:val="center"/>
            </w:pPr>
            <m:oMath>
              <m:sSup>
                <m:e>
                  <m:r>
                    <m:t>g</m:t>
                  </m:r>
                </m:e>
                <m:sup>
                  <m:r>
                    <m:rPr>
                      <m:sty m:val="p"/>
                    </m:rPr>
                    <m:t>′</m:t>
                  </m:r>
                </m:sup>
              </m:sSup>
              <m:r>
                <m:rPr>
                  <m:sty m:val="p"/>
                </m:rPr>
                <m:t>(</m:t>
              </m:r>
              <m:sSub>
                <m:e>
                  <m:r>
                    <m:t>t</m:t>
                  </m:r>
                </m:e>
                <m:sub>
                  <m:r>
                    <m:t>i</m:t>
                  </m:r>
                </m:sub>
              </m:sSub>
              <m:r>
                <m:rPr>
                  <m:sty m:val="p"/>
                </m:rPr>
                <m:t>)</m:t>
              </m:r>
            </m:oMath>
            <w:r>
              <w:rPr>
                <w:lang w:val="es-AR"/>
              </w:rPr>
              <w:t xml:space="preserve">​</w:t>
            </w:r>
          </w:p>
        </w:tc>
        <w:tc>
          <w:tcPr>
            <w:tcW w:type="dxa" w:w="1430"/>
          </w:tcPr>
          <w:p>
            <w:pPr>
              <w:pStyle w:val="TableText"/>
              <w:jc w:val="center"/>
            </w:pPr>
            <m:oMath>
              <m:sSub>
                <m:e>
                  <m:r>
                    <m:t>t</m:t>
                  </m:r>
                </m:e>
                <m:sub>
                  <m:r>
                    <m:t>i</m:t>
                  </m:r>
                  <m:r>
                    <m:rPr>
                      <m:sty m:val="p"/>
                    </m:rPr>
                    <m:t>+</m:t>
                  </m:r>
                  <m:r>
                    <m:t>1</m:t>
                  </m:r>
                </m:sub>
              </m:sSub>
            </m:oMath>
            <w:r>
              <w:rPr>
                <w:lang w:val="es-AR"/>
              </w:rPr>
              <w:t xml:space="preserve">​</w:t>
            </w:r>
          </w:p>
        </w:tc>
        <w:tc>
          <w:tcPr>
            <w:tcW w:type="dxa" w:w="1560"/>
          </w:tcPr>
          <w:p>
            <w:pPr>
              <w:pStyle w:val="TableText"/>
              <w:jc w:val="center"/>
            </w:pPr>
            <m:oMath>
              <m:r>
                <m:rPr>
                  <m:sty m:val="p"/>
                </m:rPr>
                <m:t>|</m:t>
              </m:r>
              <m:sSub>
                <m:e>
                  <m:r>
                    <m:t>E</m:t>
                  </m:r>
                </m:e>
                <m:sub>
                  <m:r>
                    <m:t>r</m:t>
                  </m:r>
                  <m:r>
                    <m:t>a</m:t>
                  </m:r>
                </m:sub>
              </m:sSub>
              <m:r>
                <m:rPr>
                  <m:sty m:val="p"/>
                </m:rPr>
                <m:t>|</m:t>
              </m:r>
            </m:oMath>
            <w:r>
              <w:rPr>
                <w:lang w:val="es-AR"/>
              </w:rPr>
              <w:t xml:space="preserve"> </w:t>
            </w:r>
            <w:r>
              <w:rPr>
                <w:lang w:val="es-AR"/>
              </w:rPr>
              <w:t xml:space="preserve">(%)</w:t>
            </w:r>
          </w:p>
        </w:tc>
      </w:tr>
      <w:tr>
        <w:tc>
          <w:tcPr>
            <w:tcW w:type="dxa" w:w="520"/>
          </w:tcPr>
          <w:p>
            <w:pPr>
              <w:pStyle w:val="TableText"/>
              <w:jc w:val="center"/>
            </w:pPr>
            <w:r>
              <w:rPr>
                <w:lang w:val="es-AR"/>
              </w:rPr>
              <w:t xml:space="preserve">0</w:t>
            </w:r>
          </w:p>
        </w:tc>
        <w:tc>
          <w:tcPr>
            <w:tcW w:type="dxa" w:w="1430"/>
          </w:tcPr>
          <w:p>
            <w:pPr>
              <w:pStyle w:val="TableText"/>
              <w:jc w:val="center"/>
            </w:pPr>
            <w:r>
              <w:rPr>
                <w:lang w:val="es-AR"/>
              </w:rPr>
              <w:t xml:space="preserve">0,000000</w:t>
            </w:r>
          </w:p>
        </w:tc>
        <w:tc>
          <w:tcPr>
            <w:tcW w:type="dxa" w:w="1560"/>
          </w:tcPr>
          <w:p>
            <w:pPr>
              <w:pStyle w:val="TableText"/>
              <w:jc w:val="center"/>
            </w:pPr>
            <w:r>
              <w:rPr>
                <w:lang w:val="es-AR"/>
              </w:rPr>
              <w:t xml:space="preserve">−1,967225</w:t>
            </w:r>
          </w:p>
        </w:tc>
        <w:tc>
          <w:tcPr>
            <w:tcW w:type="dxa" w:w="1820"/>
          </w:tcPr>
          <w:p>
            <w:pPr>
              <w:pStyle w:val="TableText"/>
              <w:jc w:val="center"/>
            </w:pPr>
            <w:r>
              <w:rPr>
                <w:lang w:val="es-AR"/>
              </w:rPr>
              <w:t xml:space="preserve">0,153954</w:t>
            </w:r>
          </w:p>
        </w:tc>
        <w:tc>
          <w:tcPr>
            <w:tcW w:type="dxa" w:w="1430"/>
          </w:tcPr>
          <w:p>
            <w:pPr>
              <w:pStyle w:val="TableText"/>
              <w:jc w:val="center"/>
            </w:pPr>
            <w:r>
              <w:rPr>
                <w:lang w:val="es-AR"/>
              </w:rPr>
              <w:t xml:space="preserve">12,778008</w:t>
            </w:r>
          </w:p>
        </w:tc>
        <w:tc>
          <w:tcPr>
            <w:tcW w:type="dxa" w:w="1560"/>
          </w:tcPr>
          <w:p>
            <w:pPr>
              <w:pStyle w:val="TableText"/>
              <w:jc w:val="center"/>
            </w:pPr>
            <w:r>
              <w:rPr>
                <w:lang w:val="es-AR"/>
              </w:rPr>
              <w:t xml:space="preserve">100,0000</w:t>
            </w:r>
          </w:p>
        </w:tc>
      </w:tr>
      <w:tr>
        <w:tc>
          <w:tcPr>
            <w:tcW w:type="dxa" w:w="520"/>
          </w:tcPr>
          <w:p>
            <w:pPr>
              <w:pStyle w:val="TableText"/>
              <w:jc w:val="center"/>
            </w:pPr>
            <w:r>
              <w:rPr>
                <w:lang w:val="es-AR"/>
              </w:rPr>
              <w:t xml:space="preserve">1</w:t>
            </w:r>
          </w:p>
        </w:tc>
        <w:tc>
          <w:tcPr>
            <w:tcW w:type="dxa" w:w="1430"/>
          </w:tcPr>
          <w:p>
            <w:pPr>
              <w:pStyle w:val="TableText"/>
              <w:jc w:val="center"/>
            </w:pPr>
            <w:r>
              <w:rPr>
                <w:lang w:val="es-AR"/>
              </w:rPr>
              <w:t xml:space="preserve">12,778008</w:t>
            </w:r>
          </w:p>
        </w:tc>
        <w:tc>
          <w:tcPr>
            <w:tcW w:type="dxa" w:w="1560"/>
          </w:tcPr>
          <w:p>
            <w:pPr>
              <w:pStyle w:val="TableText"/>
              <w:jc w:val="center"/>
            </w:pPr>
            <w:r>
              <w:rPr>
                <w:lang w:val="es-AR"/>
              </w:rPr>
              <w:t xml:space="preserve">−0,410931</w:t>
            </w:r>
          </w:p>
        </w:tc>
        <w:tc>
          <w:tcPr>
            <w:tcW w:type="dxa" w:w="1820"/>
          </w:tcPr>
          <w:p>
            <w:pPr>
              <w:pStyle w:val="TableText"/>
              <w:jc w:val="center"/>
            </w:pPr>
            <w:r>
              <w:rPr>
                <w:lang w:val="es-AR"/>
              </w:rPr>
              <w:t xml:space="preserve">0,089636</w:t>
            </w:r>
          </w:p>
        </w:tc>
        <w:tc>
          <w:tcPr>
            <w:tcW w:type="dxa" w:w="1430"/>
          </w:tcPr>
          <w:p>
            <w:pPr>
              <w:pStyle w:val="TableText"/>
              <w:jc w:val="center"/>
            </w:pPr>
            <w:r>
              <w:rPr>
                <w:lang w:val="es-AR"/>
              </w:rPr>
              <w:t xml:space="preserve">17,362470</w:t>
            </w:r>
          </w:p>
        </w:tc>
        <w:tc>
          <w:tcPr>
            <w:tcW w:type="dxa" w:w="1560"/>
          </w:tcPr>
          <w:p>
            <w:pPr>
              <w:pStyle w:val="TableText"/>
              <w:jc w:val="center"/>
            </w:pPr>
            <w:r>
              <w:rPr>
                <w:lang w:val="es-AR"/>
              </w:rPr>
              <w:t xml:space="preserve">26,4044</w:t>
            </w:r>
          </w:p>
        </w:tc>
      </w:tr>
      <w:tr>
        <w:tc>
          <w:tcPr>
            <w:tcW w:type="dxa" w:w="520"/>
          </w:tcPr>
          <w:p>
            <w:pPr>
              <w:pStyle w:val="TableText"/>
              <w:jc w:val="center"/>
            </w:pPr>
            <w:r>
              <w:rPr>
                <w:lang w:val="es-AR"/>
              </w:rPr>
              <w:t xml:space="preserve">2</w:t>
            </w:r>
          </w:p>
        </w:tc>
        <w:tc>
          <w:tcPr>
            <w:tcW w:type="dxa" w:w="1430"/>
          </w:tcPr>
          <w:p>
            <w:pPr>
              <w:pStyle w:val="TableText"/>
              <w:jc w:val="center"/>
            </w:pPr>
            <w:r>
              <w:rPr>
                <w:lang w:val="es-AR"/>
              </w:rPr>
              <w:t xml:space="preserve">17,362470</w:t>
            </w:r>
          </w:p>
        </w:tc>
        <w:tc>
          <w:tcPr>
            <w:tcW w:type="dxa" w:w="1560"/>
          </w:tcPr>
          <w:p>
            <w:pPr>
              <w:pStyle w:val="TableText"/>
              <w:jc w:val="center"/>
            </w:pPr>
            <w:r>
              <w:rPr>
                <w:lang w:val="es-AR"/>
              </w:rPr>
              <w:t xml:space="preserve">−0,052896</w:t>
            </w:r>
          </w:p>
        </w:tc>
        <w:tc>
          <w:tcPr>
            <w:tcW w:type="dxa" w:w="1820"/>
          </w:tcPr>
          <w:p>
            <w:pPr>
              <w:pStyle w:val="TableText"/>
              <w:jc w:val="center"/>
            </w:pPr>
            <w:r>
              <w:rPr>
                <w:lang w:val="es-AR"/>
              </w:rPr>
              <w:t xml:space="preserve">0,066560</w:t>
            </w:r>
          </w:p>
        </w:tc>
        <w:tc>
          <w:tcPr>
            <w:tcW w:type="dxa" w:w="1430"/>
          </w:tcPr>
          <w:p>
            <w:pPr>
              <w:pStyle w:val="TableText"/>
              <w:jc w:val="center"/>
            </w:pPr>
            <w:r>
              <w:rPr>
                <w:lang w:val="es-AR"/>
              </w:rPr>
              <w:t xml:space="preserve">18,157181</w:t>
            </w:r>
          </w:p>
        </w:tc>
        <w:tc>
          <w:tcPr>
            <w:tcW w:type="dxa" w:w="1560"/>
          </w:tcPr>
          <w:p>
            <w:pPr>
              <w:pStyle w:val="TableText"/>
              <w:jc w:val="center"/>
            </w:pPr>
            <w:r>
              <w:rPr>
                <w:lang w:val="es-AR"/>
              </w:rPr>
              <w:t xml:space="preserve">4,3768</w:t>
            </w:r>
          </w:p>
        </w:tc>
      </w:tr>
      <w:tr>
        <w:tc>
          <w:tcPr>
            <w:tcW w:type="dxa" w:w="520"/>
          </w:tcPr>
          <w:p>
            <w:pPr>
              <w:pStyle w:val="TableText"/>
              <w:jc w:val="center"/>
            </w:pPr>
            <w:r>
              <w:rPr>
                <w:lang w:val="es-AR"/>
              </w:rPr>
              <w:t xml:space="preserve">3</w:t>
            </w:r>
          </w:p>
        </w:tc>
        <w:tc>
          <w:tcPr>
            <w:tcW w:type="dxa" w:w="1430"/>
          </w:tcPr>
          <w:p>
            <w:pPr>
              <w:pStyle w:val="TableText"/>
              <w:jc w:val="center"/>
            </w:pPr>
            <w:r>
              <w:rPr>
                <w:lang w:val="es-AR"/>
              </w:rPr>
              <w:t xml:space="preserve">18,157181</w:t>
            </w:r>
          </w:p>
        </w:tc>
        <w:tc>
          <w:tcPr>
            <w:tcW w:type="dxa" w:w="1560"/>
          </w:tcPr>
          <w:p>
            <w:pPr>
              <w:pStyle w:val="TableText"/>
              <w:jc w:val="center"/>
            </w:pPr>
            <w:r>
              <w:rPr>
                <w:lang w:val="es-AR"/>
              </w:rPr>
              <w:t xml:space="preserve">−0,001590</w:t>
            </w:r>
          </w:p>
        </w:tc>
        <w:tc>
          <w:tcPr>
            <w:tcW w:type="dxa" w:w="1820"/>
          </w:tcPr>
          <w:p>
            <w:pPr>
              <w:pStyle w:val="TableText"/>
              <w:jc w:val="center"/>
            </w:pPr>
            <w:r>
              <w:rPr>
                <w:lang w:val="es-AR"/>
              </w:rPr>
              <w:t xml:space="preserve">0,062559</w:t>
            </w:r>
          </w:p>
        </w:tc>
        <w:tc>
          <w:tcPr>
            <w:tcW w:type="dxa" w:w="1430"/>
          </w:tcPr>
          <w:p>
            <w:pPr>
              <w:pStyle w:val="TableText"/>
              <w:jc w:val="center"/>
            </w:pPr>
            <w:r>
              <w:rPr>
                <w:lang w:val="es-AR"/>
              </w:rPr>
              <w:t xml:space="preserve">18,182589</w:t>
            </w:r>
          </w:p>
        </w:tc>
        <w:tc>
          <w:tcPr>
            <w:tcW w:type="dxa" w:w="1560"/>
          </w:tcPr>
          <w:p>
            <w:pPr>
              <w:pStyle w:val="TableText"/>
              <w:jc w:val="center"/>
            </w:pPr>
            <w:r>
              <w:rPr>
                <w:lang w:val="es-AR"/>
              </w:rPr>
              <w:t xml:space="preserve">0,1397</w:t>
            </w:r>
          </w:p>
        </w:tc>
      </w:tr>
      <w:tr>
        <w:tc>
          <w:tcPr>
            <w:tcW w:type="dxa" w:w="520"/>
          </w:tcPr>
          <w:p>
            <w:pPr>
              <w:pStyle w:val="TableText"/>
              <w:jc w:val="center"/>
            </w:pPr>
            <w:r>
              <w:rPr>
                <w:lang w:val="es-AR"/>
              </w:rPr>
              <w:t xml:space="preserve">4</w:t>
            </w:r>
          </w:p>
        </w:tc>
        <w:tc>
          <w:tcPr>
            <w:tcW w:type="dxa" w:w="1430"/>
          </w:tcPr>
          <w:p>
            <w:pPr>
              <w:pStyle w:val="TableText"/>
              <w:jc w:val="center"/>
            </w:pPr>
            <w:r>
              <w:rPr>
                <w:lang w:val="es-AR"/>
              </w:rPr>
              <w:t xml:space="preserve">18,182589</w:t>
            </w:r>
          </w:p>
        </w:tc>
        <w:tc>
          <w:tcPr>
            <w:tcW w:type="dxa" w:w="1560"/>
          </w:tcPr>
          <w:p>
            <w:pPr>
              <w:pStyle w:val="TableText"/>
              <w:jc w:val="center"/>
            </w:pPr>
            <w:r>
              <w:rPr>
                <w:lang w:val="es-AR"/>
              </w:rPr>
              <w:t xml:space="preserve">−0,000002</w:t>
            </w:r>
          </w:p>
        </w:tc>
        <w:tc>
          <w:tcPr>
            <w:tcW w:type="dxa" w:w="1820"/>
          </w:tcPr>
          <w:p>
            <w:pPr>
              <w:pStyle w:val="TableText"/>
              <w:jc w:val="center"/>
            </w:pPr>
            <w:r>
              <w:rPr>
                <w:lang w:val="es-AR"/>
              </w:rPr>
              <w:t xml:space="preserve">0,062431</w:t>
            </w:r>
          </w:p>
        </w:tc>
        <w:tc>
          <w:tcPr>
            <w:tcW w:type="dxa" w:w="1430"/>
          </w:tcPr>
          <w:p>
            <w:pPr>
              <w:pStyle w:val="TableText"/>
              <w:jc w:val="center"/>
            </w:pPr>
            <w:r>
              <w:rPr>
                <w:lang w:val="es-AR"/>
              </w:rPr>
              <w:t xml:space="preserve">18,182615</w:t>
            </w:r>
          </w:p>
        </w:tc>
        <w:tc>
          <w:tcPr>
            <w:tcW w:type="dxa" w:w="1560"/>
          </w:tcPr>
          <w:p>
            <w:pPr>
              <w:pStyle w:val="TableText"/>
              <w:jc w:val="center"/>
            </w:pPr>
            <w:r>
              <w:rPr>
                <w:lang w:val="es-AR"/>
              </w:rPr>
              <w:t xml:space="preserve">0,000143</w:t>
            </w:r>
          </w:p>
        </w:tc>
      </w:tr>
      <w:tr>
        <w:tc>
          <w:tcPr>
            <w:tcW w:type="dxa" w:w="520"/>
          </w:tcPr>
          <w:p>
            <w:pPr>
              <w:pStyle w:val="TableText"/>
              <w:jc w:val="center"/>
            </w:pPr>
            <w:r>
              <w:rPr>
                <w:lang w:val="es-AR"/>
              </w:rPr>
              <w:t xml:space="preserve">5</w:t>
            </w:r>
          </w:p>
        </w:tc>
        <w:tc>
          <w:tcPr>
            <w:tcW w:type="dxa" w:w="1430"/>
          </w:tcPr>
          <w:p>
            <w:pPr>
              <w:pStyle w:val="TableText"/>
              <w:jc w:val="center"/>
            </w:pPr>
            <w:r>
              <w:rPr>
                <w:lang w:val="es-AR"/>
              </w:rPr>
              <w:t xml:space="preserve">18,182615</w:t>
            </w:r>
          </w:p>
        </w:tc>
        <w:tc>
          <w:tcPr>
            <w:tcW w:type="dxa" w:w="1560"/>
          </w:tcPr>
          <w:p>
            <w:pPr>
              <w:pStyle w:val="TableText"/>
              <w:jc w:val="center"/>
            </w:pPr>
            <w:r>
              <w:rPr>
                <w:lang w:val="es-AR"/>
              </w:rPr>
              <w:t xml:space="preserve">≈ 0</w:t>
            </w:r>
          </w:p>
        </w:tc>
        <w:tc>
          <w:tcPr>
            <w:tcW w:type="dxa" w:w="1820"/>
          </w:tcPr>
          <w:p>
            <w:pPr>
              <w:pStyle w:val="TableText"/>
              <w:jc w:val="center"/>
            </w:pPr>
            <w:r>
              <w:rPr>
                <w:lang w:val="es-AR"/>
              </w:rPr>
              <w:t xml:space="preserve">0,062431</w:t>
            </w:r>
          </w:p>
        </w:tc>
        <w:tc>
          <w:tcPr>
            <w:tcW w:type="dxa" w:w="1430"/>
          </w:tcPr>
          <w:p>
            <w:pPr>
              <w:pStyle w:val="TableText"/>
              <w:jc w:val="center"/>
            </w:pPr>
            <w:r>
              <w:rPr>
                <w:lang w:val="es-AR"/>
              </w:rPr>
              <w:t xml:space="preserve">18,182615</w:t>
            </w:r>
          </w:p>
        </w:tc>
        <w:tc>
          <w:tcPr>
            <w:tcW w:type="dxa" w:w="1560"/>
          </w:tcPr>
          <w:p>
            <w:pPr>
              <w:pStyle w:val="TableText"/>
              <w:jc w:val="center"/>
            </w:pPr>
            <w:r>
              <w:rPr>
                <w:lang w:val="es-AR"/>
              </w:rPr>
              <w:t xml:space="preserve">≈ 0</w:t>
            </w:r>
          </w:p>
        </w:tc>
      </w:tr>
    </w:tbl>
    <w:p>
      <w:pPr>
        <w:pStyle w:val="BodyText"/>
        <w:spacing w:before="240"/>
      </w:pPr>
      <w:r>
        <w:rPr>
          <w:lang w:val="es-AR"/>
        </w:rPr>
        <w:t xml:space="preserve">Según el modelo, la demanda supera la capacidad de ejemplo durante unas 24,8 semanas, entre el 2 de junio de 2023 y el 23 de noviembre de 2023. En los datos medidos, 22 semanas superan</w:t>
      </w:r>
      <w:r>
        <w:rPr>
          <w:lang w:val="es-AR"/>
        </w:rPr>
        <w:t xml:space="preserve"> </w:t>
      </w:r>
      <m:oMath>
        <m:r>
          <m:t>C</m:t>
        </m:r>
      </m:oMath>
      <w:r>
        <w:rPr>
          <w:lang w:val="es-AR"/>
        </w:rPr>
        <w:t xml:space="preserve">, entre la semana 21 y la 45, aunque no de forma continua. La ventana del modelo es, por lo tanto, una estimación suavizada: indica el período en que conviene tener la capacidad ampliada, mientras que la magnitud de esa ampliación debe tomarse del pico medido. La incertidumbre</w:t>
      </w:r>
      <w:r>
        <w:rPr>
          <w:lang w:val="es-AR"/>
        </w:rPr>
        <w:t xml:space="preserve"> </w:t>
      </w:r>
      <m:oMath>
        <m:r>
          <m:rPr>
            <m:sty m:val="p"/>
          </m:rPr>
          <m:t>Δ</m:t>
        </m:r>
        <m:r>
          <m:t>t</m:t>
        </m:r>
      </m:oMath>
      <w:r>
        <w:rPr>
          <w:lang w:val="es-AR"/>
        </w:rPr>
        <w:t xml:space="preserve"> </w:t>
      </w:r>
      <w:r>
        <w:rPr>
          <w:lang w:val="es-AR"/>
        </w:rPr>
        <w:t xml:space="preserve">calculada en la sección 3.2.5 da una idea del margen de tiempo con que conviene anticipar esa ampliación. La Figura 5 resume el dimensionamiento.</w:t>
      </w:r>
    </w:p>
    <w:p>
      <w:pPr>
        <w:pStyle w:val="CaptionedFigure"/>
      </w:pPr>
      <w:r>
        <w:drawing>
          <wp:inline>
            <wp:extent cx="5334000" cy="3200399"/>
            <wp:effectExtent b="0" l="0" r="0" t="0"/>
            <wp:docPr descr="Figura 5. Ancho de banda semanal medido y según el modelo, con la capacidad de ejemplo y la ventana en que el modelo la supera (160 kbit/s)." title="" id="54" name="Picture"/>
            <a:graphic>
              <a:graphicData uri="http://schemas.openxmlformats.org/drawingml/2006/picture">
                <pic:pic>
                  <pic:nvPicPr>
                    <pic:cNvPr descr="img/grafico_5_dimensionamiento.png" id="55" name="Picture"/>
                    <pic:cNvPicPr>
                      <a:picLocks noChangeArrowheads="1" noChangeAspect="1"/>
                    </pic:cNvPicPr>
                  </pic:nvPicPr>
                  <pic:blipFill>
                    <a:blip r:embed="rId53"/>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rPr>
          <w:lang w:val="es-AR"/>
        </w:rPr>
        <w:t xml:space="preserve">Figura 5. Ancho de banda semanal medido y según el modelo, con la capacidad de ejemplo y la ventana en que el modelo la supera (160 kbit/s).</w:t>
      </w:r>
    </w:p>
    <w:bookmarkEnd w:id="56"/>
    <w:bookmarkEnd w:id="57"/>
    <w:bookmarkStart w:id="58" w:name="limitaciones"/>
    <w:p>
      <w:pPr>
        <w:pStyle w:val="Heading2"/>
      </w:pPr>
      <w:r>
        <w:rPr>
          <w:lang w:val="es-AR"/>
        </w:rPr>
        <w:t xml:space="preserve">3.7. Limitaciones</w:t>
      </w:r>
    </w:p>
    <w:p>
      <w:pPr>
        <w:pStyle w:val="Compact"/>
        <w:numPr>
          <w:ilvl w:val="0"/>
          <w:numId w:val="1011"/>
        </w:numPr>
      </w:pPr>
      <w:r>
        <w:rPr>
          <w:b/>
          <w:bCs/>
          <w:lang w:val="es-AR"/>
        </w:rPr>
        <w:t xml:space="preserve">Alcance de los datos.</w:t>
      </w:r>
      <w:r>
        <w:rPr>
          <w:lang w:val="es-AR"/>
        </w:rPr>
        <w:t xml:space="preserve"> </w:t>
      </w:r>
      <w:r>
        <w:rPr>
          <w:lang w:val="es-AR"/>
        </w:rPr>
        <w:t xml:space="preserve">Solo se consideran las reproducciones de Spotify México en las semanas en que el tema figuró en el Top 200. El umbral de 100 millones se mide desde el inicio de cada serie, no desde la publicación del tema.</w:t>
      </w:r>
    </w:p>
    <w:p>
      <w:pPr>
        <w:pStyle w:val="Compact"/>
        <w:numPr>
          <w:ilvl w:val="0"/>
          <w:numId w:val="1011"/>
        </w:numPr>
      </w:pPr>
      <w:r>
        <w:rPr>
          <w:b/>
          <w:bCs/>
          <w:lang w:val="es-AR"/>
        </w:rPr>
        <w:t xml:space="preserve">Modelo global.</w:t>
      </w:r>
      <w:r>
        <w:rPr>
          <w:lang w:val="es-AR"/>
        </w:rPr>
        <w:t xml:space="preserve"> </w:t>
      </w:r>
      <w:r>
        <w:rPr>
          <w:lang w:val="es-AR"/>
        </w:rPr>
        <w:t xml:space="preserve">La regresión cúbica suaviza la serie: no reproduce los valores puntuales (lo que desplaza la raíz del hito más allá de su incertidumbre) ni los picos de corta duración.</w:t>
      </w:r>
    </w:p>
    <w:p>
      <w:pPr>
        <w:pStyle w:val="Compact"/>
        <w:numPr>
          <w:ilvl w:val="0"/>
          <w:numId w:val="1011"/>
        </w:numPr>
      </w:pPr>
      <w:r>
        <w:rPr>
          <w:b/>
          <w:bCs/>
          <w:lang w:val="es-AR"/>
        </w:rPr>
        <w:t xml:space="preserve">Extrapolación.</w:t>
      </w:r>
      <w:r>
        <w:rPr>
          <w:lang w:val="es-AR"/>
        </w:rPr>
        <w:t xml:space="preserve"> </w:t>
      </w:r>
      <w:r>
        <w:rPr>
          <w:lang w:val="es-AR"/>
        </w:rPr>
        <w:t xml:space="preserve">El modelo es válido únicamente dentro del período observado; fuera de él la cúbica pierde sentido físico.</w:t>
      </w:r>
    </w:p>
    <w:p>
      <w:pPr>
        <w:pStyle w:val="Compact"/>
        <w:numPr>
          <w:ilvl w:val="0"/>
          <w:numId w:val="1011"/>
        </w:numPr>
      </w:pPr>
      <w:r>
        <w:rPr>
          <w:b/>
          <w:bCs/>
          <w:lang w:val="es-AR"/>
        </w:rPr>
        <w:t xml:space="preserve">Diferenciación sobre datos con ruido.</w:t>
      </w:r>
      <w:r>
        <w:rPr>
          <w:lang w:val="es-AR"/>
        </w:rPr>
        <w:t xml:space="preserve"> </w:t>
      </w:r>
      <w:r>
        <w:rPr>
          <w:lang w:val="es-AR"/>
        </w:rPr>
        <w:t xml:space="preserve">Las fórmulas de diferencias amplifican las fluctuaciones semanales, por lo que la derivada segunda de los datos no permite ubicar el punto de inflexión.</w:t>
      </w:r>
    </w:p>
    <w:p>
      <w:pPr>
        <w:pStyle w:val="Compact"/>
        <w:numPr>
          <w:ilvl w:val="0"/>
          <w:numId w:val="1011"/>
        </w:numPr>
      </w:pPr>
      <w:r>
        <w:rPr>
          <w:b/>
          <w:bCs/>
          <w:lang w:val="es-AR"/>
        </w:rPr>
        <w:t xml:space="preserve">Condicionamiento del sistema normal.</w:t>
      </w:r>
      <w:r>
        <w:rPr>
          <w:lang w:val="es-AR"/>
        </w:rPr>
        <w:t xml:space="preserve"> </w:t>
      </w:r>
      <w:r>
        <w:rPr>
          <w:lang w:val="es-AR"/>
        </w:rPr>
        <w:t xml:space="preserve">Con más semanas o polinomios de mayor grado, el sistema de ecuaciones normales se vuelve peor condicionado; en este trabajo la pérdida de precisión resultó despreciable.</w:t>
      </w:r>
    </w:p>
    <w:p>
      <w:pPr>
        <w:pStyle w:val="Compact"/>
        <w:numPr>
          <w:ilvl w:val="0"/>
          <w:numId w:val="1011"/>
        </w:numPr>
      </w:pPr>
      <w:r>
        <w:rPr>
          <w:b/>
          <w:bCs/>
          <w:lang w:val="es-AR"/>
        </w:rPr>
        <w:t xml:space="preserve">Supuestos del dimensionamiento.</w:t>
      </w:r>
      <w:r>
        <w:rPr>
          <w:lang w:val="es-AR"/>
        </w:rPr>
        <w:t xml:space="preserve"> </w:t>
      </w:r>
      <w:r>
        <w:rPr>
          <w:lang w:val="es-AR"/>
        </w:rPr>
        <w:t xml:space="preserve">El ancho de banda y el volumen dependen de la tasa de bits, de un factor de hora pico supuesto y de no descontar las reproducciones guardadas en el dispositivo. Son órdenes de magnitud para una sola canción en un solo mercado, no datos de la plataforma.</w:t>
      </w:r>
    </w:p>
    <w:bookmarkEnd w:id="58"/>
    <w:bookmarkEnd w:id="59"/>
    <w:bookmarkStart w:id="60" w:name="conclusiones"/>
    <w:p>
      <w:pPr>
        <w:pStyle w:val="Heading1"/>
      </w:pPr>
      <w:r>
        <w:rPr>
          <w:lang w:val="es-AR"/>
        </w:rPr>
        <w:t xml:space="preserve">4. Conclusiones</w:t>
      </w:r>
    </w:p>
    <w:p>
      <w:pPr>
        <w:pStyle w:val="FirstParagraph"/>
      </w:pPr>
      <w:r>
        <w:rPr>
          <w:lang w:val="es-AR"/>
        </w:rPr>
        <w:t xml:space="preserve">A partir del desarrollo del trabajo se extraen las siguientes conclusiones:</w:t>
      </w:r>
    </w:p>
    <w:p>
      <w:pPr>
        <w:pStyle w:val="Compact"/>
        <w:numPr>
          <w:ilvl w:val="0"/>
          <w:numId w:val="1012"/>
        </w:numPr>
      </w:pPr>
      <w:r>
        <w:rPr>
          <w:b/>
          <w:bCs/>
          <w:lang w:val="es-AR"/>
        </w:rPr>
        <w:t xml:space="preserve">Sobre el modelo de ajuste.</w:t>
      </w:r>
      <w:r>
        <w:rPr>
          <w:lang w:val="es-AR"/>
        </w:rPr>
        <w:t xml:space="preserve"> </w:t>
      </w:r>
      <w:r>
        <w:rPr>
          <w:lang w:val="es-AR"/>
        </w:rPr>
        <w:t xml:space="preserve">La regresión polinomial de grado 3 por mínimos cuadrados, con las ecuaciones normales resueltas por eliminación gaussiana, representa con fidelidad la tendencia de las reproducciones acumuladas de «Rosa Pastel» (</w:t>
      </w:r>
      <m:oMath>
        <m:sSup>
          <m:e>
            <m:r>
              <m:t>r</m:t>
            </m:r>
          </m:e>
          <m:sup>
            <m:r>
              <m:t>2</m:t>
            </m:r>
          </m:sup>
        </m:sSup>
        <m:r>
          <m:rPr>
            <m:sty m:val="p"/>
          </m:rPr>
          <m:t>=</m:t>
        </m:r>
        <m:r>
          <m:t>0</m:t>
        </m:r>
        <m:r>
          <m:rPr>
            <m:sty m:val="p"/>
          </m:rPr>
          <m:t>,</m:t>
        </m:r>
        <m:r>
          <m:t>999533</m:t>
        </m:r>
      </m:oMath>
      <w:r>
        <w:rPr>
          <w:lang w:val="es-AR"/>
        </w:rPr>
        <w:t xml:space="preserve">,</w:t>
      </w:r>
      <w:r>
        <w:rPr>
          <w:lang w:val="es-AR"/>
        </w:rPr>
        <w:t xml:space="preserve"> </w:t>
      </w:r>
      <m:oMath>
        <m:sSub>
          <m:e>
            <m:r>
              <m:t>S</m:t>
            </m:r>
          </m:e>
          <m:sub>
            <m:r>
              <m:t>y</m:t>
            </m:r>
            <m:r>
              <m:rPr>
                <m:sty m:val="p"/>
              </m:rPr>
              <m:t>/</m:t>
            </m:r>
            <m:r>
              <m:t>x</m:t>
            </m:r>
          </m:sub>
        </m:sSub>
        <m:r>
          <m:rPr>
            <m:sty m:val="p"/>
          </m:rPr>
          <m:t>=</m:t>
        </m:r>
        <m:r>
          <m:t>0</m:t>
        </m:r>
        <m:r>
          <m:rPr>
            <m:sty m:val="p"/>
          </m:rPr>
          <m:t>,</m:t>
        </m:r>
        <m:r>
          <m:t>9269</m:t>
        </m:r>
      </m:oMath>
      <w:r>
        <w:rPr>
          <w:lang w:val="es-AR"/>
        </w:rPr>
        <w:t xml:space="preserve"> </w:t>
      </w:r>
      <w:r>
        <w:rPr>
          <w:lang w:val="es-AR"/>
        </w:rPr>
        <w:t xml:space="preserve">M) y es físicamente coherente dentro del período, ya que es creciente en todo el intervalo. Sin embargo, no pasa por los puntos medidos, por lo que para resolver preguntas puntuales resultó necesario contrastarla con la trazadora cúbica natural.</w:t>
      </w:r>
    </w:p>
    <w:p>
      <w:pPr>
        <w:pStyle w:val="Compact"/>
        <w:numPr>
          <w:ilvl w:val="0"/>
          <w:numId w:val="1012"/>
        </w:numPr>
      </w:pPr>
      <w:r>
        <w:rPr>
          <w:b/>
          <w:bCs/>
          <w:lang w:val="es-AR"/>
        </w:rPr>
        <w:t xml:space="preserve">Sobre el hito de 100 millones.</w:t>
      </w:r>
      <w:r>
        <w:rPr>
          <w:lang w:val="es-AR"/>
        </w:rPr>
        <w:t xml:space="preserve"> </w:t>
      </w:r>
      <w:r>
        <w:rPr>
          <w:lang w:val="es-AR"/>
        </w:rPr>
        <w:t xml:space="preserve">Los métodos de Bisección y Newton-Raphson coincidieron en la raíz de cada modelo: 35,520148 semanas para la regresión y 35,124439 semanas para la trazadora, valor este último que coincide con la interpolación lineal de control. Dado que la diferencia entre ambos modelos (2,77 días) supera la incertidumbre de la regresión (±1,92 días), se adopta el resultado de la trazadora: el umbral se superó hacia el 29 de septiembre de 2023.</w:t>
      </w:r>
    </w:p>
    <w:p>
      <w:pPr>
        <w:pStyle w:val="Compact"/>
        <w:numPr>
          <w:ilvl w:val="0"/>
          <w:numId w:val="1012"/>
        </w:numPr>
      </w:pPr>
      <w:r>
        <w:rPr>
          <w:b/>
          <w:bCs/>
          <w:lang w:val="es-AR"/>
        </w:rPr>
        <w:t xml:space="preserve">Sobre la comparación de métodos de búsqueda de raíces.</w:t>
      </w:r>
      <w:r>
        <w:rPr>
          <w:lang w:val="es-AR"/>
        </w:rPr>
        <w:t xml:space="preserve"> </w:t>
      </w:r>
      <w:r>
        <w:rPr>
          <w:lang w:val="es-AR"/>
        </w:rPr>
        <w:t xml:space="preserve">Newton-Raphson requirió 3 iteraciones y la Bisección 15, lo que confirma la convergencia cuadrática del primero frente a la lineal del segundo. La Bisección conserva la ventaja de converger siempre que se verifique el cambio de signo, mientras que Newton-Raphson depende de un valor inicial razonable y de una derivada no nula. Ambos resultaron complementarios.</w:t>
      </w:r>
    </w:p>
    <w:p>
      <w:pPr>
        <w:pStyle w:val="Compact"/>
        <w:numPr>
          <w:ilvl w:val="0"/>
          <w:numId w:val="1012"/>
        </w:numPr>
      </w:pPr>
      <w:r>
        <w:rPr>
          <w:b/>
          <w:bCs/>
          <w:lang w:val="es-AR"/>
        </w:rPr>
        <w:t xml:space="preserve">Sobre la diferenciación numérica.</w:t>
      </w:r>
      <w:r>
        <w:rPr>
          <w:lang w:val="es-AR"/>
        </w:rPr>
        <w:t xml:space="preserve"> </w:t>
      </w:r>
      <w:r>
        <w:rPr>
          <w:lang w:val="es-AR"/>
        </w:rPr>
        <w:t xml:space="preserve">La fórmula centrada fue, en promedio, la más próxima a la tendencia del modelo. Con datos reales, las diferencias finitas amplifican las fluctuaciones semanales, por lo que el pico se analizó sobre los datos (semana 26, 4,171 M) y sobre el modelo suavizado (semana 30,59, 3,436 M/semana). El máximo de demanda puntual se produjo unas 9,1 semanas antes del cruce de los 100 millones, por lo que la planificación de capacidad debe guiarse por la velocidad de crecimiento y no por el acumulado.</w:t>
      </w:r>
    </w:p>
    <w:p>
      <w:pPr>
        <w:pStyle w:val="Compact"/>
        <w:numPr>
          <w:ilvl w:val="0"/>
          <w:numId w:val="1012"/>
        </w:numPr>
      </w:pPr>
      <w:r>
        <w:rPr>
          <w:b/>
          <w:bCs/>
          <w:lang w:val="es-AR"/>
        </w:rPr>
        <w:t xml:space="preserve">Sobre la generalización.</w:t>
      </w:r>
      <w:r>
        <w:rPr>
          <w:lang w:val="es-AR"/>
        </w:rPr>
        <w:t xml:space="preserve"> </w:t>
      </w:r>
      <w:r>
        <w:rPr>
          <w:lang w:val="es-AR"/>
        </w:rPr>
        <w:t xml:space="preserve">El mismo procedimiento se aplicó sin cambios a otras dos canciones. La comparación mostró que el modelo cúbico es adecuado para resurgimientos graduales, pero no para estrenos cuyo máximo se produce al comienzo, caso en el que el programa lo detecta y lo informa.</w:t>
      </w:r>
    </w:p>
    <w:p>
      <w:pPr>
        <w:pStyle w:val="Compact"/>
        <w:numPr>
          <w:ilvl w:val="0"/>
          <w:numId w:val="1012"/>
        </w:numPr>
      </w:pPr>
      <w:r>
        <w:rPr>
          <w:b/>
          <w:bCs/>
          <w:lang w:val="es-AR"/>
        </w:rPr>
        <w:t xml:space="preserve">Sobre la aplicación de ingeniería.</w:t>
      </w:r>
      <w:r>
        <w:rPr>
          <w:lang w:val="es-AR"/>
        </w:rPr>
        <w:t xml:space="preserve"> </w:t>
      </w:r>
      <w:r>
        <w:rPr>
          <w:lang w:val="es-AR"/>
        </w:rPr>
        <w:t xml:space="preserve">Los resultados numéricos se tradujeron a magnitudes de dimensionamiento: el pico medido equivale a unos 205 Mbps de promedio semanal a 160 kbit/s (unos 410 Mbps en hora pico), el hito de 100 millones a unos 372 TB transferidos, y la demanda modelada supera una capacidad de 150 Mbps entre el 2 de junio de 2023 y el 23 de noviembre de 2023, ventana obtenida con Bisección y Newton-Raphson sobre</w:t>
      </w:r>
      <w:r>
        <w:rPr>
          <w:lang w:val="es-AR"/>
        </w:rPr>
        <w:t xml:space="preserve"> </w:t>
      </w:r>
      <m:oMath>
        <m:sSup>
          <m:e>
            <m:r>
              <m:t>S</m:t>
            </m:r>
          </m:e>
          <m:sup>
            <m:r>
              <m:rPr>
                <m:sty m:val="p"/>
              </m:rPr>
              <m:t>′</m:t>
            </m:r>
          </m:sup>
        </m:sSup>
        <m:r>
          <m:rPr>
            <m:sty m:val="p"/>
          </m:rPr>
          <m:t>(</m:t>
        </m:r>
        <m:r>
          <m:t>t</m:t>
        </m:r>
        <m:r>
          <m:rPr>
            <m:sty m:val="p"/>
          </m:rPr>
          <m:t>)</m:t>
        </m:r>
        <m:r>
          <m:rPr>
            <m:sty m:val="p"/>
          </m:rPr>
          <m:t>−</m:t>
        </m:r>
        <m:r>
          <m:t>C</m:t>
        </m:r>
      </m:oMath>
      <w:r>
        <w:rPr>
          <w:lang w:val="es-AR"/>
        </w:rPr>
        <w:t xml:space="preserve">. El modelo subestima el pico en un 18 %, por lo que dimensionar exclusivamente con él dejaría la capacidad corta.</w:t>
      </w:r>
    </w:p>
    <w:p>
      <w:pPr>
        <w:pStyle w:val="Compact"/>
        <w:numPr>
          <w:ilvl w:val="0"/>
          <w:numId w:val="1012"/>
        </w:numPr>
      </w:pPr>
      <w:r>
        <w:rPr>
          <w:b/>
          <w:bCs/>
          <w:lang w:val="es-AR"/>
        </w:rPr>
        <w:t xml:space="preserve">Aprendizajes.</w:t>
      </w:r>
      <w:r>
        <w:rPr>
          <w:lang w:val="es-AR"/>
        </w:rPr>
        <w:t xml:space="preserve"> </w:t>
      </w:r>
      <w:r>
        <w:rPr>
          <w:lang w:val="es-AR"/>
        </w:rPr>
        <w:t xml:space="preserve">El trabajo permitió integrar en un mismo problema contenidos de distintas unidades de la materia y trabajar con datos reales. Se comprobó que la elección del modelo sobre el que se aplican los métodos tiene más influencia en el resultado que la elección del método numérico en sí, y que todo resultado debe acompañarse de una estimación de su error para ser interpretado correctamente.</w:t>
      </w:r>
    </w:p>
    <w:bookmarkEnd w:id="60"/>
    <w:bookmarkStart w:id="62" w:name="bibliografía"/>
    <w:p>
      <w:pPr>
        <w:pStyle w:val="Heading1"/>
      </w:pPr>
      <w:r>
        <w:rPr>
          <w:lang w:val="es-AR"/>
        </w:rPr>
        <w:t xml:space="preserve">5. Bibliografía</w:t>
      </w:r>
    </w:p>
    <w:p>
      <w:pPr>
        <w:pStyle w:val="Bibliografia"/>
        <w:numPr>
          <w:ilvl w:val="0"/>
          <w:numId w:val="1013"/>
        </w:numPr>
      </w:pPr>
      <w:r>
        <w:rPr>
          <w:lang w:val="es-AR"/>
        </w:rPr>
        <w:t xml:space="preserve">Arnaudo, C. (2026).</w:t>
      </w:r>
      <w:r>
        <w:rPr>
          <w:lang w:val="es-AR"/>
        </w:rPr>
        <w:t xml:space="preserve"> </w:t>
      </w:r>
      <w:r>
        <w:rPr>
          <w:i/>
          <w:iCs/>
          <w:lang w:val="es-AR"/>
        </w:rPr>
        <w:t xml:space="preserve">Apuntes de cátedra: Taller de Métodos Numéricos</w:t>
      </w:r>
      <w:r>
        <w:rPr>
          <w:lang w:val="es-AR"/>
        </w:rPr>
        <w:t xml:space="preserve"> </w:t>
      </w:r>
      <w:r>
        <w:rPr>
          <w:lang w:val="es-AR"/>
        </w:rPr>
        <w:t xml:space="preserve">(Introducción al Análisis Numérico; Raíces de funciones; Sistemas de ecuaciones lineales; Ajuste de curvas; Diferenciación numérica). Facultad de Ingeniería, Universidad Católica de Córdoba.</w:t>
      </w:r>
    </w:p>
    <w:p>
      <w:pPr>
        <w:pStyle w:val="Bibliografia"/>
        <w:numPr>
          <w:ilvl w:val="0"/>
          <w:numId w:val="1013"/>
        </w:numPr>
      </w:pPr>
      <w:r>
        <w:rPr>
          <w:lang w:val="es-AR"/>
        </w:rPr>
        <w:t xml:space="preserve">Burden, R. L. y Faires, J. D. (2011).</w:t>
      </w:r>
      <w:r>
        <w:rPr>
          <w:lang w:val="es-AR"/>
        </w:rPr>
        <w:t xml:space="preserve"> </w:t>
      </w:r>
      <w:r>
        <w:rPr>
          <w:i/>
          <w:iCs/>
          <w:lang w:val="es-AR"/>
        </w:rPr>
        <w:t xml:space="preserve">Análisis numérico</w:t>
      </w:r>
      <w:r>
        <w:rPr>
          <w:lang w:val="es-AR"/>
        </w:rPr>
        <w:t xml:space="preserve"> </w:t>
      </w:r>
      <w:r>
        <w:rPr>
          <w:lang w:val="es-AR"/>
        </w:rPr>
        <w:t xml:space="preserve">(9.ª ed.). Cengage Learning.</w:t>
      </w:r>
    </w:p>
    <w:p>
      <w:pPr>
        <w:pStyle w:val="Bibliografia"/>
        <w:numPr>
          <w:ilvl w:val="0"/>
          <w:numId w:val="1013"/>
        </w:numPr>
      </w:pPr>
      <w:r>
        <w:rPr>
          <w:lang w:val="es-AR"/>
        </w:rPr>
        <w:t xml:space="preserve">Chapra, S. C. y Canale, R. P. (2015).</w:t>
      </w:r>
      <w:r>
        <w:rPr>
          <w:lang w:val="es-AR"/>
        </w:rPr>
        <w:t xml:space="preserve"> </w:t>
      </w:r>
      <w:r>
        <w:rPr>
          <w:i/>
          <w:iCs/>
          <w:lang w:val="es-AR"/>
        </w:rPr>
        <w:t xml:space="preserve">Métodos numéricos para ingenieros</w:t>
      </w:r>
      <w:r>
        <w:rPr>
          <w:lang w:val="es-AR"/>
        </w:rPr>
        <w:t xml:space="preserve"> </w:t>
      </w:r>
      <w:r>
        <w:rPr>
          <w:lang w:val="es-AR"/>
        </w:rPr>
        <w:t xml:space="preserve">(7.ª ed.). McGraw-Hill Education.</w:t>
      </w:r>
    </w:p>
    <w:p>
      <w:pPr>
        <w:pStyle w:val="Bibliografia"/>
        <w:numPr>
          <w:ilvl w:val="0"/>
          <w:numId w:val="1013"/>
        </w:numPr>
      </w:pPr>
      <w:r>
        <w:rPr>
          <w:lang w:val="es-AR"/>
        </w:rPr>
        <w:t xml:space="preserve">Chilango (12 de julio de 2023).</w:t>
      </w:r>
      <w:r>
        <w:rPr>
          <w:lang w:val="es-AR"/>
        </w:rPr>
        <w:t xml:space="preserve"> </w:t>
      </w:r>
      <w:r>
        <w:rPr>
          <w:i/>
          <w:iCs/>
          <w:lang w:val="es-AR"/>
        </w:rPr>
        <w:t xml:space="preserve">Rosa Pastel, la triste tendencia de TikTok que retrata los sueños rotos de los mexicanos</w:t>
      </w:r>
      <w:r>
        <w:rPr>
          <w:lang w:val="es-AR"/>
        </w:rPr>
        <w:t xml:space="preserve">. https://www.chilango.com/agenda/otros/rosa-pastel-tiktok-tendencia/</w:t>
      </w:r>
    </w:p>
    <w:p>
      <w:pPr>
        <w:pStyle w:val="Bibliografia"/>
        <w:numPr>
          <w:ilvl w:val="0"/>
          <w:numId w:val="1013"/>
        </w:numPr>
      </w:pPr>
      <w:r>
        <w:rPr>
          <w:lang w:val="es-AR"/>
        </w:rPr>
        <w:t xml:space="preserve">Harris, C. R., Millman, K. J., van der Walt, S. J. et al. (2020). Array programming with NumPy.</w:t>
      </w:r>
      <w:r>
        <w:rPr>
          <w:lang w:val="es-AR"/>
        </w:rPr>
        <w:t xml:space="preserve"> </w:t>
      </w:r>
      <w:r>
        <w:rPr>
          <w:i/>
          <w:iCs/>
          <w:lang w:val="es-AR"/>
        </w:rPr>
        <w:t xml:space="preserve">Nature</w:t>
      </w:r>
      <w:r>
        <w:rPr>
          <w:lang w:val="es-AR"/>
        </w:rPr>
        <w:t xml:space="preserve">, 585, 357–362.</w:t>
      </w:r>
    </w:p>
    <w:p>
      <w:pPr>
        <w:pStyle w:val="Bibliografia"/>
        <w:numPr>
          <w:ilvl w:val="0"/>
          <w:numId w:val="1013"/>
        </w:numPr>
      </w:pPr>
      <w:r>
        <w:rPr>
          <w:lang w:val="es-AR"/>
        </w:rPr>
        <w:t xml:space="preserve">Hunter, J. D. (2007). Matplotlib: A 2D graphics environment.</w:t>
      </w:r>
      <w:r>
        <w:rPr>
          <w:lang w:val="es-AR"/>
        </w:rPr>
        <w:t xml:space="preserve"> </w:t>
      </w:r>
      <w:r>
        <w:rPr>
          <w:i/>
          <w:iCs/>
          <w:lang w:val="es-AR"/>
        </w:rPr>
        <w:t xml:space="preserve">Computing in Science &amp; Engineering</w:t>
      </w:r>
      <w:r>
        <w:rPr>
          <w:lang w:val="es-AR"/>
        </w:rPr>
        <w:t xml:space="preserve">, 9(3), 90–95.</w:t>
      </w:r>
    </w:p>
    <w:p>
      <w:pPr>
        <w:pStyle w:val="Bibliografia"/>
        <w:numPr>
          <w:ilvl w:val="0"/>
          <w:numId w:val="1013"/>
        </w:numPr>
      </w:pPr>
      <w:r>
        <w:rPr>
          <w:lang w:val="es-AR"/>
        </w:rPr>
        <w:t xml:space="preserve">Kworb (2026a).</w:t>
      </w:r>
      <w:r>
        <w:rPr>
          <w:lang w:val="es-AR"/>
        </w:rPr>
        <w:t xml:space="preserve"> </w:t>
      </w:r>
      <w:r>
        <w:rPr>
          <w:i/>
          <w:iCs/>
          <w:lang w:val="es-AR"/>
        </w:rPr>
        <w:t xml:space="preserve">Belanova – Rosa Pastel: Spotify chart history</w:t>
      </w:r>
      <w:r>
        <w:rPr>
          <w:lang w:val="es-AR"/>
        </w:rPr>
        <w:t xml:space="preserve">. Consultado el 27 de octubre de 2026. https://kworb.net/spotify/track/6Z0ybnsUBhbZ9ZjPW64eoF.html</w:t>
      </w:r>
    </w:p>
    <w:p>
      <w:pPr>
        <w:pStyle w:val="Bibliografia"/>
        <w:numPr>
          <w:ilvl w:val="0"/>
          <w:numId w:val="1013"/>
        </w:numPr>
      </w:pPr>
      <w:r>
        <w:rPr>
          <w:lang w:val="es-AR"/>
        </w:rPr>
        <w:t xml:space="preserve">Kworb (2026b).</w:t>
      </w:r>
      <w:r>
        <w:rPr>
          <w:lang w:val="es-AR"/>
        </w:rPr>
        <w:t xml:space="preserve"> </w:t>
      </w:r>
      <w:r>
        <w:rPr>
          <w:i/>
          <w:iCs/>
          <w:lang w:val="es-AR"/>
        </w:rPr>
        <w:t xml:space="preserve">Eslabón Armado y Peso Pluma – Ella Baila Sola: Spotify chart history</w:t>
      </w:r>
      <w:r>
        <w:rPr>
          <w:lang w:val="es-AR"/>
        </w:rPr>
        <w:t xml:space="preserve">. Consultado el 27 de octubre de 2026. https://kworb.net/spotify/track/3qQbCzHBycnDpGskqOWY0E.html</w:t>
      </w:r>
    </w:p>
    <w:p>
      <w:pPr>
        <w:pStyle w:val="Bibliografia"/>
        <w:numPr>
          <w:ilvl w:val="0"/>
          <w:numId w:val="1013"/>
        </w:numPr>
      </w:pPr>
      <w:r>
        <w:rPr>
          <w:lang w:val="es-AR"/>
        </w:rPr>
        <w:t xml:space="preserve">Kworb (2026c).</w:t>
      </w:r>
      <w:r>
        <w:rPr>
          <w:lang w:val="es-AR"/>
        </w:rPr>
        <w:t xml:space="preserve"> </w:t>
      </w:r>
      <w:r>
        <w:rPr>
          <w:i/>
          <w:iCs/>
          <w:lang w:val="es-AR"/>
        </w:rPr>
        <w:t xml:space="preserve">Bad Bunny – Tití Me Preguntó: Spotify chart history</w:t>
      </w:r>
      <w:r>
        <w:rPr>
          <w:lang w:val="es-AR"/>
        </w:rPr>
        <w:t xml:space="preserve">. Consultado el 27 de octubre de 2026. https://kworb.net/spotify/track/1IHWl5LamUGEuP4ozKQSXZ.html</w:t>
      </w:r>
    </w:p>
    <w:p>
      <w:pPr>
        <w:pStyle w:val="Bibliografia"/>
        <w:numPr>
          <w:ilvl w:val="0"/>
          <w:numId w:val="1013"/>
        </w:numPr>
      </w:pPr>
      <w:r>
        <w:rPr>
          <w:lang w:val="es-AR"/>
        </w:rPr>
        <w:t xml:space="preserve">Spotify (2026).</w:t>
      </w:r>
      <w:r>
        <w:rPr>
          <w:lang w:val="es-AR"/>
        </w:rPr>
        <w:t xml:space="preserve"> </w:t>
      </w:r>
      <w:r>
        <w:rPr>
          <w:i/>
          <w:iCs/>
          <w:lang w:val="es-AR"/>
        </w:rPr>
        <w:t xml:space="preserve">Audio quality</w:t>
      </w:r>
      <w:r>
        <w:rPr>
          <w:lang w:val="es-AR"/>
        </w:rPr>
        <w:t xml:space="preserve">. Consultado el 27 de octubre de 2026. https://support.spotify.com/us/article/audio-quality/</w:t>
      </w:r>
    </w:p>
    <w:p>
      <w:pPr>
        <w:pStyle w:val="Bibliografia"/>
        <w:numPr>
          <w:ilvl w:val="0"/>
          <w:numId w:val="1013"/>
        </w:numPr>
      </w:pPr>
      <w:r>
        <w:rPr>
          <w:lang w:val="es-AR"/>
        </w:rPr>
        <w:t xml:space="preserve">Wikipedia (2026).</w:t>
      </w:r>
      <w:r>
        <w:rPr>
          <w:lang w:val="es-AR"/>
        </w:rPr>
        <w:t xml:space="preserve"> </w:t>
      </w:r>
      <w:r>
        <w:rPr>
          <w:i/>
          <w:iCs/>
          <w:lang w:val="es-AR"/>
        </w:rPr>
        <w:t xml:space="preserve">Dulce Beat</w:t>
      </w:r>
      <w:r>
        <w:rPr>
          <w:lang w:val="es-AR"/>
        </w:rPr>
        <w:t xml:space="preserve">. Consultado el 27 de octubre de 2026. https://es.wikipedia.org/wiki/Dulce_Beat</w:t>
      </w:r>
    </w:p>
    <w:bookmarkStart w:id="61" w:name="X3cb26ee7ed82f3a1d9160be710996c8f8747747"/>
    <w:p>
      <w:pPr>
        <w:pStyle w:val="Heading2"/>
      </w:pPr>
      <w:r>
        <w:rPr>
          <w:lang w:val="es-AR"/>
        </w:rPr>
        <w:t xml:space="preserve">Declaración de uso de herramientas de inteligencia artificial</w:t>
      </w:r>
    </w:p>
    <w:p>
      <w:pPr>
        <w:pStyle w:val="FirstParagraph"/>
      </w:pPr>
      <w:r>
        <w:rPr>
          <w:lang w:val="es-AR"/>
        </w:rPr>
        <w:t xml:space="preserve">En el desarrollo del trabajo se utilizaron herramientas de inteligencia artificial generativa como asistencia: Gemini (Google), mediante el entorno Antigravity, y Claude (Anthropic). Se emplearon para revisar la consistencia del código con los métodos de los apuntes de la cátedra, implementar y depurar el programa de cálculo, generar los gráficos y asistir en la redacción y el formato del informe. Los datos, los desarrollos, los resultados numéricos y las conclusiones fueron verificados e interpretados por los integrantes del grupo, quienes asumen la responsabilidad por el contenido.</w:t>
      </w:r>
    </w:p>
    <w:bookmarkEnd w:id="61"/>
    <w:bookmarkEnd w:id="62"/>
    <w:bookmarkStart w:id="63" w:name="X00eb2442850f35fecbac1f3f45532b9f90cd216"/>
    <w:p>
      <w:pPr>
        <w:pStyle w:val="Heading1"/>
      </w:pPr>
      <w:r>
        <w:rPr>
          <w:lang w:val="es-AR"/>
        </w:rPr>
        <w:t xml:space="preserve">Anexo A. Bisección sobre la trazadora cúbica natural</w:t>
      </w:r>
    </w:p>
    <w:p>
      <w:pPr>
        <w:pStyle w:val="TableCaption"/>
      </w:pPr>
      <w:r>
        <w:rPr>
          <w:lang w:val="es-AR"/>
        </w:rPr>
        <w:t xml:space="preserve">Tabla A.1. Método de Bisección aplicado a</w:t>
      </w:r>
      <w:r>
        <w:rPr>
          <w:lang w:val="es-AR"/>
        </w:rPr>
        <w:t xml:space="preserve"> </w:t>
      </w:r>
      <m:oMath>
        <m:sSub>
          <m:e>
            <m:r>
              <m:t>f</m:t>
            </m:r>
          </m:e>
          <m:sub>
            <m:r>
              <m:t>s</m:t>
            </m:r>
          </m:sub>
        </m:sSub>
        <m:r>
          <m:rPr>
            <m:sty m:val="p"/>
          </m:rPr>
          <m:t>(</m:t>
        </m:r>
        <m:r>
          <m:t>t</m:t>
        </m:r>
        <m:r>
          <m:rPr>
            <m:sty m:val="p"/>
          </m:rPr>
          <m:t>)</m:t>
        </m:r>
        <m:r>
          <m:rPr>
            <m:sty m:val="p"/>
          </m:rPr>
          <m:t>=</m:t>
        </m:r>
        <m:r>
          <m:t>S</m:t>
        </m:r>
        <m:r>
          <m:rPr>
            <m:sty m:val="p"/>
          </m:rPr>
          <m:t>(</m:t>
        </m:r>
        <m:r>
          <m:t>t</m:t>
        </m:r>
        <m:r>
          <m:rPr>
            <m:sty m:val="p"/>
          </m:rPr>
          <m:t>)</m:t>
        </m:r>
        <m:r>
          <m:rPr>
            <m:sty m:val="p"/>
          </m:rPr>
          <m:t>−</m:t>
        </m:r>
        <m:r>
          <m:t>100</m:t>
        </m:r>
      </m:oMath>
      <w:r>
        <w:rPr>
          <w:lang w:val="es-AR"/>
        </w:rPr>
        <w:t xml:space="preserve"> </w:t>
      </w:r>
      <w:r>
        <w:rPr>
          <w:lang w:val="es-AR"/>
        </w:rPr>
        <w:t xml:space="preserve">sobre la trazadora cúbica natural en el intervalo</w:t>
      </w:r>
      <w:r>
        <w:rPr>
          <w:lang w:val="es-AR"/>
        </w:rPr>
        <w:t xml:space="preserve"> </w:t>
      </w:r>
      <m:oMath>
        <m:r>
          <m:rPr>
            <m:sty m:val="p"/>
          </m:rPr>
          <m:t>[</m:t>
        </m:r>
        <m:r>
          <m:t>35</m:t>
        </m:r>
        <m:r>
          <m:rPr>
            <m:sty m:val="p"/>
          </m:rPr>
          <m:t>;</m:t>
        </m:r>
        <m:r>
          <m:t>36</m:t>
        </m:r>
        <m:r>
          <m:rPr>
            <m:sty m:val="p"/>
          </m:rPr>
          <m:t>]</m:t>
        </m:r>
      </m:oMath>
      <w:r>
        <w:rPr>
          <w:lang w:val="es-AR"/>
        </w:rPr>
        <w:t xml:space="preserve">.</w:t>
      </w:r>
    </w:p>
    <w:tbl>
      <w:tblPr>
        <w:tblStyle w:val="Table"/>
        <w:tblW w:type="dxa" w:w="8783"/>
        <w:tblLook w:firstRow="1" w:lastRow="0" w:firstColumn="0" w:lastColumn="0" w:noHBand="0" w:noVBand="0" w:val="0020"/>
        <w:tblCaption w:val="Tabla A.1. Método de Bisección aplicado a f_s(t) = S(t) - 100 sobre la trazadora cúbica natural en el intervalo [35; 36]."/>
      </w:tblPr>
      <w:tblGrid>
        <w:gridCol w:w="373"/>
        <w:gridCol w:w="1028"/>
        <w:gridCol w:w="1028"/>
        <w:gridCol w:w="1028"/>
        <w:gridCol w:w="1028"/>
        <w:gridCol w:w="1121"/>
        <w:gridCol w:w="2056"/>
        <w:gridCol w:w="1121"/>
      </w:tblGrid>
      <w:tr>
        <w:trPr>
          <w:tblHeader w:val="on"/>
        </w:trPr>
        <w:tc>
          <w:tcPr>
            <w:tcW w:type="dxa" w:w="373"/>
          </w:tcPr>
          <w:p>
            <w:pPr>
              <w:pStyle w:val="TableText"/>
              <w:jc w:val="center"/>
            </w:pPr>
            <m:oMath>
              <m:r>
                <m:t>i</m:t>
              </m:r>
            </m:oMath>
            <w:r>
              <w:rPr>
                <w:lang w:val="es-AR"/>
              </w:rPr>
              <w:t xml:space="preserve">​</w:t>
            </w:r>
          </w:p>
        </w:tc>
        <w:tc>
          <w:tcPr>
            <w:tcW w:type="dxa" w:w="1028"/>
          </w:tcPr>
          <w:p>
            <w:pPr>
              <w:pStyle w:val="TableText"/>
              <w:jc w:val="center"/>
            </w:pPr>
            <m:oMath>
              <m:r>
                <m:t>a</m:t>
              </m:r>
            </m:oMath>
            <w:r>
              <w:rPr>
                <w:lang w:val="es-AR"/>
              </w:rPr>
              <w:t xml:space="preserve">​</w:t>
            </w:r>
          </w:p>
        </w:tc>
        <w:tc>
          <w:tcPr>
            <w:tcW w:type="dxa" w:w="1028"/>
          </w:tcPr>
          <w:p>
            <w:pPr>
              <w:pStyle w:val="TableText"/>
              <w:jc w:val="center"/>
            </w:pPr>
            <m:oMath>
              <m:r>
                <m:t>b</m:t>
              </m:r>
            </m:oMath>
            <w:r>
              <w:rPr>
                <w:lang w:val="es-AR"/>
              </w:rPr>
              <w:t xml:space="preserve">​</w:t>
            </w:r>
          </w:p>
        </w:tc>
        <w:tc>
          <w:tcPr>
            <w:tcW w:type="dxa" w:w="1028"/>
          </w:tcPr>
          <w:p>
            <w:pPr>
              <w:pStyle w:val="TableText"/>
              <w:jc w:val="center"/>
            </w:pPr>
            <m:oMath>
              <m:sSub>
                <m:e>
                  <m:r>
                    <m:t>x</m:t>
                  </m:r>
                </m:e>
                <m:sub>
                  <m:r>
                    <m:t>r</m:t>
                  </m:r>
                </m:sub>
              </m:sSub>
            </m:oMath>
            <w:r>
              <w:rPr>
                <w:lang w:val="es-AR"/>
              </w:rPr>
              <w:t xml:space="preserve">​</w:t>
            </w:r>
          </w:p>
        </w:tc>
        <w:tc>
          <w:tcPr>
            <w:tcW w:type="dxa" w:w="1028"/>
          </w:tcPr>
          <w:p>
            <w:pPr>
              <w:pStyle w:val="TableText"/>
              <w:jc w:val="center"/>
            </w:pPr>
            <m:oMath>
              <m:r>
                <m:t>f</m:t>
              </m:r>
              <m:r>
                <m:rPr>
                  <m:sty m:val="p"/>
                </m:rPr>
                <m:t>(</m:t>
              </m:r>
              <m:r>
                <m:t>a</m:t>
              </m:r>
              <m:r>
                <m:rPr>
                  <m:sty m:val="p"/>
                </m:rPr>
                <m:t>)</m:t>
              </m:r>
            </m:oMath>
            <w:r>
              <w:rPr>
                <w:lang w:val="es-AR"/>
              </w:rPr>
              <w:t xml:space="preserve">​</w:t>
            </w:r>
          </w:p>
        </w:tc>
        <w:tc>
          <w:tcPr>
            <w:tcW w:type="dxa" w:w="1121"/>
          </w:tcPr>
          <w:p>
            <w:pPr>
              <w:pStyle w:val="TableText"/>
              <w:jc w:val="center"/>
            </w:pPr>
            <m:oMath>
              <m:r>
                <m:t>f</m:t>
              </m:r>
              <m:r>
                <m:rPr>
                  <m:sty m:val="p"/>
                </m:rPr>
                <m:t>(</m:t>
              </m:r>
              <m:sSub>
                <m:e>
                  <m:r>
                    <m:t>x</m:t>
                  </m:r>
                </m:e>
                <m:sub>
                  <m:r>
                    <m:t>r</m:t>
                  </m:r>
                </m:sub>
              </m:sSub>
              <m:r>
                <m:rPr>
                  <m:sty m:val="p"/>
                </m:rPr>
                <m:t>)</m:t>
              </m:r>
            </m:oMath>
            <w:r>
              <w:rPr>
                <w:lang w:val="es-AR"/>
              </w:rPr>
              <w:t xml:space="preserve">​</w:t>
            </w:r>
          </w:p>
        </w:tc>
        <w:tc>
          <w:tcPr>
            <w:tcW w:type="dxa" w:w="2056"/>
          </w:tcPr>
          <w:p>
            <w:pPr>
              <w:pStyle w:val="TableText"/>
              <w:jc w:val="center"/>
            </w:pPr>
            <m:oMath>
              <m:r>
                <m:t>f</m:t>
              </m:r>
              <m:r>
                <m:rPr>
                  <m:sty m:val="p"/>
                </m:rPr>
                <m:t>(</m:t>
              </m:r>
              <m:r>
                <m:t>a</m:t>
              </m:r>
              <m:r>
                <m:rPr>
                  <m:sty m:val="p"/>
                </m:rPr>
                <m:t>)</m:t>
              </m:r>
              <m:r>
                <m:t> </m:t>
              </m:r>
              <m:r>
                <m:t>f</m:t>
              </m:r>
              <m:r>
                <m:rPr>
                  <m:sty m:val="p"/>
                </m:rPr>
                <m:t>(</m:t>
              </m:r>
              <m:sSub>
                <m:e>
                  <m:r>
                    <m:t>x</m:t>
                  </m:r>
                </m:e>
                <m:sub>
                  <m:r>
                    <m:t>r</m:t>
                  </m:r>
                </m:sub>
              </m:sSub>
              <m:r>
                <m:rPr>
                  <m:sty m:val="p"/>
                </m:rPr>
                <m:t>)</m:t>
              </m:r>
            </m:oMath>
            <w:r>
              <w:rPr>
                <w:lang w:val="es-AR"/>
              </w:rPr>
              <w:t xml:space="preserve">​</w:t>
            </w:r>
          </w:p>
        </w:tc>
        <w:tc>
          <w:tcPr>
            <w:tcW w:type="dxa" w:w="1121"/>
          </w:tcPr>
          <w:p>
            <w:pPr>
              <w:pStyle w:val="TableText"/>
              <w:jc w:val="center"/>
            </w:pPr>
            <m:oMath>
              <m:r>
                <m:rPr>
                  <m:sty m:val="p"/>
                </m:rPr>
                <m:t>|</m:t>
              </m:r>
              <m:sSub>
                <m:e>
                  <m:r>
                    <m:t>E</m:t>
                  </m:r>
                </m:e>
                <m:sub>
                  <m:r>
                    <m:t>r</m:t>
                  </m:r>
                  <m:r>
                    <m:t>a</m:t>
                  </m:r>
                </m:sub>
              </m:sSub>
              <m:r>
                <m:rPr>
                  <m:sty m:val="p"/>
                </m:rPr>
                <m:t>|</m:t>
              </m:r>
            </m:oMath>
            <w:r>
              <w:rPr>
                <w:lang w:val="es-AR"/>
              </w:rPr>
              <w:t xml:space="preserve"> </w:t>
            </w:r>
            <w:r>
              <w:rPr>
                <w:lang w:val="es-AR"/>
              </w:rPr>
              <w:t xml:space="preserve">(%)</w:t>
            </w:r>
          </w:p>
        </w:tc>
      </w:tr>
      <w:tr>
        <w:tc>
          <w:tcPr>
            <w:tcW w:type="dxa" w:w="373"/>
          </w:tcPr>
          <w:p>
            <w:pPr>
              <w:pStyle w:val="TableText"/>
              <w:jc w:val="center"/>
            </w:pPr>
            <w:r>
              <w:rPr>
                <w:lang w:val="es-AR"/>
              </w:rPr>
              <w:t xml:space="preserve">1</w:t>
            </w:r>
          </w:p>
        </w:tc>
        <w:tc>
          <w:tcPr>
            <w:tcW w:type="dxa" w:w="1028"/>
          </w:tcPr>
          <w:p>
            <w:pPr>
              <w:pStyle w:val="TableText"/>
              <w:jc w:val="center"/>
            </w:pPr>
            <w:r>
              <w:rPr>
                <w:lang w:val="es-AR"/>
              </w:rPr>
              <w:t xml:space="preserve">35,000000</w:t>
            </w:r>
          </w:p>
        </w:tc>
        <w:tc>
          <w:tcPr>
            <w:tcW w:type="dxa" w:w="1028"/>
          </w:tcPr>
          <w:p>
            <w:pPr>
              <w:pStyle w:val="TableText"/>
              <w:jc w:val="center"/>
            </w:pPr>
            <w:r>
              <w:rPr>
                <w:lang w:val="es-AR"/>
              </w:rPr>
              <w:t xml:space="preserve">36,000000</w:t>
            </w:r>
          </w:p>
        </w:tc>
        <w:tc>
          <w:tcPr>
            <w:tcW w:type="dxa" w:w="1028"/>
          </w:tcPr>
          <w:p>
            <w:pPr>
              <w:pStyle w:val="TableText"/>
              <w:jc w:val="center"/>
            </w:pPr>
            <w:r>
              <w:rPr>
                <w:lang w:val="es-AR"/>
              </w:rPr>
              <w:t xml:space="preserve">35,500000</w:t>
            </w:r>
          </w:p>
        </w:tc>
        <w:tc>
          <w:tcPr>
            <w:tcW w:type="dxa" w:w="1028"/>
          </w:tcPr>
          <w:p>
            <w:pPr>
              <w:pStyle w:val="TableText"/>
              <w:jc w:val="center"/>
            </w:pPr>
            <w:r>
              <w:rPr>
                <w:lang w:val="es-AR"/>
              </w:rPr>
              <w:t xml:space="preserve">−0,397848</w:t>
            </w:r>
          </w:p>
        </w:tc>
        <w:tc>
          <w:tcPr>
            <w:tcW w:type="dxa" w:w="1121"/>
          </w:tcPr>
          <w:p>
            <w:pPr>
              <w:pStyle w:val="TableText"/>
              <w:jc w:val="center"/>
            </w:pPr>
            <w:r>
              <w:rPr>
                <w:lang w:val="es-AR"/>
              </w:rPr>
              <w:t xml:space="preserve">1,188603</w:t>
            </w:r>
          </w:p>
        </w:tc>
        <w:tc>
          <w:tcPr>
            <w:tcW w:type="dxa" w:w="2056"/>
          </w:tcPr>
          <w:p>
            <w:pPr>
              <w:pStyle w:val="TableText"/>
              <w:jc w:val="center"/>
            </w:pPr>
            <w:r>
              <w:rPr>
                <w:lang w:val="es-AR"/>
              </w:rPr>
              <w:t xml:space="preserve">&lt; 0</w:t>
            </w:r>
          </w:p>
        </w:tc>
        <w:tc>
          <w:tcPr>
            <w:tcW w:type="dxa" w:w="1121"/>
          </w:tcPr>
          <w:p>
            <w:pPr>
              <w:pStyle w:val="TableText"/>
              <w:jc w:val="center"/>
            </w:pPr>
            <w:r>
              <w:rPr>
                <w:lang w:val="es-AR"/>
              </w:rPr>
              <w:t xml:space="preserve">—</w:t>
            </w:r>
          </w:p>
        </w:tc>
      </w:tr>
      <w:tr>
        <w:tc>
          <w:tcPr>
            <w:tcW w:type="dxa" w:w="373"/>
          </w:tcPr>
          <w:p>
            <w:pPr>
              <w:pStyle w:val="TableText"/>
              <w:jc w:val="center"/>
            </w:pPr>
            <w:r>
              <w:rPr>
                <w:lang w:val="es-AR"/>
              </w:rPr>
              <w:t xml:space="preserve">2</w:t>
            </w:r>
          </w:p>
        </w:tc>
        <w:tc>
          <w:tcPr>
            <w:tcW w:type="dxa" w:w="1028"/>
          </w:tcPr>
          <w:p>
            <w:pPr>
              <w:pStyle w:val="TableText"/>
              <w:jc w:val="center"/>
            </w:pPr>
            <w:r>
              <w:rPr>
                <w:lang w:val="es-AR"/>
              </w:rPr>
              <w:t xml:space="preserve">35,000000</w:t>
            </w:r>
          </w:p>
        </w:tc>
        <w:tc>
          <w:tcPr>
            <w:tcW w:type="dxa" w:w="1028"/>
          </w:tcPr>
          <w:p>
            <w:pPr>
              <w:pStyle w:val="TableText"/>
              <w:jc w:val="center"/>
            </w:pPr>
            <w:r>
              <w:rPr>
                <w:lang w:val="es-AR"/>
              </w:rPr>
              <w:t xml:space="preserve">35,500000</w:t>
            </w:r>
          </w:p>
        </w:tc>
        <w:tc>
          <w:tcPr>
            <w:tcW w:type="dxa" w:w="1028"/>
          </w:tcPr>
          <w:p>
            <w:pPr>
              <w:pStyle w:val="TableText"/>
              <w:jc w:val="center"/>
            </w:pPr>
            <w:r>
              <w:rPr>
                <w:lang w:val="es-AR"/>
              </w:rPr>
              <w:t xml:space="preserve">35,250000</w:t>
            </w:r>
          </w:p>
        </w:tc>
        <w:tc>
          <w:tcPr>
            <w:tcW w:type="dxa" w:w="1028"/>
          </w:tcPr>
          <w:p>
            <w:pPr>
              <w:pStyle w:val="TableText"/>
              <w:jc w:val="center"/>
            </w:pPr>
            <w:r>
              <w:rPr>
                <w:lang w:val="es-AR"/>
              </w:rPr>
              <w:t xml:space="preserve">−0,397848</w:t>
            </w:r>
          </w:p>
        </w:tc>
        <w:tc>
          <w:tcPr>
            <w:tcW w:type="dxa" w:w="1121"/>
          </w:tcPr>
          <w:p>
            <w:pPr>
              <w:pStyle w:val="TableText"/>
              <w:jc w:val="center"/>
            </w:pPr>
            <w:r>
              <w:rPr>
                <w:lang w:val="es-AR"/>
              </w:rPr>
              <w:t xml:space="preserve">0,399496</w:t>
            </w:r>
          </w:p>
        </w:tc>
        <w:tc>
          <w:tcPr>
            <w:tcW w:type="dxa" w:w="2056"/>
          </w:tcPr>
          <w:p>
            <w:pPr>
              <w:pStyle w:val="TableText"/>
              <w:jc w:val="center"/>
            </w:pPr>
            <w:r>
              <w:rPr>
                <w:lang w:val="es-AR"/>
              </w:rPr>
              <w:t xml:space="preserve">&lt; 0</w:t>
            </w:r>
          </w:p>
        </w:tc>
        <w:tc>
          <w:tcPr>
            <w:tcW w:type="dxa" w:w="1121"/>
          </w:tcPr>
          <w:p>
            <w:pPr>
              <w:pStyle w:val="TableText"/>
              <w:jc w:val="center"/>
            </w:pPr>
            <w:r>
              <w:rPr>
                <w:lang w:val="es-AR"/>
              </w:rPr>
              <w:t xml:space="preserve">0,7092</w:t>
            </w:r>
          </w:p>
        </w:tc>
      </w:tr>
      <w:tr>
        <w:tc>
          <w:tcPr>
            <w:tcW w:type="dxa" w:w="373"/>
          </w:tcPr>
          <w:p>
            <w:pPr>
              <w:pStyle w:val="TableText"/>
              <w:jc w:val="center"/>
            </w:pPr>
            <w:r>
              <w:rPr>
                <w:lang w:val="es-AR"/>
              </w:rPr>
              <w:t xml:space="preserve">3</w:t>
            </w:r>
          </w:p>
        </w:tc>
        <w:tc>
          <w:tcPr>
            <w:tcW w:type="dxa" w:w="1028"/>
          </w:tcPr>
          <w:p>
            <w:pPr>
              <w:pStyle w:val="TableText"/>
              <w:jc w:val="center"/>
            </w:pPr>
            <w:r>
              <w:rPr>
                <w:lang w:val="es-AR"/>
              </w:rPr>
              <w:t xml:space="preserve">35,000000</w:t>
            </w:r>
          </w:p>
        </w:tc>
        <w:tc>
          <w:tcPr>
            <w:tcW w:type="dxa" w:w="1028"/>
          </w:tcPr>
          <w:p>
            <w:pPr>
              <w:pStyle w:val="TableText"/>
              <w:jc w:val="center"/>
            </w:pPr>
            <w:r>
              <w:rPr>
                <w:lang w:val="es-AR"/>
              </w:rPr>
              <w:t xml:space="preserve">35,250000</w:t>
            </w:r>
          </w:p>
        </w:tc>
        <w:tc>
          <w:tcPr>
            <w:tcW w:type="dxa" w:w="1028"/>
          </w:tcPr>
          <w:p>
            <w:pPr>
              <w:pStyle w:val="TableText"/>
              <w:jc w:val="center"/>
            </w:pPr>
            <w:r>
              <w:rPr>
                <w:lang w:val="es-AR"/>
              </w:rPr>
              <w:t xml:space="preserve">35,125000</w:t>
            </w:r>
          </w:p>
        </w:tc>
        <w:tc>
          <w:tcPr>
            <w:tcW w:type="dxa" w:w="1028"/>
          </w:tcPr>
          <w:p>
            <w:pPr>
              <w:pStyle w:val="TableText"/>
              <w:jc w:val="center"/>
            </w:pPr>
            <w:r>
              <w:rPr>
                <w:lang w:val="es-AR"/>
              </w:rPr>
              <w:t xml:space="preserve">−0,397848</w:t>
            </w:r>
          </w:p>
        </w:tc>
        <w:tc>
          <w:tcPr>
            <w:tcW w:type="dxa" w:w="1121"/>
          </w:tcPr>
          <w:p>
            <w:pPr>
              <w:pStyle w:val="TableText"/>
              <w:jc w:val="center"/>
            </w:pPr>
            <w:r>
              <w:rPr>
                <w:lang w:val="es-AR"/>
              </w:rPr>
              <w:t xml:space="preserve">0,001791</w:t>
            </w:r>
          </w:p>
        </w:tc>
        <w:tc>
          <w:tcPr>
            <w:tcW w:type="dxa" w:w="2056"/>
          </w:tcPr>
          <w:p>
            <w:pPr>
              <w:pStyle w:val="TableText"/>
              <w:jc w:val="center"/>
            </w:pPr>
            <w:r>
              <w:rPr>
                <w:lang w:val="es-AR"/>
              </w:rPr>
              <w:t xml:space="preserve">&lt; 0</w:t>
            </w:r>
          </w:p>
        </w:tc>
        <w:tc>
          <w:tcPr>
            <w:tcW w:type="dxa" w:w="1121"/>
          </w:tcPr>
          <w:p>
            <w:pPr>
              <w:pStyle w:val="TableText"/>
              <w:jc w:val="center"/>
            </w:pPr>
            <w:r>
              <w:rPr>
                <w:lang w:val="es-AR"/>
              </w:rPr>
              <w:t xml:space="preserve">0,3559</w:t>
            </w:r>
          </w:p>
        </w:tc>
      </w:tr>
      <w:tr>
        <w:tc>
          <w:tcPr>
            <w:tcW w:type="dxa" w:w="373"/>
          </w:tcPr>
          <w:p>
            <w:pPr>
              <w:pStyle w:val="TableText"/>
              <w:jc w:val="center"/>
            </w:pPr>
            <w:r>
              <w:rPr>
                <w:lang w:val="es-AR"/>
              </w:rPr>
              <w:t xml:space="preserve">4</w:t>
            </w:r>
          </w:p>
        </w:tc>
        <w:tc>
          <w:tcPr>
            <w:tcW w:type="dxa" w:w="1028"/>
          </w:tcPr>
          <w:p>
            <w:pPr>
              <w:pStyle w:val="TableText"/>
              <w:jc w:val="center"/>
            </w:pPr>
            <w:r>
              <w:rPr>
                <w:lang w:val="es-AR"/>
              </w:rPr>
              <w:t xml:space="preserve">35,000000</w:t>
            </w:r>
          </w:p>
        </w:tc>
        <w:tc>
          <w:tcPr>
            <w:tcW w:type="dxa" w:w="1028"/>
          </w:tcPr>
          <w:p>
            <w:pPr>
              <w:pStyle w:val="TableText"/>
              <w:jc w:val="center"/>
            </w:pPr>
            <w:r>
              <w:rPr>
                <w:lang w:val="es-AR"/>
              </w:rPr>
              <w:t xml:space="preserve">35,125000</w:t>
            </w:r>
          </w:p>
        </w:tc>
        <w:tc>
          <w:tcPr>
            <w:tcW w:type="dxa" w:w="1028"/>
          </w:tcPr>
          <w:p>
            <w:pPr>
              <w:pStyle w:val="TableText"/>
              <w:jc w:val="center"/>
            </w:pPr>
            <w:r>
              <w:rPr>
                <w:lang w:val="es-AR"/>
              </w:rPr>
              <w:t xml:space="preserve">35,062500</w:t>
            </w:r>
          </w:p>
        </w:tc>
        <w:tc>
          <w:tcPr>
            <w:tcW w:type="dxa" w:w="1028"/>
          </w:tcPr>
          <w:p>
            <w:pPr>
              <w:pStyle w:val="TableText"/>
              <w:jc w:val="center"/>
            </w:pPr>
            <w:r>
              <w:rPr>
                <w:lang w:val="es-AR"/>
              </w:rPr>
              <w:t xml:space="preserve">−0,397848</w:t>
            </w:r>
          </w:p>
        </w:tc>
        <w:tc>
          <w:tcPr>
            <w:tcW w:type="dxa" w:w="1121"/>
          </w:tcPr>
          <w:p>
            <w:pPr>
              <w:pStyle w:val="TableText"/>
              <w:jc w:val="center"/>
            </w:pPr>
            <w:r>
              <w:rPr>
                <w:lang w:val="es-AR"/>
              </w:rPr>
              <w:t xml:space="preserve">−0,197795</w:t>
            </w:r>
          </w:p>
        </w:tc>
        <w:tc>
          <w:tcPr>
            <w:tcW w:type="dxa" w:w="2056"/>
          </w:tcPr>
          <w:p>
            <w:pPr>
              <w:pStyle w:val="TableText"/>
              <w:jc w:val="center"/>
            </w:pPr>
            <w:r>
              <w:rPr>
                <w:lang w:val="es-AR"/>
              </w:rPr>
              <w:t xml:space="preserve">&gt; 0</w:t>
            </w:r>
          </w:p>
        </w:tc>
        <w:tc>
          <w:tcPr>
            <w:tcW w:type="dxa" w:w="1121"/>
          </w:tcPr>
          <w:p>
            <w:pPr>
              <w:pStyle w:val="TableText"/>
              <w:jc w:val="center"/>
            </w:pPr>
            <w:r>
              <w:rPr>
                <w:lang w:val="es-AR"/>
              </w:rPr>
              <w:t xml:space="preserve">0,1783</w:t>
            </w:r>
          </w:p>
        </w:tc>
      </w:tr>
      <w:tr>
        <w:tc>
          <w:tcPr>
            <w:tcW w:type="dxa" w:w="373"/>
          </w:tcPr>
          <w:p>
            <w:pPr>
              <w:pStyle w:val="TableText"/>
              <w:jc w:val="center"/>
            </w:pPr>
            <w:r>
              <w:rPr>
                <w:lang w:val="es-AR"/>
              </w:rPr>
              <w:t xml:space="preserve">5</w:t>
            </w:r>
          </w:p>
        </w:tc>
        <w:tc>
          <w:tcPr>
            <w:tcW w:type="dxa" w:w="1028"/>
          </w:tcPr>
          <w:p>
            <w:pPr>
              <w:pStyle w:val="TableText"/>
              <w:jc w:val="center"/>
            </w:pPr>
            <w:r>
              <w:rPr>
                <w:lang w:val="es-AR"/>
              </w:rPr>
              <w:t xml:space="preserve">35,062500</w:t>
            </w:r>
          </w:p>
        </w:tc>
        <w:tc>
          <w:tcPr>
            <w:tcW w:type="dxa" w:w="1028"/>
          </w:tcPr>
          <w:p>
            <w:pPr>
              <w:pStyle w:val="TableText"/>
              <w:jc w:val="center"/>
            </w:pPr>
            <w:r>
              <w:rPr>
                <w:lang w:val="es-AR"/>
              </w:rPr>
              <w:t xml:space="preserve">35,125000</w:t>
            </w:r>
          </w:p>
        </w:tc>
        <w:tc>
          <w:tcPr>
            <w:tcW w:type="dxa" w:w="1028"/>
          </w:tcPr>
          <w:p>
            <w:pPr>
              <w:pStyle w:val="TableText"/>
              <w:jc w:val="center"/>
            </w:pPr>
            <w:r>
              <w:rPr>
                <w:lang w:val="es-AR"/>
              </w:rPr>
              <w:t xml:space="preserve">35,093750</w:t>
            </w:r>
          </w:p>
        </w:tc>
        <w:tc>
          <w:tcPr>
            <w:tcW w:type="dxa" w:w="1028"/>
          </w:tcPr>
          <w:p>
            <w:pPr>
              <w:pStyle w:val="TableText"/>
              <w:jc w:val="center"/>
            </w:pPr>
            <w:r>
              <w:rPr>
                <w:lang w:val="es-AR"/>
              </w:rPr>
              <w:t xml:space="preserve">−0,197795</w:t>
            </w:r>
          </w:p>
        </w:tc>
        <w:tc>
          <w:tcPr>
            <w:tcW w:type="dxa" w:w="1121"/>
          </w:tcPr>
          <w:p>
            <w:pPr>
              <w:pStyle w:val="TableText"/>
              <w:jc w:val="center"/>
            </w:pPr>
            <w:r>
              <w:rPr>
                <w:lang w:val="es-AR"/>
              </w:rPr>
              <w:t xml:space="preserve">−0,097943</w:t>
            </w:r>
          </w:p>
        </w:tc>
        <w:tc>
          <w:tcPr>
            <w:tcW w:type="dxa" w:w="2056"/>
          </w:tcPr>
          <w:p>
            <w:pPr>
              <w:pStyle w:val="TableText"/>
              <w:jc w:val="center"/>
            </w:pPr>
            <w:r>
              <w:rPr>
                <w:lang w:val="es-AR"/>
              </w:rPr>
              <w:t xml:space="preserve">&gt; 0</w:t>
            </w:r>
          </w:p>
        </w:tc>
        <w:tc>
          <w:tcPr>
            <w:tcW w:type="dxa" w:w="1121"/>
          </w:tcPr>
          <w:p>
            <w:pPr>
              <w:pStyle w:val="TableText"/>
              <w:jc w:val="center"/>
            </w:pPr>
            <w:r>
              <w:rPr>
                <w:lang w:val="es-AR"/>
              </w:rPr>
              <w:t xml:space="preserve">0,0890</w:t>
            </w:r>
          </w:p>
        </w:tc>
      </w:tr>
      <w:tr>
        <w:tc>
          <w:tcPr>
            <w:tcW w:type="dxa" w:w="373"/>
          </w:tcPr>
          <w:p>
            <w:pPr>
              <w:pStyle w:val="TableText"/>
              <w:jc w:val="center"/>
            </w:pPr>
            <w:r>
              <w:rPr>
                <w:lang w:val="es-AR"/>
              </w:rPr>
              <w:t xml:space="preserve">6</w:t>
            </w:r>
          </w:p>
        </w:tc>
        <w:tc>
          <w:tcPr>
            <w:tcW w:type="dxa" w:w="1028"/>
          </w:tcPr>
          <w:p>
            <w:pPr>
              <w:pStyle w:val="TableText"/>
              <w:jc w:val="center"/>
            </w:pPr>
            <w:r>
              <w:rPr>
                <w:lang w:val="es-AR"/>
              </w:rPr>
              <w:t xml:space="preserve">35,093750</w:t>
            </w:r>
          </w:p>
        </w:tc>
        <w:tc>
          <w:tcPr>
            <w:tcW w:type="dxa" w:w="1028"/>
          </w:tcPr>
          <w:p>
            <w:pPr>
              <w:pStyle w:val="TableText"/>
              <w:jc w:val="center"/>
            </w:pPr>
            <w:r>
              <w:rPr>
                <w:lang w:val="es-AR"/>
              </w:rPr>
              <w:t xml:space="preserve">35,125000</w:t>
            </w:r>
          </w:p>
        </w:tc>
        <w:tc>
          <w:tcPr>
            <w:tcW w:type="dxa" w:w="1028"/>
          </w:tcPr>
          <w:p>
            <w:pPr>
              <w:pStyle w:val="TableText"/>
              <w:jc w:val="center"/>
            </w:pPr>
            <w:r>
              <w:rPr>
                <w:lang w:val="es-AR"/>
              </w:rPr>
              <w:t xml:space="preserve">35,109375</w:t>
            </w:r>
          </w:p>
        </w:tc>
        <w:tc>
          <w:tcPr>
            <w:tcW w:type="dxa" w:w="1028"/>
          </w:tcPr>
          <w:p>
            <w:pPr>
              <w:pStyle w:val="TableText"/>
              <w:jc w:val="center"/>
            </w:pPr>
            <w:r>
              <w:rPr>
                <w:lang w:val="es-AR"/>
              </w:rPr>
              <w:t xml:space="preserve">−0,097943</w:t>
            </w:r>
          </w:p>
        </w:tc>
        <w:tc>
          <w:tcPr>
            <w:tcW w:type="dxa" w:w="1121"/>
          </w:tcPr>
          <w:p>
            <w:pPr>
              <w:pStyle w:val="TableText"/>
              <w:jc w:val="center"/>
            </w:pPr>
            <w:r>
              <w:rPr>
                <w:lang w:val="es-AR"/>
              </w:rPr>
              <w:t xml:space="preserve">−0,048061</w:t>
            </w:r>
          </w:p>
        </w:tc>
        <w:tc>
          <w:tcPr>
            <w:tcW w:type="dxa" w:w="2056"/>
          </w:tcPr>
          <w:p>
            <w:pPr>
              <w:pStyle w:val="TableText"/>
              <w:jc w:val="center"/>
            </w:pPr>
            <w:r>
              <w:rPr>
                <w:lang w:val="es-AR"/>
              </w:rPr>
              <w:t xml:space="preserve">&gt; 0</w:t>
            </w:r>
          </w:p>
        </w:tc>
        <w:tc>
          <w:tcPr>
            <w:tcW w:type="dxa" w:w="1121"/>
          </w:tcPr>
          <w:p>
            <w:pPr>
              <w:pStyle w:val="TableText"/>
              <w:jc w:val="center"/>
            </w:pPr>
            <w:r>
              <w:rPr>
                <w:lang w:val="es-AR"/>
              </w:rPr>
              <w:t xml:space="preserve">0,0445</w:t>
            </w:r>
          </w:p>
        </w:tc>
      </w:tr>
      <w:tr>
        <w:tc>
          <w:tcPr>
            <w:tcW w:type="dxa" w:w="373"/>
          </w:tcPr>
          <w:p>
            <w:pPr>
              <w:pStyle w:val="TableText"/>
              <w:jc w:val="center"/>
            </w:pPr>
            <w:r>
              <w:rPr>
                <w:lang w:val="es-AR"/>
              </w:rPr>
              <w:t xml:space="preserve">7</w:t>
            </w:r>
          </w:p>
        </w:tc>
        <w:tc>
          <w:tcPr>
            <w:tcW w:type="dxa" w:w="1028"/>
          </w:tcPr>
          <w:p>
            <w:pPr>
              <w:pStyle w:val="TableText"/>
              <w:jc w:val="center"/>
            </w:pPr>
            <w:r>
              <w:rPr>
                <w:lang w:val="es-AR"/>
              </w:rPr>
              <w:t xml:space="preserve">35,109375</w:t>
            </w:r>
          </w:p>
        </w:tc>
        <w:tc>
          <w:tcPr>
            <w:tcW w:type="dxa" w:w="1028"/>
          </w:tcPr>
          <w:p>
            <w:pPr>
              <w:pStyle w:val="TableText"/>
              <w:jc w:val="center"/>
            </w:pPr>
            <w:r>
              <w:rPr>
                <w:lang w:val="es-AR"/>
              </w:rPr>
              <w:t xml:space="preserve">35,125000</w:t>
            </w:r>
          </w:p>
        </w:tc>
        <w:tc>
          <w:tcPr>
            <w:tcW w:type="dxa" w:w="1028"/>
          </w:tcPr>
          <w:p>
            <w:pPr>
              <w:pStyle w:val="TableText"/>
              <w:jc w:val="center"/>
            </w:pPr>
            <w:r>
              <w:rPr>
                <w:lang w:val="es-AR"/>
              </w:rPr>
              <w:t xml:space="preserve">35,117188</w:t>
            </w:r>
          </w:p>
        </w:tc>
        <w:tc>
          <w:tcPr>
            <w:tcW w:type="dxa" w:w="1028"/>
          </w:tcPr>
          <w:p>
            <w:pPr>
              <w:pStyle w:val="TableText"/>
              <w:jc w:val="center"/>
            </w:pPr>
            <w:r>
              <w:rPr>
                <w:lang w:val="es-AR"/>
              </w:rPr>
              <w:t xml:space="preserve">−0,048061</w:t>
            </w:r>
          </w:p>
        </w:tc>
        <w:tc>
          <w:tcPr>
            <w:tcW w:type="dxa" w:w="1121"/>
          </w:tcPr>
          <w:p>
            <w:pPr>
              <w:pStyle w:val="TableText"/>
              <w:jc w:val="center"/>
            </w:pPr>
            <w:r>
              <w:rPr>
                <w:lang w:val="es-AR"/>
              </w:rPr>
              <w:t xml:space="preserve">−0,023131</w:t>
            </w:r>
          </w:p>
        </w:tc>
        <w:tc>
          <w:tcPr>
            <w:tcW w:type="dxa" w:w="2056"/>
          </w:tcPr>
          <w:p>
            <w:pPr>
              <w:pStyle w:val="TableText"/>
              <w:jc w:val="center"/>
            </w:pPr>
            <w:r>
              <w:rPr>
                <w:lang w:val="es-AR"/>
              </w:rPr>
              <w:t xml:space="preserve">&gt; 0</w:t>
            </w:r>
          </w:p>
        </w:tc>
        <w:tc>
          <w:tcPr>
            <w:tcW w:type="dxa" w:w="1121"/>
          </w:tcPr>
          <w:p>
            <w:pPr>
              <w:pStyle w:val="TableText"/>
              <w:jc w:val="center"/>
            </w:pPr>
            <w:r>
              <w:rPr>
                <w:lang w:val="es-AR"/>
              </w:rPr>
              <w:t xml:space="preserve">0,0222</w:t>
            </w:r>
          </w:p>
        </w:tc>
      </w:tr>
      <w:tr>
        <w:tc>
          <w:tcPr>
            <w:tcW w:type="dxa" w:w="373"/>
          </w:tcPr>
          <w:p>
            <w:pPr>
              <w:pStyle w:val="TableText"/>
              <w:jc w:val="center"/>
            </w:pPr>
            <w:r>
              <w:rPr>
                <w:lang w:val="es-AR"/>
              </w:rPr>
              <w:t xml:space="preserve">8</w:t>
            </w:r>
          </w:p>
        </w:tc>
        <w:tc>
          <w:tcPr>
            <w:tcW w:type="dxa" w:w="1028"/>
          </w:tcPr>
          <w:p>
            <w:pPr>
              <w:pStyle w:val="TableText"/>
              <w:jc w:val="center"/>
            </w:pPr>
            <w:r>
              <w:rPr>
                <w:lang w:val="es-AR"/>
              </w:rPr>
              <w:t xml:space="preserve">35,117188</w:t>
            </w:r>
          </w:p>
        </w:tc>
        <w:tc>
          <w:tcPr>
            <w:tcW w:type="dxa" w:w="1028"/>
          </w:tcPr>
          <w:p>
            <w:pPr>
              <w:pStyle w:val="TableText"/>
              <w:jc w:val="center"/>
            </w:pPr>
            <w:r>
              <w:rPr>
                <w:lang w:val="es-AR"/>
              </w:rPr>
              <w:t xml:space="preserve">35,125000</w:t>
            </w:r>
          </w:p>
        </w:tc>
        <w:tc>
          <w:tcPr>
            <w:tcW w:type="dxa" w:w="1028"/>
          </w:tcPr>
          <w:p>
            <w:pPr>
              <w:pStyle w:val="TableText"/>
              <w:jc w:val="center"/>
            </w:pPr>
            <w:r>
              <w:rPr>
                <w:lang w:val="es-AR"/>
              </w:rPr>
              <w:t xml:space="preserve">35,121094</w:t>
            </w:r>
          </w:p>
        </w:tc>
        <w:tc>
          <w:tcPr>
            <w:tcW w:type="dxa" w:w="1028"/>
          </w:tcPr>
          <w:p>
            <w:pPr>
              <w:pStyle w:val="TableText"/>
              <w:jc w:val="center"/>
            </w:pPr>
            <w:r>
              <w:rPr>
                <w:lang w:val="es-AR"/>
              </w:rPr>
              <w:t xml:space="preserve">−0,023131</w:t>
            </w:r>
          </w:p>
        </w:tc>
        <w:tc>
          <w:tcPr>
            <w:tcW w:type="dxa" w:w="1121"/>
          </w:tcPr>
          <w:p>
            <w:pPr>
              <w:pStyle w:val="TableText"/>
              <w:jc w:val="center"/>
            </w:pPr>
            <w:r>
              <w:rPr>
                <w:lang w:val="es-AR"/>
              </w:rPr>
              <w:t xml:space="preserve">−0,010669</w:t>
            </w:r>
          </w:p>
        </w:tc>
        <w:tc>
          <w:tcPr>
            <w:tcW w:type="dxa" w:w="2056"/>
          </w:tcPr>
          <w:p>
            <w:pPr>
              <w:pStyle w:val="TableText"/>
              <w:jc w:val="center"/>
            </w:pPr>
            <w:r>
              <w:rPr>
                <w:lang w:val="es-AR"/>
              </w:rPr>
              <w:t xml:space="preserve">&gt; 0</w:t>
            </w:r>
          </w:p>
        </w:tc>
        <w:tc>
          <w:tcPr>
            <w:tcW w:type="dxa" w:w="1121"/>
          </w:tcPr>
          <w:p>
            <w:pPr>
              <w:pStyle w:val="TableText"/>
              <w:jc w:val="center"/>
            </w:pPr>
            <w:r>
              <w:rPr>
                <w:lang w:val="es-AR"/>
              </w:rPr>
              <w:t xml:space="preserve">0,0111</w:t>
            </w:r>
          </w:p>
        </w:tc>
      </w:tr>
      <w:tr>
        <w:tc>
          <w:tcPr>
            <w:tcW w:type="dxa" w:w="373"/>
          </w:tcPr>
          <w:p>
            <w:pPr>
              <w:pStyle w:val="TableText"/>
              <w:jc w:val="center"/>
            </w:pPr>
            <w:r>
              <w:rPr>
                <w:lang w:val="es-AR"/>
              </w:rPr>
              <w:t xml:space="preserve">9</w:t>
            </w:r>
          </w:p>
        </w:tc>
        <w:tc>
          <w:tcPr>
            <w:tcW w:type="dxa" w:w="1028"/>
          </w:tcPr>
          <w:p>
            <w:pPr>
              <w:pStyle w:val="TableText"/>
              <w:jc w:val="center"/>
            </w:pPr>
            <w:r>
              <w:rPr>
                <w:lang w:val="es-AR"/>
              </w:rPr>
              <w:t xml:space="preserve">35,121094</w:t>
            </w:r>
          </w:p>
        </w:tc>
        <w:tc>
          <w:tcPr>
            <w:tcW w:type="dxa" w:w="1028"/>
          </w:tcPr>
          <w:p>
            <w:pPr>
              <w:pStyle w:val="TableText"/>
              <w:jc w:val="center"/>
            </w:pPr>
            <w:r>
              <w:rPr>
                <w:lang w:val="es-AR"/>
              </w:rPr>
              <w:t xml:space="preserve">35,125000</w:t>
            </w:r>
          </w:p>
        </w:tc>
        <w:tc>
          <w:tcPr>
            <w:tcW w:type="dxa" w:w="1028"/>
          </w:tcPr>
          <w:p>
            <w:pPr>
              <w:pStyle w:val="TableText"/>
              <w:jc w:val="center"/>
            </w:pPr>
            <w:r>
              <w:rPr>
                <w:lang w:val="es-AR"/>
              </w:rPr>
              <w:t xml:space="preserve">35,123047</w:t>
            </w:r>
          </w:p>
        </w:tc>
        <w:tc>
          <w:tcPr>
            <w:tcW w:type="dxa" w:w="1028"/>
          </w:tcPr>
          <w:p>
            <w:pPr>
              <w:pStyle w:val="TableText"/>
              <w:jc w:val="center"/>
            </w:pPr>
            <w:r>
              <w:rPr>
                <w:lang w:val="es-AR"/>
              </w:rPr>
              <w:t xml:space="preserve">−0,010669</w:t>
            </w:r>
          </w:p>
        </w:tc>
        <w:tc>
          <w:tcPr>
            <w:tcW w:type="dxa" w:w="1121"/>
          </w:tcPr>
          <w:p>
            <w:pPr>
              <w:pStyle w:val="TableText"/>
              <w:jc w:val="center"/>
            </w:pPr>
            <w:r>
              <w:rPr>
                <w:lang w:val="es-AR"/>
              </w:rPr>
              <w:t xml:space="preserve">−0,004439</w:t>
            </w:r>
          </w:p>
        </w:tc>
        <w:tc>
          <w:tcPr>
            <w:tcW w:type="dxa" w:w="2056"/>
          </w:tcPr>
          <w:p>
            <w:pPr>
              <w:pStyle w:val="TableText"/>
              <w:jc w:val="center"/>
            </w:pPr>
            <w:r>
              <w:rPr>
                <w:lang w:val="es-AR"/>
              </w:rPr>
              <w:t xml:space="preserve">&gt; 0</w:t>
            </w:r>
          </w:p>
        </w:tc>
        <w:tc>
          <w:tcPr>
            <w:tcW w:type="dxa" w:w="1121"/>
          </w:tcPr>
          <w:p>
            <w:pPr>
              <w:pStyle w:val="TableText"/>
              <w:jc w:val="center"/>
            </w:pPr>
            <w:r>
              <w:rPr>
                <w:lang w:val="es-AR"/>
              </w:rPr>
              <w:t xml:space="preserve">0,005561</w:t>
            </w:r>
          </w:p>
        </w:tc>
      </w:tr>
      <w:tr>
        <w:tc>
          <w:tcPr>
            <w:tcW w:type="dxa" w:w="373"/>
          </w:tcPr>
          <w:p>
            <w:pPr>
              <w:pStyle w:val="TableText"/>
              <w:jc w:val="center"/>
            </w:pPr>
            <w:r>
              <w:rPr>
                <w:lang w:val="es-AR"/>
              </w:rPr>
              <w:t xml:space="preserve">10</w:t>
            </w:r>
          </w:p>
        </w:tc>
        <w:tc>
          <w:tcPr>
            <w:tcW w:type="dxa" w:w="1028"/>
          </w:tcPr>
          <w:p>
            <w:pPr>
              <w:pStyle w:val="TableText"/>
              <w:jc w:val="center"/>
            </w:pPr>
            <w:r>
              <w:rPr>
                <w:lang w:val="es-AR"/>
              </w:rPr>
              <w:t xml:space="preserve">35,123047</w:t>
            </w:r>
          </w:p>
        </w:tc>
        <w:tc>
          <w:tcPr>
            <w:tcW w:type="dxa" w:w="1028"/>
          </w:tcPr>
          <w:p>
            <w:pPr>
              <w:pStyle w:val="TableText"/>
              <w:jc w:val="center"/>
            </w:pPr>
            <w:r>
              <w:rPr>
                <w:lang w:val="es-AR"/>
              </w:rPr>
              <w:t xml:space="preserve">35,125000</w:t>
            </w:r>
          </w:p>
        </w:tc>
        <w:tc>
          <w:tcPr>
            <w:tcW w:type="dxa" w:w="1028"/>
          </w:tcPr>
          <w:p>
            <w:pPr>
              <w:pStyle w:val="TableText"/>
              <w:jc w:val="center"/>
            </w:pPr>
            <w:r>
              <w:rPr>
                <w:lang w:val="es-AR"/>
              </w:rPr>
              <w:t xml:space="preserve">35,124023</w:t>
            </w:r>
          </w:p>
        </w:tc>
        <w:tc>
          <w:tcPr>
            <w:tcW w:type="dxa" w:w="1028"/>
          </w:tcPr>
          <w:p>
            <w:pPr>
              <w:pStyle w:val="TableText"/>
              <w:jc w:val="center"/>
            </w:pPr>
            <w:r>
              <w:rPr>
                <w:lang w:val="es-AR"/>
              </w:rPr>
              <w:t xml:space="preserve">−0,004439</w:t>
            </w:r>
          </w:p>
        </w:tc>
        <w:tc>
          <w:tcPr>
            <w:tcW w:type="dxa" w:w="1121"/>
          </w:tcPr>
          <w:p>
            <w:pPr>
              <w:pStyle w:val="TableText"/>
              <w:jc w:val="center"/>
            </w:pPr>
            <w:r>
              <w:rPr>
                <w:lang w:val="es-AR"/>
              </w:rPr>
              <w:t xml:space="preserve">−0,001324</w:t>
            </w:r>
          </w:p>
        </w:tc>
        <w:tc>
          <w:tcPr>
            <w:tcW w:type="dxa" w:w="2056"/>
          </w:tcPr>
          <w:p>
            <w:pPr>
              <w:pStyle w:val="TableText"/>
              <w:jc w:val="center"/>
            </w:pPr>
            <w:r>
              <w:rPr>
                <w:lang w:val="es-AR"/>
              </w:rPr>
              <w:t xml:space="preserve">&gt; 0</w:t>
            </w:r>
          </w:p>
        </w:tc>
        <w:tc>
          <w:tcPr>
            <w:tcW w:type="dxa" w:w="1121"/>
          </w:tcPr>
          <w:p>
            <w:pPr>
              <w:pStyle w:val="TableText"/>
              <w:jc w:val="center"/>
            </w:pPr>
            <w:r>
              <w:rPr>
                <w:lang w:val="es-AR"/>
              </w:rPr>
              <w:t xml:space="preserve">0,002780</w:t>
            </w:r>
          </w:p>
        </w:tc>
      </w:tr>
      <w:tr>
        <w:tc>
          <w:tcPr>
            <w:tcW w:type="dxa" w:w="373"/>
          </w:tcPr>
          <w:p>
            <w:pPr>
              <w:pStyle w:val="TableText"/>
              <w:jc w:val="center"/>
            </w:pPr>
            <w:r>
              <w:rPr>
                <w:lang w:val="es-AR"/>
              </w:rPr>
              <w:t xml:space="preserve">11</w:t>
            </w:r>
          </w:p>
        </w:tc>
        <w:tc>
          <w:tcPr>
            <w:tcW w:type="dxa" w:w="1028"/>
          </w:tcPr>
          <w:p>
            <w:pPr>
              <w:pStyle w:val="TableText"/>
              <w:jc w:val="center"/>
            </w:pPr>
            <w:r>
              <w:rPr>
                <w:lang w:val="es-AR"/>
              </w:rPr>
              <w:t xml:space="preserve">35,124023</w:t>
            </w:r>
          </w:p>
        </w:tc>
        <w:tc>
          <w:tcPr>
            <w:tcW w:type="dxa" w:w="1028"/>
          </w:tcPr>
          <w:p>
            <w:pPr>
              <w:pStyle w:val="TableText"/>
              <w:jc w:val="center"/>
            </w:pPr>
            <w:r>
              <w:rPr>
                <w:lang w:val="es-AR"/>
              </w:rPr>
              <w:t xml:space="preserve">35,125000</w:t>
            </w:r>
          </w:p>
        </w:tc>
        <w:tc>
          <w:tcPr>
            <w:tcW w:type="dxa" w:w="1028"/>
          </w:tcPr>
          <w:p>
            <w:pPr>
              <w:pStyle w:val="TableText"/>
              <w:jc w:val="center"/>
            </w:pPr>
            <w:r>
              <w:rPr>
                <w:lang w:val="es-AR"/>
              </w:rPr>
              <w:t xml:space="preserve">35,124512</w:t>
            </w:r>
          </w:p>
        </w:tc>
        <w:tc>
          <w:tcPr>
            <w:tcW w:type="dxa" w:w="1028"/>
          </w:tcPr>
          <w:p>
            <w:pPr>
              <w:pStyle w:val="TableText"/>
              <w:jc w:val="center"/>
            </w:pPr>
            <w:r>
              <w:rPr>
                <w:lang w:val="es-AR"/>
              </w:rPr>
              <w:t xml:space="preserve">−0,001324</w:t>
            </w:r>
          </w:p>
        </w:tc>
        <w:tc>
          <w:tcPr>
            <w:tcW w:type="dxa" w:w="1121"/>
          </w:tcPr>
          <w:p>
            <w:pPr>
              <w:pStyle w:val="TableText"/>
              <w:jc w:val="center"/>
            </w:pPr>
            <w:r>
              <w:rPr>
                <w:lang w:val="es-AR"/>
              </w:rPr>
              <w:t xml:space="preserve">0,000233</w:t>
            </w:r>
          </w:p>
        </w:tc>
        <w:tc>
          <w:tcPr>
            <w:tcW w:type="dxa" w:w="2056"/>
          </w:tcPr>
          <w:p>
            <w:pPr>
              <w:pStyle w:val="TableText"/>
              <w:jc w:val="center"/>
            </w:pPr>
            <w:r>
              <w:rPr>
                <w:lang w:val="es-AR"/>
              </w:rPr>
              <w:t xml:space="preserve">&lt; 0</w:t>
            </w:r>
          </w:p>
        </w:tc>
        <w:tc>
          <w:tcPr>
            <w:tcW w:type="dxa" w:w="1121"/>
          </w:tcPr>
          <w:p>
            <w:pPr>
              <w:pStyle w:val="TableText"/>
              <w:jc w:val="center"/>
            </w:pPr>
            <w:r>
              <w:rPr>
                <w:lang w:val="es-AR"/>
              </w:rPr>
              <w:t xml:space="preserve">0,001390</w:t>
            </w:r>
          </w:p>
        </w:tc>
      </w:tr>
      <w:tr>
        <w:tc>
          <w:tcPr>
            <w:tcW w:type="dxa" w:w="373"/>
          </w:tcPr>
          <w:p>
            <w:pPr>
              <w:pStyle w:val="TableText"/>
              <w:jc w:val="center"/>
            </w:pPr>
            <w:r>
              <w:rPr>
                <w:lang w:val="es-AR"/>
              </w:rPr>
              <w:t xml:space="preserve">12</w:t>
            </w:r>
          </w:p>
        </w:tc>
        <w:tc>
          <w:tcPr>
            <w:tcW w:type="dxa" w:w="1028"/>
          </w:tcPr>
          <w:p>
            <w:pPr>
              <w:pStyle w:val="TableText"/>
              <w:jc w:val="center"/>
            </w:pPr>
            <w:r>
              <w:rPr>
                <w:lang w:val="es-AR"/>
              </w:rPr>
              <w:t xml:space="preserve">35,124023</w:t>
            </w:r>
          </w:p>
        </w:tc>
        <w:tc>
          <w:tcPr>
            <w:tcW w:type="dxa" w:w="1028"/>
          </w:tcPr>
          <w:p>
            <w:pPr>
              <w:pStyle w:val="TableText"/>
              <w:jc w:val="center"/>
            </w:pPr>
            <w:r>
              <w:rPr>
                <w:lang w:val="es-AR"/>
              </w:rPr>
              <w:t xml:space="preserve">35,124512</w:t>
            </w:r>
          </w:p>
        </w:tc>
        <w:tc>
          <w:tcPr>
            <w:tcW w:type="dxa" w:w="1028"/>
          </w:tcPr>
          <w:p>
            <w:pPr>
              <w:pStyle w:val="TableText"/>
              <w:jc w:val="center"/>
            </w:pPr>
            <w:r>
              <w:rPr>
                <w:lang w:val="es-AR"/>
              </w:rPr>
              <w:t xml:space="preserve">35,124268</w:t>
            </w:r>
          </w:p>
        </w:tc>
        <w:tc>
          <w:tcPr>
            <w:tcW w:type="dxa" w:w="1028"/>
          </w:tcPr>
          <w:p>
            <w:pPr>
              <w:pStyle w:val="TableText"/>
              <w:jc w:val="center"/>
            </w:pPr>
            <w:r>
              <w:rPr>
                <w:lang w:val="es-AR"/>
              </w:rPr>
              <w:t xml:space="preserve">−0,001324</w:t>
            </w:r>
          </w:p>
        </w:tc>
        <w:tc>
          <w:tcPr>
            <w:tcW w:type="dxa" w:w="1121"/>
          </w:tcPr>
          <w:p>
            <w:pPr>
              <w:pStyle w:val="TableText"/>
              <w:jc w:val="center"/>
            </w:pPr>
            <w:r>
              <w:rPr>
                <w:lang w:val="es-AR"/>
              </w:rPr>
              <w:t xml:space="preserve">−0,000545</w:t>
            </w:r>
          </w:p>
        </w:tc>
        <w:tc>
          <w:tcPr>
            <w:tcW w:type="dxa" w:w="2056"/>
          </w:tcPr>
          <w:p>
            <w:pPr>
              <w:pStyle w:val="TableText"/>
              <w:jc w:val="center"/>
            </w:pPr>
            <w:r>
              <w:rPr>
                <w:lang w:val="es-AR"/>
              </w:rPr>
              <w:t xml:space="preserve">&gt; 0</w:t>
            </w:r>
          </w:p>
        </w:tc>
        <w:tc>
          <w:tcPr>
            <w:tcW w:type="dxa" w:w="1121"/>
          </w:tcPr>
          <w:p>
            <w:pPr>
              <w:pStyle w:val="TableText"/>
              <w:jc w:val="center"/>
            </w:pPr>
            <w:r>
              <w:rPr>
                <w:lang w:val="es-AR"/>
              </w:rPr>
              <w:t xml:space="preserve">0,000695</w:t>
            </w:r>
          </w:p>
        </w:tc>
      </w:tr>
      <w:tr>
        <w:tc>
          <w:tcPr>
            <w:tcW w:type="dxa" w:w="373"/>
          </w:tcPr>
          <w:p>
            <w:pPr>
              <w:pStyle w:val="TableText"/>
              <w:jc w:val="center"/>
            </w:pPr>
            <w:r>
              <w:rPr>
                <w:lang w:val="es-AR"/>
              </w:rPr>
              <w:t xml:space="preserve">13</w:t>
            </w:r>
          </w:p>
        </w:tc>
        <w:tc>
          <w:tcPr>
            <w:tcW w:type="dxa" w:w="1028"/>
          </w:tcPr>
          <w:p>
            <w:pPr>
              <w:pStyle w:val="TableText"/>
              <w:jc w:val="center"/>
            </w:pPr>
            <w:r>
              <w:rPr>
                <w:lang w:val="es-AR"/>
              </w:rPr>
              <w:t xml:space="preserve">35,124268</w:t>
            </w:r>
          </w:p>
        </w:tc>
        <w:tc>
          <w:tcPr>
            <w:tcW w:type="dxa" w:w="1028"/>
          </w:tcPr>
          <w:p>
            <w:pPr>
              <w:pStyle w:val="TableText"/>
              <w:jc w:val="center"/>
            </w:pPr>
            <w:r>
              <w:rPr>
                <w:lang w:val="es-AR"/>
              </w:rPr>
              <w:t xml:space="preserve">35,124512</w:t>
            </w:r>
          </w:p>
        </w:tc>
        <w:tc>
          <w:tcPr>
            <w:tcW w:type="dxa" w:w="1028"/>
          </w:tcPr>
          <w:p>
            <w:pPr>
              <w:pStyle w:val="TableText"/>
              <w:jc w:val="center"/>
            </w:pPr>
            <w:r>
              <w:rPr>
                <w:lang w:val="es-AR"/>
              </w:rPr>
              <w:t xml:space="preserve">35,124390</w:t>
            </w:r>
          </w:p>
        </w:tc>
        <w:tc>
          <w:tcPr>
            <w:tcW w:type="dxa" w:w="1028"/>
          </w:tcPr>
          <w:p>
            <w:pPr>
              <w:pStyle w:val="TableText"/>
              <w:jc w:val="center"/>
            </w:pPr>
            <w:r>
              <w:rPr>
                <w:lang w:val="es-AR"/>
              </w:rPr>
              <w:t xml:space="preserve">−0,000545</w:t>
            </w:r>
          </w:p>
        </w:tc>
        <w:tc>
          <w:tcPr>
            <w:tcW w:type="dxa" w:w="1121"/>
          </w:tcPr>
          <w:p>
            <w:pPr>
              <w:pStyle w:val="TableText"/>
              <w:jc w:val="center"/>
            </w:pPr>
            <w:r>
              <w:rPr>
                <w:lang w:val="es-AR"/>
              </w:rPr>
              <w:t xml:space="preserve">−0,000156</w:t>
            </w:r>
          </w:p>
        </w:tc>
        <w:tc>
          <w:tcPr>
            <w:tcW w:type="dxa" w:w="2056"/>
          </w:tcPr>
          <w:p>
            <w:pPr>
              <w:pStyle w:val="TableText"/>
              <w:jc w:val="center"/>
            </w:pPr>
            <w:r>
              <w:rPr>
                <w:lang w:val="es-AR"/>
              </w:rPr>
              <w:t xml:space="preserve">&gt; 0</w:t>
            </w:r>
          </w:p>
        </w:tc>
        <w:tc>
          <w:tcPr>
            <w:tcW w:type="dxa" w:w="1121"/>
          </w:tcPr>
          <w:p>
            <w:pPr>
              <w:pStyle w:val="TableText"/>
              <w:jc w:val="center"/>
            </w:pPr>
            <w:r>
              <w:rPr>
                <w:lang w:val="es-AR"/>
              </w:rPr>
              <w:t xml:space="preserve">0,000348</w:t>
            </w:r>
          </w:p>
        </w:tc>
      </w:tr>
      <w:tr>
        <w:tc>
          <w:tcPr>
            <w:tcW w:type="dxa" w:w="373"/>
          </w:tcPr>
          <w:p>
            <w:pPr>
              <w:pStyle w:val="TableText"/>
              <w:jc w:val="center"/>
            </w:pPr>
            <w:r>
              <w:rPr>
                <w:lang w:val="es-AR"/>
              </w:rPr>
              <w:t xml:space="preserve">14</w:t>
            </w:r>
          </w:p>
        </w:tc>
        <w:tc>
          <w:tcPr>
            <w:tcW w:type="dxa" w:w="1028"/>
          </w:tcPr>
          <w:p>
            <w:pPr>
              <w:pStyle w:val="TableText"/>
              <w:jc w:val="center"/>
            </w:pPr>
            <w:r>
              <w:rPr>
                <w:lang w:val="es-AR"/>
              </w:rPr>
              <w:t xml:space="preserve">35,124390</w:t>
            </w:r>
          </w:p>
        </w:tc>
        <w:tc>
          <w:tcPr>
            <w:tcW w:type="dxa" w:w="1028"/>
          </w:tcPr>
          <w:p>
            <w:pPr>
              <w:pStyle w:val="TableText"/>
              <w:jc w:val="center"/>
            </w:pPr>
            <w:r>
              <w:rPr>
                <w:lang w:val="es-AR"/>
              </w:rPr>
              <w:t xml:space="preserve">35,124512</w:t>
            </w:r>
          </w:p>
        </w:tc>
        <w:tc>
          <w:tcPr>
            <w:tcW w:type="dxa" w:w="1028"/>
          </w:tcPr>
          <w:p>
            <w:pPr>
              <w:pStyle w:val="TableText"/>
              <w:jc w:val="center"/>
            </w:pPr>
            <w:r>
              <w:rPr>
                <w:lang w:val="es-AR"/>
              </w:rPr>
              <w:t xml:space="preserve">35,124451</w:t>
            </w:r>
          </w:p>
        </w:tc>
        <w:tc>
          <w:tcPr>
            <w:tcW w:type="dxa" w:w="1028"/>
          </w:tcPr>
          <w:p>
            <w:pPr>
              <w:pStyle w:val="TableText"/>
              <w:jc w:val="center"/>
            </w:pPr>
            <w:r>
              <w:rPr>
                <w:lang w:val="es-AR"/>
              </w:rPr>
              <w:t xml:space="preserve">−0,000156</w:t>
            </w:r>
          </w:p>
        </w:tc>
        <w:tc>
          <w:tcPr>
            <w:tcW w:type="dxa" w:w="1121"/>
          </w:tcPr>
          <w:p>
            <w:pPr>
              <w:pStyle w:val="TableText"/>
              <w:jc w:val="center"/>
            </w:pPr>
            <w:r>
              <w:rPr>
                <w:lang w:val="es-AR"/>
              </w:rPr>
              <w:t xml:space="preserve">0,000039</w:t>
            </w:r>
          </w:p>
        </w:tc>
        <w:tc>
          <w:tcPr>
            <w:tcW w:type="dxa" w:w="2056"/>
          </w:tcPr>
          <w:p>
            <w:pPr>
              <w:pStyle w:val="TableText"/>
              <w:jc w:val="center"/>
            </w:pPr>
            <w:r>
              <w:rPr>
                <w:lang w:val="es-AR"/>
              </w:rPr>
              <w:t xml:space="preserve">&lt; 0</w:t>
            </w:r>
          </w:p>
        </w:tc>
        <w:tc>
          <w:tcPr>
            <w:tcW w:type="dxa" w:w="1121"/>
          </w:tcPr>
          <w:p>
            <w:pPr>
              <w:pStyle w:val="TableText"/>
              <w:jc w:val="center"/>
            </w:pPr>
            <w:r>
              <w:rPr>
                <w:lang w:val="es-AR"/>
              </w:rPr>
              <w:t xml:space="preserve">0,000174</w:t>
            </w:r>
          </w:p>
        </w:tc>
      </w:tr>
      <w:tr>
        <w:tc>
          <w:tcPr>
            <w:tcW w:type="dxa" w:w="373"/>
          </w:tcPr>
          <w:p>
            <w:pPr>
              <w:pStyle w:val="TableText"/>
              <w:jc w:val="center"/>
            </w:pPr>
            <w:r>
              <w:rPr>
                <w:lang w:val="es-AR"/>
              </w:rPr>
              <w:t xml:space="preserve">15</w:t>
            </w:r>
          </w:p>
        </w:tc>
        <w:tc>
          <w:tcPr>
            <w:tcW w:type="dxa" w:w="1028"/>
          </w:tcPr>
          <w:p>
            <w:pPr>
              <w:pStyle w:val="TableText"/>
              <w:jc w:val="center"/>
            </w:pPr>
            <w:r>
              <w:rPr>
                <w:lang w:val="es-AR"/>
              </w:rPr>
              <w:t xml:space="preserve">35,124390</w:t>
            </w:r>
          </w:p>
        </w:tc>
        <w:tc>
          <w:tcPr>
            <w:tcW w:type="dxa" w:w="1028"/>
          </w:tcPr>
          <w:p>
            <w:pPr>
              <w:pStyle w:val="TableText"/>
              <w:jc w:val="center"/>
            </w:pPr>
            <w:r>
              <w:rPr>
                <w:lang w:val="es-AR"/>
              </w:rPr>
              <w:t xml:space="preserve">35,124451</w:t>
            </w:r>
          </w:p>
        </w:tc>
        <w:tc>
          <w:tcPr>
            <w:tcW w:type="dxa" w:w="1028"/>
          </w:tcPr>
          <w:p>
            <w:pPr>
              <w:pStyle w:val="TableText"/>
              <w:jc w:val="center"/>
            </w:pPr>
            <w:r>
              <w:rPr>
                <w:lang w:val="es-AR"/>
              </w:rPr>
              <w:t xml:space="preserve">35,124420</w:t>
            </w:r>
          </w:p>
        </w:tc>
        <w:tc>
          <w:tcPr>
            <w:tcW w:type="dxa" w:w="1028"/>
          </w:tcPr>
          <w:p>
            <w:pPr>
              <w:pStyle w:val="TableText"/>
              <w:jc w:val="center"/>
            </w:pPr>
            <w:r>
              <w:rPr>
                <w:lang w:val="es-AR"/>
              </w:rPr>
              <w:t xml:space="preserve">−0,000156</w:t>
            </w:r>
          </w:p>
        </w:tc>
        <w:tc>
          <w:tcPr>
            <w:tcW w:type="dxa" w:w="1121"/>
          </w:tcPr>
          <w:p>
            <w:pPr>
              <w:pStyle w:val="TableText"/>
              <w:jc w:val="center"/>
            </w:pPr>
            <w:r>
              <w:rPr>
                <w:lang w:val="es-AR"/>
              </w:rPr>
              <w:t xml:space="preserve">−0,000059</w:t>
            </w:r>
          </w:p>
        </w:tc>
        <w:tc>
          <w:tcPr>
            <w:tcW w:type="dxa" w:w="2056"/>
          </w:tcPr>
          <w:p>
            <w:pPr>
              <w:pStyle w:val="TableText"/>
              <w:jc w:val="center"/>
            </w:pPr>
            <w:r>
              <w:rPr>
                <w:lang w:val="es-AR"/>
              </w:rPr>
              <w:t xml:space="preserve">&gt; 0</w:t>
            </w:r>
          </w:p>
        </w:tc>
        <w:tc>
          <w:tcPr>
            <w:tcW w:type="dxa" w:w="1121"/>
          </w:tcPr>
          <w:p>
            <w:pPr>
              <w:pStyle w:val="TableText"/>
              <w:jc w:val="center"/>
            </w:pPr>
            <w:r>
              <w:rPr>
                <w:lang w:val="es-AR"/>
              </w:rPr>
              <w:t xml:space="preserve">0,000087</w:t>
            </w:r>
          </w:p>
        </w:tc>
      </w:tr>
    </w:tbl>
    <w:bookmarkEnd w:id="63"/>
    <w:bookmarkStart w:id="64" w:name="Xba07827601b2112fc2c8e5787248c1f03bf1c32"/>
    <w:p>
      <w:pPr>
        <w:pStyle w:val="Heading1"/>
      </w:pPr>
      <w:r>
        <w:rPr>
          <w:lang w:val="es-AR"/>
        </w:rPr>
        <w:t xml:space="preserve">Anexo B. Diferencias finitas para todas las semanas</w:t>
      </w:r>
    </w:p>
    <w:p>
      <w:pPr>
        <w:pStyle w:val="TableCaption"/>
      </w:pPr>
      <w:r>
        <w:rPr>
          <w:lang w:val="es-AR"/>
        </w:rPr>
        <w:t xml:space="preserve">Tabla B.1. Estimaciones de la velocidad de crecimiento</w:t>
      </w:r>
      <w:r>
        <w:rPr>
          <w:lang w:val="es-AR"/>
        </w:rPr>
        <w:t xml:space="preserve"> </w:t>
      </w:r>
      <m:oMath>
        <m:sSup>
          <m:e>
            <m:r>
              <m:t>S</m:t>
            </m:r>
          </m:e>
          <m:sup>
            <m:r>
              <m:rPr>
                <m:sty m:val="p"/>
              </m:rPr>
              <m:t>′</m:t>
            </m:r>
          </m:sup>
        </m:sSup>
        <m:r>
          <m:rPr>
            <m:sty m:val="p"/>
          </m:rPr>
          <m:t>(</m:t>
        </m:r>
        <m:r>
          <m:t>t</m:t>
        </m:r>
        <m:r>
          <m:rPr>
            <m:sty m:val="p"/>
          </m:rPr>
          <m:t>)</m:t>
        </m:r>
      </m:oMath>
      <w:r>
        <w:rPr>
          <w:lang w:val="es-AR"/>
        </w:rPr>
        <w:t xml:space="preserve"> </w:t>
      </w:r>
      <w:r>
        <w:rPr>
          <w:lang w:val="es-AR"/>
        </w:rPr>
        <w:t xml:space="preserve">en M/semana para las 47 semanas analizadas.</w:t>
      </w:r>
    </w:p>
    <w:tbl>
      <w:tblPr>
        <w:tblStyle w:val="Table"/>
        <w:tblW w:type="dxa" w:w="6792"/>
        <w:tblLook w:firstRow="1" w:lastRow="0" w:firstColumn="0" w:lastColumn="0" w:noHBand="0" w:noVBand="0" w:val="0020"/>
        <w:tblCaption w:val="Tabla B.1. Estimaciones de la velocidad de crecimiento S'(t) en M/semana para las 47 semanas analizadas."/>
      </w:tblPr>
      <w:tblGrid>
        <w:gridCol w:w="780"/>
        <w:gridCol w:w="1332"/>
        <w:gridCol w:w="1300"/>
        <w:gridCol w:w="1560"/>
        <w:gridCol w:w="1820"/>
      </w:tblGrid>
      <w:tr>
        <w:trPr>
          <w:tblHeader w:val="on"/>
        </w:trPr>
        <w:tc>
          <w:tcPr>
            <w:tcW w:type="dxa" w:w="780"/>
          </w:tcPr>
          <w:p>
            <w:pPr>
              <w:pStyle w:val="TableTextLong"/>
              <w:jc w:val="center"/>
            </w:pPr>
            <m:oMath>
              <m:sSub>
                <m:e>
                  <m:r>
                    <m:t>t</m:t>
                  </m:r>
                </m:e>
                <m:sub>
                  <m:r>
                    <m:t>i</m:t>
                  </m:r>
                </m:sub>
              </m:sSub>
            </m:oMath>
            <w:r>
              <w:rPr>
                <w:lang w:val="es-AR"/>
              </w:rPr>
              <w:t xml:space="preserve">​</w:t>
            </w:r>
          </w:p>
        </w:tc>
        <w:tc>
          <w:tcPr>
            <w:tcW w:type="dxa" w:w="1332"/>
          </w:tcPr>
          <w:p>
            <w:pPr>
              <w:pStyle w:val="TableTextLong"/>
              <w:jc w:val="center"/>
            </w:pPr>
            <w:r>
              <w:rPr>
                <w:lang w:val="es-AR"/>
              </w:rPr>
              <w:t xml:space="preserve">Adelante</w:t>
            </w:r>
            <w:r>
              <w:rPr>
                <w:lang w:val="es-AR"/>
              </w:rPr>
              <w:t xml:space="preserve"> </w:t>
            </w:r>
            <m:oMath>
              <m:r>
                <m:t>O</m:t>
              </m:r>
              <m:r>
                <m:rPr>
                  <m:sty m:val="p"/>
                </m:rPr>
                <m:t>(</m:t>
              </m:r>
              <m:r>
                <m:t>h</m:t>
              </m:r>
              <m:r>
                <m:rPr>
                  <m:sty m:val="p"/>
                </m:rPr>
                <m:t>)</m:t>
              </m:r>
            </m:oMath>
          </w:p>
        </w:tc>
        <w:tc>
          <w:tcPr>
            <w:tcW w:type="dxa" w:w="1300"/>
          </w:tcPr>
          <w:p>
            <w:pPr>
              <w:pStyle w:val="TableTextLong"/>
              <w:jc w:val="center"/>
            </w:pPr>
            <w:r>
              <w:rPr>
                <w:lang w:val="es-AR"/>
              </w:rPr>
              <w:t xml:space="preserve">Atrás</w:t>
            </w:r>
            <w:r>
              <w:rPr>
                <w:lang w:val="es-AR"/>
              </w:rPr>
              <w:t xml:space="preserve"> </w:t>
            </w:r>
            <m:oMath>
              <m:r>
                <m:t>O</m:t>
              </m:r>
              <m:r>
                <m:rPr>
                  <m:sty m:val="p"/>
                </m:rPr>
                <m:t>(</m:t>
              </m:r>
              <m:r>
                <m:t>h</m:t>
              </m:r>
              <m:r>
                <m:rPr>
                  <m:sty m:val="p"/>
                </m:rPr>
                <m:t>)</m:t>
              </m:r>
            </m:oMath>
          </w:p>
        </w:tc>
        <w:tc>
          <w:tcPr>
            <w:tcW w:type="dxa" w:w="1560"/>
          </w:tcPr>
          <w:p>
            <w:pPr>
              <w:pStyle w:val="TableTextLong"/>
              <w:jc w:val="center"/>
            </w:pPr>
            <w:r>
              <w:rPr>
                <w:lang w:val="es-AR"/>
              </w:rPr>
              <w:t xml:space="preserve">Centrada</w:t>
            </w:r>
            <w:r>
              <w:rPr>
                <w:lang w:val="es-AR"/>
              </w:rPr>
              <w:t xml:space="preserve"> </w:t>
            </w:r>
            <m:oMath>
              <m:r>
                <m:t>O</m:t>
              </m:r>
              <m:r>
                <m:rPr>
                  <m:sty m:val="p"/>
                </m:rPr>
                <m:t>(</m:t>
              </m:r>
              <m:sSup>
                <m:e>
                  <m:r>
                    <m:t>h</m:t>
                  </m:r>
                </m:e>
                <m:sup>
                  <m:r>
                    <m:t>2</m:t>
                  </m:r>
                </m:sup>
              </m:sSup>
              <m:r>
                <m:rPr>
                  <m:sty m:val="p"/>
                </m:rPr>
                <m:t>)</m:t>
              </m:r>
            </m:oMath>
          </w:p>
        </w:tc>
        <w:tc>
          <w:tcPr>
            <w:tcW w:type="dxa" w:w="1820"/>
          </w:tcPr>
          <w:p>
            <w:pPr>
              <w:pStyle w:val="TableTextLong"/>
              <w:jc w:val="center"/>
            </w:pPr>
            <m:oMath>
              <m:sSup>
                <m:e>
                  <m:acc>
                    <m:accPr>
                      <m:chr m:val="̂"/>
                    </m:accPr>
                    <m:e>
                      <m:r>
                        <m:t>S</m:t>
                      </m:r>
                    </m:e>
                  </m:acc>
                </m:e>
                <m:sup>
                  <m:r>
                    <m:rPr>
                      <m:sty m:val="p"/>
                    </m:rPr>
                    <m:t>′</m:t>
                  </m:r>
                </m:sup>
              </m:sSup>
              <m:r>
                <m:rPr>
                  <m:sty m:val="p"/>
                </m:rPr>
                <m:t>(</m:t>
              </m:r>
              <m:sSub>
                <m:e>
                  <m:r>
                    <m:t>t</m:t>
                  </m:r>
                </m:e>
                <m:sub>
                  <m:r>
                    <m:t>i</m:t>
                  </m:r>
                </m:sub>
              </m:sSub>
              <m:r>
                <m:rPr>
                  <m:sty m:val="p"/>
                </m:rPr>
                <m:t>)</m:t>
              </m:r>
            </m:oMath>
            <w:r>
              <w:rPr>
                <w:lang w:val="es-AR"/>
              </w:rPr>
              <w:t xml:space="preserve"> </w:t>
            </w:r>
            <w:r>
              <w:rPr>
                <w:lang w:val="es-AR"/>
              </w:rPr>
              <w:t xml:space="preserve">regresión</w:t>
            </w:r>
          </w:p>
        </w:tc>
      </w:tr>
      <w:tr>
        <w:tc>
          <w:tcPr>
            <w:tcW w:type="dxa" w:w="780"/>
          </w:tcPr>
          <w:p>
            <w:pPr>
              <w:pStyle w:val="TableTextLong"/>
              <w:jc w:val="center"/>
            </w:pPr>
            <w:r>
              <w:rPr>
                <w:lang w:val="es-AR"/>
              </w:rPr>
              <w:t xml:space="preserve">0</w:t>
            </w:r>
          </w:p>
        </w:tc>
        <w:tc>
          <w:tcPr>
            <w:tcW w:type="dxa" w:w="1332"/>
          </w:tcPr>
          <w:p>
            <w:pPr>
              <w:pStyle w:val="TableTextLong"/>
              <w:jc w:val="center"/>
            </w:pPr>
            <w:r>
              <w:rPr>
                <w:lang w:val="es-AR"/>
              </w:rPr>
              <w:t xml:space="preserve">1,445</w:t>
            </w:r>
          </w:p>
        </w:tc>
        <w:tc>
          <w:tcPr>
            <w:tcW w:type="dxa" w:w="1300"/>
          </w:tcPr>
          <w:p>
            <w:pPr>
              <w:pStyle w:val="TableTextLong"/>
              <w:jc w:val="center"/>
            </w:pPr>
            <w:r>
              <w:rPr>
                <w:lang w:val="es-AR"/>
              </w:rPr>
              <w:t xml:space="preserve">—</w:t>
            </w:r>
          </w:p>
        </w:tc>
        <w:tc>
          <w:tcPr>
            <w:tcW w:type="dxa" w:w="1560"/>
          </w:tcPr>
          <w:p>
            <w:pPr>
              <w:pStyle w:val="TableTextLong"/>
              <w:jc w:val="center"/>
            </w:pPr>
            <w:r>
              <w:rPr>
                <w:lang w:val="es-AR"/>
              </w:rPr>
              <w:t xml:space="preserve">—</w:t>
            </w:r>
          </w:p>
        </w:tc>
        <w:tc>
          <w:tcPr>
            <w:tcW w:type="dxa" w:w="1820"/>
          </w:tcPr>
          <w:p>
            <w:pPr>
              <w:pStyle w:val="TableTextLong"/>
              <w:jc w:val="center"/>
            </w:pPr>
            <w:r>
              <w:rPr>
                <w:lang w:val="es-AR"/>
              </w:rPr>
              <w:t xml:space="preserve">1,081</w:t>
            </w:r>
          </w:p>
        </w:tc>
      </w:tr>
      <w:tr>
        <w:tc>
          <w:tcPr>
            <w:tcW w:type="dxa" w:w="780"/>
          </w:tcPr>
          <w:p>
            <w:pPr>
              <w:pStyle w:val="TableTextLong"/>
              <w:jc w:val="center"/>
            </w:pPr>
            <w:r>
              <w:rPr>
                <w:lang w:val="es-AR"/>
              </w:rPr>
              <w:t xml:space="preserve">1</w:t>
            </w:r>
          </w:p>
        </w:tc>
        <w:tc>
          <w:tcPr>
            <w:tcW w:type="dxa" w:w="1332"/>
          </w:tcPr>
          <w:p>
            <w:pPr>
              <w:pStyle w:val="TableTextLong"/>
              <w:jc w:val="center"/>
            </w:pPr>
            <w:r>
              <w:rPr>
                <w:lang w:val="es-AR"/>
              </w:rPr>
              <w:t xml:space="preserve">1,417</w:t>
            </w:r>
          </w:p>
        </w:tc>
        <w:tc>
          <w:tcPr>
            <w:tcW w:type="dxa" w:w="1300"/>
          </w:tcPr>
          <w:p>
            <w:pPr>
              <w:pStyle w:val="TableTextLong"/>
              <w:jc w:val="center"/>
            </w:pPr>
            <w:r>
              <w:rPr>
                <w:lang w:val="es-AR"/>
              </w:rPr>
              <w:t xml:space="preserve">1,445</w:t>
            </w:r>
          </w:p>
        </w:tc>
        <w:tc>
          <w:tcPr>
            <w:tcW w:type="dxa" w:w="1560"/>
          </w:tcPr>
          <w:p>
            <w:pPr>
              <w:pStyle w:val="TableTextLong"/>
              <w:jc w:val="center"/>
            </w:pPr>
            <w:r>
              <w:rPr>
                <w:lang w:val="es-AR"/>
              </w:rPr>
              <w:t xml:space="preserve">1,431</w:t>
            </w:r>
          </w:p>
        </w:tc>
        <w:tc>
          <w:tcPr>
            <w:tcW w:type="dxa" w:w="1820"/>
          </w:tcPr>
          <w:p>
            <w:pPr>
              <w:pStyle w:val="TableTextLong"/>
              <w:jc w:val="center"/>
            </w:pPr>
            <w:r>
              <w:rPr>
                <w:lang w:val="es-AR"/>
              </w:rPr>
              <w:t xml:space="preserve">1,233</w:t>
            </w:r>
          </w:p>
        </w:tc>
      </w:tr>
      <w:tr>
        <w:tc>
          <w:tcPr>
            <w:tcW w:type="dxa" w:w="780"/>
          </w:tcPr>
          <w:p>
            <w:pPr>
              <w:pStyle w:val="TableTextLong"/>
              <w:jc w:val="center"/>
            </w:pPr>
            <w:r>
              <w:rPr>
                <w:lang w:val="es-AR"/>
              </w:rPr>
              <w:t xml:space="preserve">2</w:t>
            </w:r>
          </w:p>
        </w:tc>
        <w:tc>
          <w:tcPr>
            <w:tcW w:type="dxa" w:w="1332"/>
          </w:tcPr>
          <w:p>
            <w:pPr>
              <w:pStyle w:val="TableTextLong"/>
              <w:jc w:val="center"/>
            </w:pPr>
            <w:r>
              <w:rPr>
                <w:lang w:val="es-AR"/>
              </w:rPr>
              <w:t xml:space="preserve">1,667</w:t>
            </w:r>
          </w:p>
        </w:tc>
        <w:tc>
          <w:tcPr>
            <w:tcW w:type="dxa" w:w="1300"/>
          </w:tcPr>
          <w:p>
            <w:pPr>
              <w:pStyle w:val="TableTextLong"/>
              <w:jc w:val="center"/>
            </w:pPr>
            <w:r>
              <w:rPr>
                <w:lang w:val="es-AR"/>
              </w:rPr>
              <w:t xml:space="preserve">1,417</w:t>
            </w:r>
          </w:p>
        </w:tc>
        <w:tc>
          <w:tcPr>
            <w:tcW w:type="dxa" w:w="1560"/>
          </w:tcPr>
          <w:p>
            <w:pPr>
              <w:pStyle w:val="TableTextLong"/>
              <w:jc w:val="center"/>
            </w:pPr>
            <w:r>
              <w:rPr>
                <w:lang w:val="es-AR"/>
              </w:rPr>
              <w:t xml:space="preserve">1,542</w:t>
            </w:r>
          </w:p>
        </w:tc>
        <w:tc>
          <w:tcPr>
            <w:tcW w:type="dxa" w:w="1820"/>
          </w:tcPr>
          <w:p>
            <w:pPr>
              <w:pStyle w:val="TableTextLong"/>
              <w:jc w:val="center"/>
            </w:pPr>
            <w:r>
              <w:rPr>
                <w:lang w:val="es-AR"/>
              </w:rPr>
              <w:t xml:space="preserve">1,379</w:t>
            </w:r>
          </w:p>
        </w:tc>
      </w:tr>
      <w:tr>
        <w:tc>
          <w:tcPr>
            <w:tcW w:type="dxa" w:w="780"/>
          </w:tcPr>
          <w:p>
            <w:pPr>
              <w:pStyle w:val="TableTextLong"/>
              <w:jc w:val="center"/>
            </w:pPr>
            <w:r>
              <w:rPr>
                <w:lang w:val="es-AR"/>
              </w:rPr>
              <w:t xml:space="preserve">3</w:t>
            </w:r>
          </w:p>
        </w:tc>
        <w:tc>
          <w:tcPr>
            <w:tcW w:type="dxa" w:w="1332"/>
          </w:tcPr>
          <w:p>
            <w:pPr>
              <w:pStyle w:val="TableTextLong"/>
              <w:jc w:val="center"/>
            </w:pPr>
            <w:r>
              <w:rPr>
                <w:lang w:val="es-AR"/>
              </w:rPr>
              <w:t xml:space="preserve">1,779</w:t>
            </w:r>
          </w:p>
        </w:tc>
        <w:tc>
          <w:tcPr>
            <w:tcW w:type="dxa" w:w="1300"/>
          </w:tcPr>
          <w:p>
            <w:pPr>
              <w:pStyle w:val="TableTextLong"/>
              <w:jc w:val="center"/>
            </w:pPr>
            <w:r>
              <w:rPr>
                <w:lang w:val="es-AR"/>
              </w:rPr>
              <w:t xml:space="preserve">1,667</w:t>
            </w:r>
          </w:p>
        </w:tc>
        <w:tc>
          <w:tcPr>
            <w:tcW w:type="dxa" w:w="1560"/>
          </w:tcPr>
          <w:p>
            <w:pPr>
              <w:pStyle w:val="TableTextLong"/>
              <w:jc w:val="center"/>
            </w:pPr>
            <w:r>
              <w:rPr>
                <w:lang w:val="es-AR"/>
              </w:rPr>
              <w:t xml:space="preserve">1,723</w:t>
            </w:r>
          </w:p>
        </w:tc>
        <w:tc>
          <w:tcPr>
            <w:tcW w:type="dxa" w:w="1820"/>
          </w:tcPr>
          <w:p>
            <w:pPr>
              <w:pStyle w:val="TableTextLong"/>
              <w:jc w:val="center"/>
            </w:pPr>
            <w:r>
              <w:rPr>
                <w:lang w:val="es-AR"/>
              </w:rPr>
              <w:t xml:space="preserve">1,520</w:t>
            </w:r>
          </w:p>
        </w:tc>
      </w:tr>
      <w:tr>
        <w:tc>
          <w:tcPr>
            <w:tcW w:type="dxa" w:w="780"/>
          </w:tcPr>
          <w:p>
            <w:pPr>
              <w:pStyle w:val="TableTextLong"/>
              <w:jc w:val="center"/>
            </w:pPr>
            <w:r>
              <w:rPr>
                <w:lang w:val="es-AR"/>
              </w:rPr>
              <w:t xml:space="preserve">4</w:t>
            </w:r>
          </w:p>
        </w:tc>
        <w:tc>
          <w:tcPr>
            <w:tcW w:type="dxa" w:w="1332"/>
          </w:tcPr>
          <w:p>
            <w:pPr>
              <w:pStyle w:val="TableTextLong"/>
              <w:jc w:val="center"/>
            </w:pPr>
            <w:r>
              <w:rPr>
                <w:lang w:val="es-AR"/>
              </w:rPr>
              <w:t xml:space="preserve">1,890</w:t>
            </w:r>
          </w:p>
        </w:tc>
        <w:tc>
          <w:tcPr>
            <w:tcW w:type="dxa" w:w="1300"/>
          </w:tcPr>
          <w:p>
            <w:pPr>
              <w:pStyle w:val="TableTextLong"/>
              <w:jc w:val="center"/>
            </w:pPr>
            <w:r>
              <w:rPr>
                <w:lang w:val="es-AR"/>
              </w:rPr>
              <w:t xml:space="preserve">1,779</w:t>
            </w:r>
          </w:p>
        </w:tc>
        <w:tc>
          <w:tcPr>
            <w:tcW w:type="dxa" w:w="1560"/>
          </w:tcPr>
          <w:p>
            <w:pPr>
              <w:pStyle w:val="TableTextLong"/>
              <w:jc w:val="center"/>
            </w:pPr>
            <w:r>
              <w:rPr>
                <w:lang w:val="es-AR"/>
              </w:rPr>
              <w:t xml:space="preserve">1,834</w:t>
            </w:r>
          </w:p>
        </w:tc>
        <w:tc>
          <w:tcPr>
            <w:tcW w:type="dxa" w:w="1820"/>
          </w:tcPr>
          <w:p>
            <w:pPr>
              <w:pStyle w:val="TableTextLong"/>
              <w:jc w:val="center"/>
            </w:pPr>
            <w:r>
              <w:rPr>
                <w:lang w:val="es-AR"/>
              </w:rPr>
              <w:t xml:space="preserve">1,657</w:t>
            </w:r>
          </w:p>
        </w:tc>
      </w:tr>
      <w:tr>
        <w:tc>
          <w:tcPr>
            <w:tcW w:type="dxa" w:w="780"/>
          </w:tcPr>
          <w:p>
            <w:pPr>
              <w:pStyle w:val="TableTextLong"/>
              <w:jc w:val="center"/>
            </w:pPr>
            <w:r>
              <w:rPr>
                <w:lang w:val="es-AR"/>
              </w:rPr>
              <w:t xml:space="preserve">5</w:t>
            </w:r>
          </w:p>
        </w:tc>
        <w:tc>
          <w:tcPr>
            <w:tcW w:type="dxa" w:w="1332"/>
          </w:tcPr>
          <w:p>
            <w:pPr>
              <w:pStyle w:val="TableTextLong"/>
              <w:jc w:val="center"/>
            </w:pPr>
            <w:r>
              <w:rPr>
                <w:lang w:val="es-AR"/>
              </w:rPr>
              <w:t xml:space="preserve">1,954</w:t>
            </w:r>
          </w:p>
        </w:tc>
        <w:tc>
          <w:tcPr>
            <w:tcW w:type="dxa" w:w="1300"/>
          </w:tcPr>
          <w:p>
            <w:pPr>
              <w:pStyle w:val="TableTextLong"/>
              <w:jc w:val="center"/>
            </w:pPr>
            <w:r>
              <w:rPr>
                <w:lang w:val="es-AR"/>
              </w:rPr>
              <w:t xml:space="preserve">1,890</w:t>
            </w:r>
          </w:p>
        </w:tc>
        <w:tc>
          <w:tcPr>
            <w:tcW w:type="dxa" w:w="1560"/>
          </w:tcPr>
          <w:p>
            <w:pPr>
              <w:pStyle w:val="TableTextLong"/>
              <w:jc w:val="center"/>
            </w:pPr>
            <w:r>
              <w:rPr>
                <w:lang w:val="es-AR"/>
              </w:rPr>
              <w:t xml:space="preserve">1,922</w:t>
            </w:r>
          </w:p>
        </w:tc>
        <w:tc>
          <w:tcPr>
            <w:tcW w:type="dxa" w:w="1820"/>
          </w:tcPr>
          <w:p>
            <w:pPr>
              <w:pStyle w:val="TableTextLong"/>
              <w:jc w:val="center"/>
            </w:pPr>
            <w:r>
              <w:rPr>
                <w:lang w:val="es-AR"/>
              </w:rPr>
              <w:t xml:space="preserve">1,788</w:t>
            </w:r>
          </w:p>
        </w:tc>
      </w:tr>
      <w:tr>
        <w:tc>
          <w:tcPr>
            <w:tcW w:type="dxa" w:w="780"/>
          </w:tcPr>
          <w:p>
            <w:pPr>
              <w:pStyle w:val="TableTextLong"/>
              <w:jc w:val="center"/>
            </w:pPr>
            <w:r>
              <w:rPr>
                <w:lang w:val="es-AR"/>
              </w:rPr>
              <w:t xml:space="preserve">6</w:t>
            </w:r>
          </w:p>
        </w:tc>
        <w:tc>
          <w:tcPr>
            <w:tcW w:type="dxa" w:w="1332"/>
          </w:tcPr>
          <w:p>
            <w:pPr>
              <w:pStyle w:val="TableTextLong"/>
              <w:jc w:val="center"/>
            </w:pPr>
            <w:r>
              <w:rPr>
                <w:lang w:val="es-AR"/>
              </w:rPr>
              <w:t xml:space="preserve">2,170</w:t>
            </w:r>
          </w:p>
        </w:tc>
        <w:tc>
          <w:tcPr>
            <w:tcW w:type="dxa" w:w="1300"/>
          </w:tcPr>
          <w:p>
            <w:pPr>
              <w:pStyle w:val="TableTextLong"/>
              <w:jc w:val="center"/>
            </w:pPr>
            <w:r>
              <w:rPr>
                <w:lang w:val="es-AR"/>
              </w:rPr>
              <w:t xml:space="preserve">1,954</w:t>
            </w:r>
          </w:p>
        </w:tc>
        <w:tc>
          <w:tcPr>
            <w:tcW w:type="dxa" w:w="1560"/>
          </w:tcPr>
          <w:p>
            <w:pPr>
              <w:pStyle w:val="TableTextLong"/>
              <w:jc w:val="center"/>
            </w:pPr>
            <w:r>
              <w:rPr>
                <w:lang w:val="es-AR"/>
              </w:rPr>
              <w:t xml:space="preserve">2,062</w:t>
            </w:r>
          </w:p>
        </w:tc>
        <w:tc>
          <w:tcPr>
            <w:tcW w:type="dxa" w:w="1820"/>
          </w:tcPr>
          <w:p>
            <w:pPr>
              <w:pStyle w:val="TableTextLong"/>
              <w:jc w:val="center"/>
            </w:pPr>
            <w:r>
              <w:rPr>
                <w:lang w:val="es-AR"/>
              </w:rPr>
              <w:t xml:space="preserve">1,914</w:t>
            </w:r>
          </w:p>
        </w:tc>
      </w:tr>
      <w:tr>
        <w:tc>
          <w:tcPr>
            <w:tcW w:type="dxa" w:w="780"/>
          </w:tcPr>
          <w:p>
            <w:pPr>
              <w:pStyle w:val="TableTextLong"/>
              <w:jc w:val="center"/>
            </w:pPr>
            <w:r>
              <w:rPr>
                <w:lang w:val="es-AR"/>
              </w:rPr>
              <w:t xml:space="preserve">7</w:t>
            </w:r>
          </w:p>
        </w:tc>
        <w:tc>
          <w:tcPr>
            <w:tcW w:type="dxa" w:w="1332"/>
          </w:tcPr>
          <w:p>
            <w:pPr>
              <w:pStyle w:val="TableTextLong"/>
              <w:jc w:val="center"/>
            </w:pPr>
            <w:r>
              <w:rPr>
                <w:lang w:val="es-AR"/>
              </w:rPr>
              <w:t xml:space="preserve">2,635</w:t>
            </w:r>
          </w:p>
        </w:tc>
        <w:tc>
          <w:tcPr>
            <w:tcW w:type="dxa" w:w="1300"/>
          </w:tcPr>
          <w:p>
            <w:pPr>
              <w:pStyle w:val="TableTextLong"/>
              <w:jc w:val="center"/>
            </w:pPr>
            <w:r>
              <w:rPr>
                <w:lang w:val="es-AR"/>
              </w:rPr>
              <w:t xml:space="preserve">2,170</w:t>
            </w:r>
          </w:p>
        </w:tc>
        <w:tc>
          <w:tcPr>
            <w:tcW w:type="dxa" w:w="1560"/>
          </w:tcPr>
          <w:p>
            <w:pPr>
              <w:pStyle w:val="TableTextLong"/>
              <w:jc w:val="center"/>
            </w:pPr>
            <w:r>
              <w:rPr>
                <w:lang w:val="es-AR"/>
              </w:rPr>
              <w:t xml:space="preserve">2,402</w:t>
            </w:r>
          </w:p>
        </w:tc>
        <w:tc>
          <w:tcPr>
            <w:tcW w:type="dxa" w:w="1820"/>
          </w:tcPr>
          <w:p>
            <w:pPr>
              <w:pStyle w:val="TableTextLong"/>
              <w:jc w:val="center"/>
            </w:pPr>
            <w:r>
              <w:rPr>
                <w:lang w:val="es-AR"/>
              </w:rPr>
              <w:t xml:space="preserve">2,036</w:t>
            </w:r>
          </w:p>
        </w:tc>
      </w:tr>
      <w:tr>
        <w:tc>
          <w:tcPr>
            <w:tcW w:type="dxa" w:w="780"/>
          </w:tcPr>
          <w:p>
            <w:pPr>
              <w:pStyle w:val="TableTextLong"/>
              <w:jc w:val="center"/>
            </w:pPr>
            <w:r>
              <w:rPr>
                <w:lang w:val="es-AR"/>
              </w:rPr>
              <w:t xml:space="preserve">8</w:t>
            </w:r>
          </w:p>
        </w:tc>
        <w:tc>
          <w:tcPr>
            <w:tcW w:type="dxa" w:w="1332"/>
          </w:tcPr>
          <w:p>
            <w:pPr>
              <w:pStyle w:val="TableTextLong"/>
              <w:jc w:val="center"/>
            </w:pPr>
            <w:r>
              <w:rPr>
                <w:lang w:val="es-AR"/>
              </w:rPr>
              <w:t xml:space="preserve">2,789</w:t>
            </w:r>
          </w:p>
        </w:tc>
        <w:tc>
          <w:tcPr>
            <w:tcW w:type="dxa" w:w="1300"/>
          </w:tcPr>
          <w:p>
            <w:pPr>
              <w:pStyle w:val="TableTextLong"/>
              <w:jc w:val="center"/>
            </w:pPr>
            <w:r>
              <w:rPr>
                <w:lang w:val="es-AR"/>
              </w:rPr>
              <w:t xml:space="preserve">2,635</w:t>
            </w:r>
          </w:p>
        </w:tc>
        <w:tc>
          <w:tcPr>
            <w:tcW w:type="dxa" w:w="1560"/>
          </w:tcPr>
          <w:p>
            <w:pPr>
              <w:pStyle w:val="TableTextLong"/>
              <w:jc w:val="center"/>
            </w:pPr>
            <w:r>
              <w:rPr>
                <w:lang w:val="es-AR"/>
              </w:rPr>
              <w:t xml:space="preserve">2,712</w:t>
            </w:r>
          </w:p>
        </w:tc>
        <w:tc>
          <w:tcPr>
            <w:tcW w:type="dxa" w:w="1820"/>
          </w:tcPr>
          <w:p>
            <w:pPr>
              <w:pStyle w:val="TableTextLong"/>
              <w:jc w:val="center"/>
            </w:pPr>
            <w:r>
              <w:rPr>
                <w:lang w:val="es-AR"/>
              </w:rPr>
              <w:t xml:space="preserve">2,152</w:t>
            </w:r>
          </w:p>
        </w:tc>
      </w:tr>
      <w:tr>
        <w:tc>
          <w:tcPr>
            <w:tcW w:type="dxa" w:w="780"/>
          </w:tcPr>
          <w:p>
            <w:pPr>
              <w:pStyle w:val="TableTextLong"/>
              <w:jc w:val="center"/>
            </w:pPr>
            <w:r>
              <w:rPr>
                <w:lang w:val="es-AR"/>
              </w:rPr>
              <w:t xml:space="preserve">9</w:t>
            </w:r>
          </w:p>
        </w:tc>
        <w:tc>
          <w:tcPr>
            <w:tcW w:type="dxa" w:w="1332"/>
          </w:tcPr>
          <w:p>
            <w:pPr>
              <w:pStyle w:val="TableTextLong"/>
              <w:jc w:val="center"/>
            </w:pPr>
            <w:r>
              <w:rPr>
                <w:lang w:val="es-AR"/>
              </w:rPr>
              <w:t xml:space="preserve">2,565</w:t>
            </w:r>
          </w:p>
        </w:tc>
        <w:tc>
          <w:tcPr>
            <w:tcW w:type="dxa" w:w="1300"/>
          </w:tcPr>
          <w:p>
            <w:pPr>
              <w:pStyle w:val="TableTextLong"/>
              <w:jc w:val="center"/>
            </w:pPr>
            <w:r>
              <w:rPr>
                <w:lang w:val="es-AR"/>
              </w:rPr>
              <w:t xml:space="preserve">2,789</w:t>
            </w:r>
          </w:p>
        </w:tc>
        <w:tc>
          <w:tcPr>
            <w:tcW w:type="dxa" w:w="1560"/>
          </w:tcPr>
          <w:p>
            <w:pPr>
              <w:pStyle w:val="TableTextLong"/>
              <w:jc w:val="center"/>
            </w:pPr>
            <w:r>
              <w:rPr>
                <w:lang w:val="es-AR"/>
              </w:rPr>
              <w:t xml:space="preserve">2,677</w:t>
            </w:r>
          </w:p>
        </w:tc>
        <w:tc>
          <w:tcPr>
            <w:tcW w:type="dxa" w:w="1820"/>
          </w:tcPr>
          <w:p>
            <w:pPr>
              <w:pStyle w:val="TableTextLong"/>
              <w:jc w:val="center"/>
            </w:pPr>
            <w:r>
              <w:rPr>
                <w:lang w:val="es-AR"/>
              </w:rPr>
              <w:t xml:space="preserve">2,263</w:t>
            </w:r>
          </w:p>
        </w:tc>
      </w:tr>
      <w:tr>
        <w:tc>
          <w:tcPr>
            <w:tcW w:type="dxa" w:w="780"/>
          </w:tcPr>
          <w:p>
            <w:pPr>
              <w:pStyle w:val="TableTextLong"/>
              <w:jc w:val="center"/>
            </w:pPr>
            <w:r>
              <w:rPr>
                <w:lang w:val="es-AR"/>
              </w:rPr>
              <w:t xml:space="preserve">10</w:t>
            </w:r>
          </w:p>
        </w:tc>
        <w:tc>
          <w:tcPr>
            <w:tcW w:type="dxa" w:w="1332"/>
          </w:tcPr>
          <w:p>
            <w:pPr>
              <w:pStyle w:val="TableTextLong"/>
              <w:jc w:val="center"/>
            </w:pPr>
            <w:r>
              <w:rPr>
                <w:lang w:val="es-AR"/>
              </w:rPr>
              <w:t xml:space="preserve">2,149</w:t>
            </w:r>
          </w:p>
        </w:tc>
        <w:tc>
          <w:tcPr>
            <w:tcW w:type="dxa" w:w="1300"/>
          </w:tcPr>
          <w:p>
            <w:pPr>
              <w:pStyle w:val="TableTextLong"/>
              <w:jc w:val="center"/>
            </w:pPr>
            <w:r>
              <w:rPr>
                <w:lang w:val="es-AR"/>
              </w:rPr>
              <w:t xml:space="preserve">2,565</w:t>
            </w:r>
          </w:p>
        </w:tc>
        <w:tc>
          <w:tcPr>
            <w:tcW w:type="dxa" w:w="1560"/>
          </w:tcPr>
          <w:p>
            <w:pPr>
              <w:pStyle w:val="TableTextLong"/>
              <w:jc w:val="center"/>
            </w:pPr>
            <w:r>
              <w:rPr>
                <w:lang w:val="es-AR"/>
              </w:rPr>
              <w:t xml:space="preserve">2,357</w:t>
            </w:r>
          </w:p>
        </w:tc>
        <w:tc>
          <w:tcPr>
            <w:tcW w:type="dxa" w:w="1820"/>
          </w:tcPr>
          <w:p>
            <w:pPr>
              <w:pStyle w:val="TableTextLong"/>
              <w:jc w:val="center"/>
            </w:pPr>
            <w:r>
              <w:rPr>
                <w:lang w:val="es-AR"/>
              </w:rPr>
              <w:t xml:space="preserve">2,369</w:t>
            </w:r>
          </w:p>
        </w:tc>
      </w:tr>
      <w:tr>
        <w:tc>
          <w:tcPr>
            <w:tcW w:type="dxa" w:w="780"/>
          </w:tcPr>
          <w:p>
            <w:pPr>
              <w:pStyle w:val="TableTextLong"/>
              <w:jc w:val="center"/>
            </w:pPr>
            <w:r>
              <w:rPr>
                <w:lang w:val="es-AR"/>
              </w:rPr>
              <w:t xml:space="preserve">11</w:t>
            </w:r>
          </w:p>
        </w:tc>
        <w:tc>
          <w:tcPr>
            <w:tcW w:type="dxa" w:w="1332"/>
          </w:tcPr>
          <w:p>
            <w:pPr>
              <w:pStyle w:val="TableTextLong"/>
              <w:jc w:val="center"/>
            </w:pPr>
            <w:r>
              <w:rPr>
                <w:lang w:val="es-AR"/>
              </w:rPr>
              <w:t xml:space="preserve">2,221</w:t>
            </w:r>
          </w:p>
        </w:tc>
        <w:tc>
          <w:tcPr>
            <w:tcW w:type="dxa" w:w="1300"/>
          </w:tcPr>
          <w:p>
            <w:pPr>
              <w:pStyle w:val="TableTextLong"/>
              <w:jc w:val="center"/>
            </w:pPr>
            <w:r>
              <w:rPr>
                <w:lang w:val="es-AR"/>
              </w:rPr>
              <w:t xml:space="preserve">2,149</w:t>
            </w:r>
          </w:p>
        </w:tc>
        <w:tc>
          <w:tcPr>
            <w:tcW w:type="dxa" w:w="1560"/>
          </w:tcPr>
          <w:p>
            <w:pPr>
              <w:pStyle w:val="TableTextLong"/>
              <w:jc w:val="center"/>
            </w:pPr>
            <w:r>
              <w:rPr>
                <w:lang w:val="es-AR"/>
              </w:rPr>
              <w:t xml:space="preserve">2,185</w:t>
            </w:r>
          </w:p>
        </w:tc>
        <w:tc>
          <w:tcPr>
            <w:tcW w:type="dxa" w:w="1820"/>
          </w:tcPr>
          <w:p>
            <w:pPr>
              <w:pStyle w:val="TableTextLong"/>
              <w:jc w:val="center"/>
            </w:pPr>
            <w:r>
              <w:rPr>
                <w:lang w:val="es-AR"/>
              </w:rPr>
              <w:t xml:space="preserve">2,470</w:t>
            </w:r>
          </w:p>
        </w:tc>
      </w:tr>
      <w:tr>
        <w:tc>
          <w:tcPr>
            <w:tcW w:type="dxa" w:w="780"/>
          </w:tcPr>
          <w:p>
            <w:pPr>
              <w:pStyle w:val="TableTextLong"/>
              <w:jc w:val="center"/>
            </w:pPr>
            <w:r>
              <w:rPr>
                <w:lang w:val="es-AR"/>
              </w:rPr>
              <w:t xml:space="preserve">12</w:t>
            </w:r>
          </w:p>
        </w:tc>
        <w:tc>
          <w:tcPr>
            <w:tcW w:type="dxa" w:w="1332"/>
          </w:tcPr>
          <w:p>
            <w:pPr>
              <w:pStyle w:val="TableTextLong"/>
              <w:jc w:val="center"/>
            </w:pPr>
            <w:r>
              <w:rPr>
                <w:lang w:val="es-AR"/>
              </w:rPr>
              <w:t xml:space="preserve">2,368</w:t>
            </w:r>
          </w:p>
        </w:tc>
        <w:tc>
          <w:tcPr>
            <w:tcW w:type="dxa" w:w="1300"/>
          </w:tcPr>
          <w:p>
            <w:pPr>
              <w:pStyle w:val="TableTextLong"/>
              <w:jc w:val="center"/>
            </w:pPr>
            <w:r>
              <w:rPr>
                <w:lang w:val="es-AR"/>
              </w:rPr>
              <w:t xml:space="preserve">2,221</w:t>
            </w:r>
          </w:p>
        </w:tc>
        <w:tc>
          <w:tcPr>
            <w:tcW w:type="dxa" w:w="1560"/>
          </w:tcPr>
          <w:p>
            <w:pPr>
              <w:pStyle w:val="TableTextLong"/>
              <w:jc w:val="center"/>
            </w:pPr>
            <w:r>
              <w:rPr>
                <w:lang w:val="es-AR"/>
              </w:rPr>
              <w:t xml:space="preserve">2,295</w:t>
            </w:r>
          </w:p>
        </w:tc>
        <w:tc>
          <w:tcPr>
            <w:tcW w:type="dxa" w:w="1820"/>
          </w:tcPr>
          <w:p>
            <w:pPr>
              <w:pStyle w:val="TableTextLong"/>
              <w:jc w:val="center"/>
            </w:pPr>
            <w:r>
              <w:rPr>
                <w:lang w:val="es-AR"/>
              </w:rPr>
              <w:t xml:space="preserve">2,566</w:t>
            </w:r>
          </w:p>
        </w:tc>
      </w:tr>
      <w:tr>
        <w:tc>
          <w:tcPr>
            <w:tcW w:type="dxa" w:w="780"/>
          </w:tcPr>
          <w:p>
            <w:pPr>
              <w:pStyle w:val="TableTextLong"/>
              <w:jc w:val="center"/>
            </w:pPr>
            <w:r>
              <w:rPr>
                <w:lang w:val="es-AR"/>
              </w:rPr>
              <w:t xml:space="preserve">13</w:t>
            </w:r>
          </w:p>
        </w:tc>
        <w:tc>
          <w:tcPr>
            <w:tcW w:type="dxa" w:w="1332"/>
          </w:tcPr>
          <w:p>
            <w:pPr>
              <w:pStyle w:val="TableTextLong"/>
              <w:jc w:val="center"/>
            </w:pPr>
            <w:r>
              <w:rPr>
                <w:lang w:val="es-AR"/>
              </w:rPr>
              <w:t xml:space="preserve">2,218</w:t>
            </w:r>
          </w:p>
        </w:tc>
        <w:tc>
          <w:tcPr>
            <w:tcW w:type="dxa" w:w="1300"/>
          </w:tcPr>
          <w:p>
            <w:pPr>
              <w:pStyle w:val="TableTextLong"/>
              <w:jc w:val="center"/>
            </w:pPr>
            <w:r>
              <w:rPr>
                <w:lang w:val="es-AR"/>
              </w:rPr>
              <w:t xml:space="preserve">2,368</w:t>
            </w:r>
          </w:p>
        </w:tc>
        <w:tc>
          <w:tcPr>
            <w:tcW w:type="dxa" w:w="1560"/>
          </w:tcPr>
          <w:p>
            <w:pPr>
              <w:pStyle w:val="TableTextLong"/>
              <w:jc w:val="center"/>
            </w:pPr>
            <w:r>
              <w:rPr>
                <w:lang w:val="es-AR"/>
              </w:rPr>
              <w:t xml:space="preserve">2,293</w:t>
            </w:r>
          </w:p>
        </w:tc>
        <w:tc>
          <w:tcPr>
            <w:tcW w:type="dxa" w:w="1820"/>
          </w:tcPr>
          <w:p>
            <w:pPr>
              <w:pStyle w:val="TableTextLong"/>
              <w:jc w:val="center"/>
            </w:pPr>
            <w:r>
              <w:rPr>
                <w:lang w:val="es-AR"/>
              </w:rPr>
              <w:t xml:space="preserve">2,657</w:t>
            </w:r>
          </w:p>
        </w:tc>
      </w:tr>
      <w:tr>
        <w:tc>
          <w:tcPr>
            <w:tcW w:type="dxa" w:w="780"/>
          </w:tcPr>
          <w:p>
            <w:pPr>
              <w:pStyle w:val="TableTextLong"/>
              <w:jc w:val="center"/>
            </w:pPr>
            <w:r>
              <w:rPr>
                <w:lang w:val="es-AR"/>
              </w:rPr>
              <w:t xml:space="preserve">14</w:t>
            </w:r>
          </w:p>
        </w:tc>
        <w:tc>
          <w:tcPr>
            <w:tcW w:type="dxa" w:w="1332"/>
          </w:tcPr>
          <w:p>
            <w:pPr>
              <w:pStyle w:val="TableTextLong"/>
              <w:jc w:val="center"/>
            </w:pPr>
            <w:r>
              <w:rPr>
                <w:lang w:val="es-AR"/>
              </w:rPr>
              <w:t xml:space="preserve">2,277</w:t>
            </w:r>
          </w:p>
        </w:tc>
        <w:tc>
          <w:tcPr>
            <w:tcW w:type="dxa" w:w="1300"/>
          </w:tcPr>
          <w:p>
            <w:pPr>
              <w:pStyle w:val="TableTextLong"/>
              <w:jc w:val="center"/>
            </w:pPr>
            <w:r>
              <w:rPr>
                <w:lang w:val="es-AR"/>
              </w:rPr>
              <w:t xml:space="preserve">2,218</w:t>
            </w:r>
          </w:p>
        </w:tc>
        <w:tc>
          <w:tcPr>
            <w:tcW w:type="dxa" w:w="1560"/>
          </w:tcPr>
          <w:p>
            <w:pPr>
              <w:pStyle w:val="TableTextLong"/>
              <w:jc w:val="center"/>
            </w:pPr>
            <w:r>
              <w:rPr>
                <w:lang w:val="es-AR"/>
              </w:rPr>
              <w:t xml:space="preserve">2,248</w:t>
            </w:r>
          </w:p>
        </w:tc>
        <w:tc>
          <w:tcPr>
            <w:tcW w:type="dxa" w:w="1820"/>
          </w:tcPr>
          <w:p>
            <w:pPr>
              <w:pStyle w:val="TableTextLong"/>
              <w:jc w:val="center"/>
            </w:pPr>
            <w:r>
              <w:rPr>
                <w:lang w:val="es-AR"/>
              </w:rPr>
              <w:t xml:space="preserve">2,743</w:t>
            </w:r>
          </w:p>
        </w:tc>
      </w:tr>
      <w:tr>
        <w:tc>
          <w:tcPr>
            <w:tcW w:type="dxa" w:w="780"/>
          </w:tcPr>
          <w:p>
            <w:pPr>
              <w:pStyle w:val="TableTextLong"/>
              <w:jc w:val="center"/>
            </w:pPr>
            <w:r>
              <w:rPr>
                <w:lang w:val="es-AR"/>
              </w:rPr>
              <w:t xml:space="preserve">15</w:t>
            </w:r>
          </w:p>
        </w:tc>
        <w:tc>
          <w:tcPr>
            <w:tcW w:type="dxa" w:w="1332"/>
          </w:tcPr>
          <w:p>
            <w:pPr>
              <w:pStyle w:val="TableTextLong"/>
              <w:jc w:val="center"/>
            </w:pPr>
            <w:r>
              <w:rPr>
                <w:lang w:val="es-AR"/>
              </w:rPr>
              <w:t xml:space="preserve">2,647</w:t>
            </w:r>
          </w:p>
        </w:tc>
        <w:tc>
          <w:tcPr>
            <w:tcW w:type="dxa" w:w="1300"/>
          </w:tcPr>
          <w:p>
            <w:pPr>
              <w:pStyle w:val="TableTextLong"/>
              <w:jc w:val="center"/>
            </w:pPr>
            <w:r>
              <w:rPr>
                <w:lang w:val="es-AR"/>
              </w:rPr>
              <w:t xml:space="preserve">2,277</w:t>
            </w:r>
          </w:p>
        </w:tc>
        <w:tc>
          <w:tcPr>
            <w:tcW w:type="dxa" w:w="1560"/>
          </w:tcPr>
          <w:p>
            <w:pPr>
              <w:pStyle w:val="TableTextLong"/>
              <w:jc w:val="center"/>
            </w:pPr>
            <w:r>
              <w:rPr>
                <w:lang w:val="es-AR"/>
              </w:rPr>
              <w:t xml:space="preserve">2,462</w:t>
            </w:r>
          </w:p>
        </w:tc>
        <w:tc>
          <w:tcPr>
            <w:tcW w:type="dxa" w:w="1820"/>
          </w:tcPr>
          <w:p>
            <w:pPr>
              <w:pStyle w:val="TableTextLong"/>
              <w:jc w:val="center"/>
            </w:pPr>
            <w:r>
              <w:rPr>
                <w:lang w:val="es-AR"/>
              </w:rPr>
              <w:t xml:space="preserve">2,824</w:t>
            </w:r>
          </w:p>
        </w:tc>
      </w:tr>
      <w:tr>
        <w:tc>
          <w:tcPr>
            <w:tcW w:type="dxa" w:w="780"/>
          </w:tcPr>
          <w:p>
            <w:pPr>
              <w:pStyle w:val="TableTextLong"/>
              <w:jc w:val="center"/>
            </w:pPr>
            <w:r>
              <w:rPr>
                <w:lang w:val="es-AR"/>
              </w:rPr>
              <w:t xml:space="preserve">16</w:t>
            </w:r>
          </w:p>
        </w:tc>
        <w:tc>
          <w:tcPr>
            <w:tcW w:type="dxa" w:w="1332"/>
          </w:tcPr>
          <w:p>
            <w:pPr>
              <w:pStyle w:val="TableTextLong"/>
              <w:jc w:val="center"/>
            </w:pPr>
            <w:r>
              <w:rPr>
                <w:lang w:val="es-AR"/>
              </w:rPr>
              <w:t xml:space="preserve">2,618</w:t>
            </w:r>
          </w:p>
        </w:tc>
        <w:tc>
          <w:tcPr>
            <w:tcW w:type="dxa" w:w="1300"/>
          </w:tcPr>
          <w:p>
            <w:pPr>
              <w:pStyle w:val="TableTextLong"/>
              <w:jc w:val="center"/>
            </w:pPr>
            <w:r>
              <w:rPr>
                <w:lang w:val="es-AR"/>
              </w:rPr>
              <w:t xml:space="preserve">2,647</w:t>
            </w:r>
          </w:p>
        </w:tc>
        <w:tc>
          <w:tcPr>
            <w:tcW w:type="dxa" w:w="1560"/>
          </w:tcPr>
          <w:p>
            <w:pPr>
              <w:pStyle w:val="TableTextLong"/>
              <w:jc w:val="center"/>
            </w:pPr>
            <w:r>
              <w:rPr>
                <w:lang w:val="es-AR"/>
              </w:rPr>
              <w:t xml:space="preserve">2,632</w:t>
            </w:r>
          </w:p>
        </w:tc>
        <w:tc>
          <w:tcPr>
            <w:tcW w:type="dxa" w:w="1820"/>
          </w:tcPr>
          <w:p>
            <w:pPr>
              <w:pStyle w:val="TableTextLong"/>
              <w:jc w:val="center"/>
            </w:pPr>
            <w:r>
              <w:rPr>
                <w:lang w:val="es-AR"/>
              </w:rPr>
              <w:t xml:space="preserve">2,900</w:t>
            </w:r>
          </w:p>
        </w:tc>
      </w:tr>
      <w:tr>
        <w:tc>
          <w:tcPr>
            <w:tcW w:type="dxa" w:w="780"/>
          </w:tcPr>
          <w:p>
            <w:pPr>
              <w:pStyle w:val="TableTextLong"/>
              <w:jc w:val="center"/>
            </w:pPr>
            <w:r>
              <w:rPr>
                <w:lang w:val="es-AR"/>
              </w:rPr>
              <w:t xml:space="preserve">17</w:t>
            </w:r>
          </w:p>
        </w:tc>
        <w:tc>
          <w:tcPr>
            <w:tcW w:type="dxa" w:w="1332"/>
          </w:tcPr>
          <w:p>
            <w:pPr>
              <w:pStyle w:val="TableTextLong"/>
              <w:jc w:val="center"/>
            </w:pPr>
            <w:r>
              <w:rPr>
                <w:lang w:val="es-AR"/>
              </w:rPr>
              <w:t xml:space="preserve">2,842</w:t>
            </w:r>
          </w:p>
        </w:tc>
        <w:tc>
          <w:tcPr>
            <w:tcW w:type="dxa" w:w="1300"/>
          </w:tcPr>
          <w:p>
            <w:pPr>
              <w:pStyle w:val="TableTextLong"/>
              <w:jc w:val="center"/>
            </w:pPr>
            <w:r>
              <w:rPr>
                <w:lang w:val="es-AR"/>
              </w:rPr>
              <w:t xml:space="preserve">2,618</w:t>
            </w:r>
          </w:p>
        </w:tc>
        <w:tc>
          <w:tcPr>
            <w:tcW w:type="dxa" w:w="1560"/>
          </w:tcPr>
          <w:p>
            <w:pPr>
              <w:pStyle w:val="TableTextLong"/>
              <w:jc w:val="center"/>
            </w:pPr>
            <w:r>
              <w:rPr>
                <w:lang w:val="es-AR"/>
              </w:rPr>
              <w:t xml:space="preserve">2,730</w:t>
            </w:r>
          </w:p>
        </w:tc>
        <w:tc>
          <w:tcPr>
            <w:tcW w:type="dxa" w:w="1820"/>
          </w:tcPr>
          <w:p>
            <w:pPr>
              <w:pStyle w:val="TableTextLong"/>
              <w:jc w:val="center"/>
            </w:pPr>
            <w:r>
              <w:rPr>
                <w:lang w:val="es-AR"/>
              </w:rPr>
              <w:t xml:space="preserve">2,971</w:t>
            </w:r>
          </w:p>
        </w:tc>
      </w:tr>
      <w:tr>
        <w:tc>
          <w:tcPr>
            <w:tcW w:type="dxa" w:w="780"/>
          </w:tcPr>
          <w:p>
            <w:pPr>
              <w:pStyle w:val="TableTextLong"/>
              <w:jc w:val="center"/>
            </w:pPr>
            <w:r>
              <w:rPr>
                <w:lang w:val="es-AR"/>
              </w:rPr>
              <w:t xml:space="preserve">18</w:t>
            </w:r>
          </w:p>
        </w:tc>
        <w:tc>
          <w:tcPr>
            <w:tcW w:type="dxa" w:w="1332"/>
          </w:tcPr>
          <w:p>
            <w:pPr>
              <w:pStyle w:val="TableTextLong"/>
              <w:jc w:val="center"/>
            </w:pPr>
            <w:r>
              <w:rPr>
                <w:lang w:val="es-AR"/>
              </w:rPr>
              <w:t xml:space="preserve">2,899</w:t>
            </w:r>
          </w:p>
        </w:tc>
        <w:tc>
          <w:tcPr>
            <w:tcW w:type="dxa" w:w="1300"/>
          </w:tcPr>
          <w:p>
            <w:pPr>
              <w:pStyle w:val="TableTextLong"/>
              <w:jc w:val="center"/>
            </w:pPr>
            <w:r>
              <w:rPr>
                <w:lang w:val="es-AR"/>
              </w:rPr>
              <w:t xml:space="preserve">2,842</w:t>
            </w:r>
          </w:p>
        </w:tc>
        <w:tc>
          <w:tcPr>
            <w:tcW w:type="dxa" w:w="1560"/>
          </w:tcPr>
          <w:p>
            <w:pPr>
              <w:pStyle w:val="TableTextLong"/>
              <w:jc w:val="center"/>
            </w:pPr>
            <w:r>
              <w:rPr>
                <w:lang w:val="es-AR"/>
              </w:rPr>
              <w:t xml:space="preserve">2,871</w:t>
            </w:r>
          </w:p>
        </w:tc>
        <w:tc>
          <w:tcPr>
            <w:tcW w:type="dxa" w:w="1820"/>
          </w:tcPr>
          <w:p>
            <w:pPr>
              <w:pStyle w:val="TableTextLong"/>
              <w:jc w:val="center"/>
            </w:pPr>
            <w:r>
              <w:rPr>
                <w:lang w:val="es-AR"/>
              </w:rPr>
              <w:t xml:space="preserve">3,037</w:t>
            </w:r>
          </w:p>
        </w:tc>
      </w:tr>
      <w:tr>
        <w:tc>
          <w:tcPr>
            <w:tcW w:type="dxa" w:w="780"/>
          </w:tcPr>
          <w:p>
            <w:pPr>
              <w:pStyle w:val="TableTextLong"/>
              <w:jc w:val="center"/>
            </w:pPr>
            <w:r>
              <w:rPr>
                <w:lang w:val="es-AR"/>
              </w:rPr>
              <w:t xml:space="preserve">19</w:t>
            </w:r>
          </w:p>
        </w:tc>
        <w:tc>
          <w:tcPr>
            <w:tcW w:type="dxa" w:w="1332"/>
          </w:tcPr>
          <w:p>
            <w:pPr>
              <w:pStyle w:val="TableTextLong"/>
              <w:jc w:val="center"/>
            </w:pPr>
            <w:r>
              <w:rPr>
                <w:lang w:val="es-AR"/>
              </w:rPr>
              <w:t xml:space="preserve">3,024</w:t>
            </w:r>
          </w:p>
        </w:tc>
        <w:tc>
          <w:tcPr>
            <w:tcW w:type="dxa" w:w="1300"/>
          </w:tcPr>
          <w:p>
            <w:pPr>
              <w:pStyle w:val="TableTextLong"/>
              <w:jc w:val="center"/>
            </w:pPr>
            <w:r>
              <w:rPr>
                <w:lang w:val="es-AR"/>
              </w:rPr>
              <w:t xml:space="preserve">2,899</w:t>
            </w:r>
          </w:p>
        </w:tc>
        <w:tc>
          <w:tcPr>
            <w:tcW w:type="dxa" w:w="1560"/>
          </w:tcPr>
          <w:p>
            <w:pPr>
              <w:pStyle w:val="TableTextLong"/>
              <w:jc w:val="center"/>
            </w:pPr>
            <w:r>
              <w:rPr>
                <w:lang w:val="es-AR"/>
              </w:rPr>
              <w:t xml:space="preserve">2,962</w:t>
            </w:r>
          </w:p>
        </w:tc>
        <w:tc>
          <w:tcPr>
            <w:tcW w:type="dxa" w:w="1820"/>
          </w:tcPr>
          <w:p>
            <w:pPr>
              <w:pStyle w:val="TableTextLong"/>
              <w:jc w:val="center"/>
            </w:pPr>
            <w:r>
              <w:rPr>
                <w:lang w:val="es-AR"/>
              </w:rPr>
              <w:t xml:space="preserve">3,098</w:t>
            </w:r>
          </w:p>
        </w:tc>
      </w:tr>
      <w:tr>
        <w:tc>
          <w:tcPr>
            <w:tcW w:type="dxa" w:w="780"/>
          </w:tcPr>
          <w:p>
            <w:pPr>
              <w:pStyle w:val="TableTextLong"/>
              <w:jc w:val="center"/>
            </w:pPr>
            <w:r>
              <w:rPr>
                <w:lang w:val="es-AR"/>
              </w:rPr>
              <w:t xml:space="preserve">20</w:t>
            </w:r>
          </w:p>
        </w:tc>
        <w:tc>
          <w:tcPr>
            <w:tcW w:type="dxa" w:w="1332"/>
          </w:tcPr>
          <w:p>
            <w:pPr>
              <w:pStyle w:val="TableTextLong"/>
              <w:jc w:val="center"/>
            </w:pPr>
            <w:r>
              <w:rPr>
                <w:lang w:val="es-AR"/>
              </w:rPr>
              <w:t xml:space="preserve">3,093</w:t>
            </w:r>
          </w:p>
        </w:tc>
        <w:tc>
          <w:tcPr>
            <w:tcW w:type="dxa" w:w="1300"/>
          </w:tcPr>
          <w:p>
            <w:pPr>
              <w:pStyle w:val="TableTextLong"/>
              <w:jc w:val="center"/>
            </w:pPr>
            <w:r>
              <w:rPr>
                <w:lang w:val="es-AR"/>
              </w:rPr>
              <w:t xml:space="preserve">3,024</w:t>
            </w:r>
          </w:p>
        </w:tc>
        <w:tc>
          <w:tcPr>
            <w:tcW w:type="dxa" w:w="1560"/>
          </w:tcPr>
          <w:p>
            <w:pPr>
              <w:pStyle w:val="TableTextLong"/>
              <w:jc w:val="center"/>
            </w:pPr>
            <w:r>
              <w:rPr>
                <w:lang w:val="es-AR"/>
              </w:rPr>
              <w:t xml:space="preserve">3,058</w:t>
            </w:r>
          </w:p>
        </w:tc>
        <w:tc>
          <w:tcPr>
            <w:tcW w:type="dxa" w:w="1820"/>
          </w:tcPr>
          <w:p>
            <w:pPr>
              <w:pStyle w:val="TableTextLong"/>
              <w:jc w:val="center"/>
            </w:pPr>
            <w:r>
              <w:rPr>
                <w:lang w:val="es-AR"/>
              </w:rPr>
              <w:t xml:space="preserve">3,154</w:t>
            </w:r>
          </w:p>
        </w:tc>
      </w:tr>
      <w:tr>
        <w:tc>
          <w:tcPr>
            <w:tcW w:type="dxa" w:w="780"/>
          </w:tcPr>
          <w:p>
            <w:pPr>
              <w:pStyle w:val="TableTextLong"/>
              <w:jc w:val="center"/>
            </w:pPr>
            <w:r>
              <w:rPr>
                <w:lang w:val="es-AR"/>
              </w:rPr>
              <w:t xml:space="preserve">21</w:t>
            </w:r>
          </w:p>
        </w:tc>
        <w:tc>
          <w:tcPr>
            <w:tcW w:type="dxa" w:w="1332"/>
          </w:tcPr>
          <w:p>
            <w:pPr>
              <w:pStyle w:val="TableTextLong"/>
              <w:jc w:val="center"/>
            </w:pPr>
            <w:r>
              <w:rPr>
                <w:lang w:val="es-AR"/>
              </w:rPr>
              <w:t xml:space="preserve">3,161</w:t>
            </w:r>
          </w:p>
        </w:tc>
        <w:tc>
          <w:tcPr>
            <w:tcW w:type="dxa" w:w="1300"/>
          </w:tcPr>
          <w:p>
            <w:pPr>
              <w:pStyle w:val="TableTextLong"/>
              <w:jc w:val="center"/>
            </w:pPr>
            <w:r>
              <w:rPr>
                <w:lang w:val="es-AR"/>
              </w:rPr>
              <w:t xml:space="preserve">3,093</w:t>
            </w:r>
          </w:p>
        </w:tc>
        <w:tc>
          <w:tcPr>
            <w:tcW w:type="dxa" w:w="1560"/>
          </w:tcPr>
          <w:p>
            <w:pPr>
              <w:pStyle w:val="TableTextLong"/>
              <w:jc w:val="center"/>
            </w:pPr>
            <w:r>
              <w:rPr>
                <w:lang w:val="es-AR"/>
              </w:rPr>
              <w:t xml:space="preserve">3,127</w:t>
            </w:r>
          </w:p>
        </w:tc>
        <w:tc>
          <w:tcPr>
            <w:tcW w:type="dxa" w:w="1820"/>
          </w:tcPr>
          <w:p>
            <w:pPr>
              <w:pStyle w:val="TableTextLong"/>
              <w:jc w:val="center"/>
            </w:pPr>
            <w:r>
              <w:rPr>
                <w:lang w:val="es-AR"/>
              </w:rPr>
              <w:t xml:space="preserve">3,204</w:t>
            </w:r>
          </w:p>
        </w:tc>
      </w:tr>
      <w:tr>
        <w:tc>
          <w:tcPr>
            <w:tcW w:type="dxa" w:w="780"/>
          </w:tcPr>
          <w:p>
            <w:pPr>
              <w:pStyle w:val="TableTextLong"/>
              <w:jc w:val="center"/>
            </w:pPr>
            <w:r>
              <w:rPr>
                <w:lang w:val="es-AR"/>
              </w:rPr>
              <w:t xml:space="preserve">22</w:t>
            </w:r>
          </w:p>
        </w:tc>
        <w:tc>
          <w:tcPr>
            <w:tcW w:type="dxa" w:w="1332"/>
          </w:tcPr>
          <w:p>
            <w:pPr>
              <w:pStyle w:val="TableTextLong"/>
              <w:jc w:val="center"/>
            </w:pPr>
            <w:r>
              <w:rPr>
                <w:lang w:val="es-AR"/>
              </w:rPr>
              <w:t xml:space="preserve">3,102</w:t>
            </w:r>
          </w:p>
        </w:tc>
        <w:tc>
          <w:tcPr>
            <w:tcW w:type="dxa" w:w="1300"/>
          </w:tcPr>
          <w:p>
            <w:pPr>
              <w:pStyle w:val="TableTextLong"/>
              <w:jc w:val="center"/>
            </w:pPr>
            <w:r>
              <w:rPr>
                <w:lang w:val="es-AR"/>
              </w:rPr>
              <w:t xml:space="preserve">3,161</w:t>
            </w:r>
          </w:p>
        </w:tc>
        <w:tc>
          <w:tcPr>
            <w:tcW w:type="dxa" w:w="1560"/>
          </w:tcPr>
          <w:p>
            <w:pPr>
              <w:pStyle w:val="TableTextLong"/>
              <w:jc w:val="center"/>
            </w:pPr>
            <w:r>
              <w:rPr>
                <w:lang w:val="es-AR"/>
              </w:rPr>
              <w:t xml:space="preserve">3,132</w:t>
            </w:r>
          </w:p>
        </w:tc>
        <w:tc>
          <w:tcPr>
            <w:tcW w:type="dxa" w:w="1820"/>
          </w:tcPr>
          <w:p>
            <w:pPr>
              <w:pStyle w:val="TableTextLong"/>
              <w:jc w:val="center"/>
            </w:pPr>
            <w:r>
              <w:rPr>
                <w:lang w:val="es-AR"/>
              </w:rPr>
              <w:t xml:space="preserve">3,250</w:t>
            </w:r>
          </w:p>
        </w:tc>
      </w:tr>
      <w:tr>
        <w:tc>
          <w:tcPr>
            <w:tcW w:type="dxa" w:w="780"/>
          </w:tcPr>
          <w:p>
            <w:pPr>
              <w:pStyle w:val="TableTextLong"/>
              <w:jc w:val="center"/>
            </w:pPr>
            <w:r>
              <w:rPr>
                <w:lang w:val="es-AR"/>
              </w:rPr>
              <w:t xml:space="preserve">23</w:t>
            </w:r>
          </w:p>
        </w:tc>
        <w:tc>
          <w:tcPr>
            <w:tcW w:type="dxa" w:w="1332"/>
          </w:tcPr>
          <w:p>
            <w:pPr>
              <w:pStyle w:val="TableTextLong"/>
              <w:jc w:val="center"/>
            </w:pPr>
            <w:r>
              <w:rPr>
                <w:lang w:val="es-AR"/>
              </w:rPr>
              <w:t xml:space="preserve">3,084</w:t>
            </w:r>
          </w:p>
        </w:tc>
        <w:tc>
          <w:tcPr>
            <w:tcW w:type="dxa" w:w="1300"/>
          </w:tcPr>
          <w:p>
            <w:pPr>
              <w:pStyle w:val="TableTextLong"/>
              <w:jc w:val="center"/>
            </w:pPr>
            <w:r>
              <w:rPr>
                <w:lang w:val="es-AR"/>
              </w:rPr>
              <w:t xml:space="preserve">3,102</w:t>
            </w:r>
          </w:p>
        </w:tc>
        <w:tc>
          <w:tcPr>
            <w:tcW w:type="dxa" w:w="1560"/>
          </w:tcPr>
          <w:p>
            <w:pPr>
              <w:pStyle w:val="TableTextLong"/>
              <w:jc w:val="center"/>
            </w:pPr>
            <w:r>
              <w:rPr>
                <w:lang w:val="es-AR"/>
              </w:rPr>
              <w:t xml:space="preserve">3,093</w:t>
            </w:r>
          </w:p>
        </w:tc>
        <w:tc>
          <w:tcPr>
            <w:tcW w:type="dxa" w:w="1820"/>
          </w:tcPr>
          <w:p>
            <w:pPr>
              <w:pStyle w:val="TableTextLong"/>
              <w:jc w:val="center"/>
            </w:pPr>
            <w:r>
              <w:rPr>
                <w:lang w:val="es-AR"/>
              </w:rPr>
              <w:t xml:space="preserve">3,291</w:t>
            </w:r>
          </w:p>
        </w:tc>
      </w:tr>
      <w:tr>
        <w:tc>
          <w:tcPr>
            <w:tcW w:type="dxa" w:w="780"/>
          </w:tcPr>
          <w:p>
            <w:pPr>
              <w:pStyle w:val="TableTextLong"/>
              <w:jc w:val="center"/>
            </w:pPr>
            <w:r>
              <w:rPr>
                <w:lang w:val="es-AR"/>
              </w:rPr>
              <w:t xml:space="preserve">24</w:t>
            </w:r>
          </w:p>
        </w:tc>
        <w:tc>
          <w:tcPr>
            <w:tcW w:type="dxa" w:w="1332"/>
          </w:tcPr>
          <w:p>
            <w:pPr>
              <w:pStyle w:val="TableTextLong"/>
              <w:jc w:val="center"/>
            </w:pPr>
            <w:r>
              <w:rPr>
                <w:lang w:val="es-AR"/>
              </w:rPr>
              <w:t xml:space="preserve">3,563</w:t>
            </w:r>
          </w:p>
        </w:tc>
        <w:tc>
          <w:tcPr>
            <w:tcW w:type="dxa" w:w="1300"/>
          </w:tcPr>
          <w:p>
            <w:pPr>
              <w:pStyle w:val="TableTextLong"/>
              <w:jc w:val="center"/>
            </w:pPr>
            <w:r>
              <w:rPr>
                <w:lang w:val="es-AR"/>
              </w:rPr>
              <w:t xml:space="preserve">3,084</w:t>
            </w:r>
          </w:p>
        </w:tc>
        <w:tc>
          <w:tcPr>
            <w:tcW w:type="dxa" w:w="1560"/>
          </w:tcPr>
          <w:p>
            <w:pPr>
              <w:pStyle w:val="TableTextLong"/>
              <w:jc w:val="center"/>
            </w:pPr>
            <w:r>
              <w:rPr>
                <w:lang w:val="es-AR"/>
              </w:rPr>
              <w:t xml:space="preserve">3,324</w:t>
            </w:r>
          </w:p>
        </w:tc>
        <w:tc>
          <w:tcPr>
            <w:tcW w:type="dxa" w:w="1820"/>
          </w:tcPr>
          <w:p>
            <w:pPr>
              <w:pStyle w:val="TableTextLong"/>
              <w:jc w:val="center"/>
            </w:pPr>
            <w:r>
              <w:rPr>
                <w:lang w:val="es-AR"/>
              </w:rPr>
              <w:t xml:space="preserve">3,326</w:t>
            </w:r>
          </w:p>
        </w:tc>
      </w:tr>
      <w:tr>
        <w:tc>
          <w:tcPr>
            <w:tcW w:type="dxa" w:w="780"/>
          </w:tcPr>
          <w:p>
            <w:pPr>
              <w:pStyle w:val="TableTextLong"/>
              <w:jc w:val="center"/>
            </w:pPr>
            <w:r>
              <w:rPr>
                <w:lang w:val="es-AR"/>
              </w:rPr>
              <w:t xml:space="preserve">25</w:t>
            </w:r>
          </w:p>
        </w:tc>
        <w:tc>
          <w:tcPr>
            <w:tcW w:type="dxa" w:w="1332"/>
          </w:tcPr>
          <w:p>
            <w:pPr>
              <w:pStyle w:val="TableTextLong"/>
              <w:jc w:val="center"/>
            </w:pPr>
            <w:r>
              <w:rPr>
                <w:lang w:val="es-AR"/>
              </w:rPr>
              <w:t xml:space="preserve">4,171</w:t>
            </w:r>
          </w:p>
        </w:tc>
        <w:tc>
          <w:tcPr>
            <w:tcW w:type="dxa" w:w="1300"/>
          </w:tcPr>
          <w:p>
            <w:pPr>
              <w:pStyle w:val="TableTextLong"/>
              <w:jc w:val="center"/>
            </w:pPr>
            <w:r>
              <w:rPr>
                <w:lang w:val="es-AR"/>
              </w:rPr>
              <w:t xml:space="preserve">3,563</w:t>
            </w:r>
          </w:p>
        </w:tc>
        <w:tc>
          <w:tcPr>
            <w:tcW w:type="dxa" w:w="1560"/>
          </w:tcPr>
          <w:p>
            <w:pPr>
              <w:pStyle w:val="TableTextLong"/>
              <w:jc w:val="center"/>
            </w:pPr>
            <w:r>
              <w:rPr>
                <w:lang w:val="es-AR"/>
              </w:rPr>
              <w:t xml:space="preserve">3,867</w:t>
            </w:r>
          </w:p>
        </w:tc>
        <w:tc>
          <w:tcPr>
            <w:tcW w:type="dxa" w:w="1820"/>
          </w:tcPr>
          <w:p>
            <w:pPr>
              <w:pStyle w:val="TableTextLong"/>
              <w:jc w:val="center"/>
            </w:pPr>
            <w:r>
              <w:rPr>
                <w:lang w:val="es-AR"/>
              </w:rPr>
              <w:t xml:space="preserve">3,357</w:t>
            </w:r>
          </w:p>
        </w:tc>
      </w:tr>
      <w:tr>
        <w:tc>
          <w:tcPr>
            <w:tcW w:type="dxa" w:w="780"/>
          </w:tcPr>
          <w:p>
            <w:pPr>
              <w:pStyle w:val="TableTextLong"/>
              <w:jc w:val="center"/>
            </w:pPr>
            <w:r>
              <w:rPr>
                <w:lang w:val="es-AR"/>
              </w:rPr>
              <w:t xml:space="preserve">26</w:t>
            </w:r>
          </w:p>
        </w:tc>
        <w:tc>
          <w:tcPr>
            <w:tcW w:type="dxa" w:w="1332"/>
          </w:tcPr>
          <w:p>
            <w:pPr>
              <w:pStyle w:val="TableTextLong"/>
              <w:jc w:val="center"/>
            </w:pPr>
            <w:r>
              <w:rPr>
                <w:lang w:val="es-AR"/>
              </w:rPr>
              <w:t xml:space="preserve">3,508</w:t>
            </w:r>
          </w:p>
        </w:tc>
        <w:tc>
          <w:tcPr>
            <w:tcW w:type="dxa" w:w="1300"/>
          </w:tcPr>
          <w:p>
            <w:pPr>
              <w:pStyle w:val="TableTextLong"/>
              <w:jc w:val="center"/>
            </w:pPr>
            <w:r>
              <w:rPr>
                <w:lang w:val="es-AR"/>
              </w:rPr>
              <w:t xml:space="preserve">4,171</w:t>
            </w:r>
          </w:p>
        </w:tc>
        <w:tc>
          <w:tcPr>
            <w:tcW w:type="dxa" w:w="1560"/>
          </w:tcPr>
          <w:p>
            <w:pPr>
              <w:pStyle w:val="TableTextLong"/>
              <w:jc w:val="center"/>
            </w:pPr>
            <w:r>
              <w:rPr>
                <w:lang w:val="es-AR"/>
              </w:rPr>
              <w:t xml:space="preserve">3,840</w:t>
            </w:r>
          </w:p>
        </w:tc>
        <w:tc>
          <w:tcPr>
            <w:tcW w:type="dxa" w:w="1820"/>
          </w:tcPr>
          <w:p>
            <w:pPr>
              <w:pStyle w:val="TableTextLong"/>
              <w:jc w:val="center"/>
            </w:pPr>
            <w:r>
              <w:rPr>
                <w:lang w:val="es-AR"/>
              </w:rPr>
              <w:t xml:space="preserve">3,383</w:t>
            </w:r>
          </w:p>
        </w:tc>
      </w:tr>
      <w:tr>
        <w:tc>
          <w:tcPr>
            <w:tcW w:type="dxa" w:w="780"/>
          </w:tcPr>
          <w:p>
            <w:pPr>
              <w:pStyle w:val="TableTextLong"/>
              <w:jc w:val="center"/>
            </w:pPr>
            <w:r>
              <w:rPr>
                <w:lang w:val="es-AR"/>
              </w:rPr>
              <w:t xml:space="preserve">27</w:t>
            </w:r>
          </w:p>
        </w:tc>
        <w:tc>
          <w:tcPr>
            <w:tcW w:type="dxa" w:w="1332"/>
          </w:tcPr>
          <w:p>
            <w:pPr>
              <w:pStyle w:val="TableTextLong"/>
              <w:jc w:val="center"/>
            </w:pPr>
            <w:r>
              <w:rPr>
                <w:lang w:val="es-AR"/>
              </w:rPr>
              <w:t xml:space="preserve">3,800</w:t>
            </w:r>
          </w:p>
        </w:tc>
        <w:tc>
          <w:tcPr>
            <w:tcW w:type="dxa" w:w="1300"/>
          </w:tcPr>
          <w:p>
            <w:pPr>
              <w:pStyle w:val="TableTextLong"/>
              <w:jc w:val="center"/>
            </w:pPr>
            <w:r>
              <w:rPr>
                <w:lang w:val="es-AR"/>
              </w:rPr>
              <w:t xml:space="preserve">3,508</w:t>
            </w:r>
          </w:p>
        </w:tc>
        <w:tc>
          <w:tcPr>
            <w:tcW w:type="dxa" w:w="1560"/>
          </w:tcPr>
          <w:p>
            <w:pPr>
              <w:pStyle w:val="TableTextLong"/>
              <w:jc w:val="center"/>
            </w:pPr>
            <w:r>
              <w:rPr>
                <w:lang w:val="es-AR"/>
              </w:rPr>
              <w:t xml:space="preserve">3,654</w:t>
            </w:r>
          </w:p>
        </w:tc>
        <w:tc>
          <w:tcPr>
            <w:tcW w:type="dxa" w:w="1820"/>
          </w:tcPr>
          <w:p>
            <w:pPr>
              <w:pStyle w:val="TableTextLong"/>
              <w:jc w:val="center"/>
            </w:pPr>
            <w:r>
              <w:rPr>
                <w:lang w:val="es-AR"/>
              </w:rPr>
              <w:t xml:space="preserve">3,403</w:t>
            </w:r>
          </w:p>
        </w:tc>
      </w:tr>
      <w:tr>
        <w:tc>
          <w:tcPr>
            <w:tcW w:type="dxa" w:w="780"/>
          </w:tcPr>
          <w:p>
            <w:pPr>
              <w:pStyle w:val="TableTextLong"/>
              <w:jc w:val="center"/>
            </w:pPr>
            <w:r>
              <w:rPr>
                <w:lang w:val="es-AR"/>
              </w:rPr>
              <w:t xml:space="preserve">28</w:t>
            </w:r>
          </w:p>
        </w:tc>
        <w:tc>
          <w:tcPr>
            <w:tcW w:type="dxa" w:w="1332"/>
          </w:tcPr>
          <w:p>
            <w:pPr>
              <w:pStyle w:val="TableTextLong"/>
              <w:jc w:val="center"/>
            </w:pPr>
            <w:r>
              <w:rPr>
                <w:lang w:val="es-AR"/>
              </w:rPr>
              <w:t xml:space="preserve">3,830</w:t>
            </w:r>
          </w:p>
        </w:tc>
        <w:tc>
          <w:tcPr>
            <w:tcW w:type="dxa" w:w="1300"/>
          </w:tcPr>
          <w:p>
            <w:pPr>
              <w:pStyle w:val="TableTextLong"/>
              <w:jc w:val="center"/>
            </w:pPr>
            <w:r>
              <w:rPr>
                <w:lang w:val="es-AR"/>
              </w:rPr>
              <w:t xml:space="preserve">3,800</w:t>
            </w:r>
          </w:p>
        </w:tc>
        <w:tc>
          <w:tcPr>
            <w:tcW w:type="dxa" w:w="1560"/>
          </w:tcPr>
          <w:p>
            <w:pPr>
              <w:pStyle w:val="TableTextLong"/>
              <w:jc w:val="center"/>
            </w:pPr>
            <w:r>
              <w:rPr>
                <w:lang w:val="es-AR"/>
              </w:rPr>
              <w:t xml:space="preserve">3,815</w:t>
            </w:r>
          </w:p>
        </w:tc>
        <w:tc>
          <w:tcPr>
            <w:tcW w:type="dxa" w:w="1820"/>
          </w:tcPr>
          <w:p>
            <w:pPr>
              <w:pStyle w:val="TableTextLong"/>
              <w:jc w:val="center"/>
            </w:pPr>
            <w:r>
              <w:rPr>
                <w:lang w:val="es-AR"/>
              </w:rPr>
              <w:t xml:space="preserve">3,419</w:t>
            </w:r>
          </w:p>
        </w:tc>
      </w:tr>
      <w:tr>
        <w:tc>
          <w:tcPr>
            <w:tcW w:type="dxa" w:w="780"/>
          </w:tcPr>
          <w:p>
            <w:pPr>
              <w:pStyle w:val="TableTextLong"/>
              <w:jc w:val="center"/>
            </w:pPr>
            <w:r>
              <w:rPr>
                <w:lang w:val="es-AR"/>
              </w:rPr>
              <w:t xml:space="preserve">29</w:t>
            </w:r>
          </w:p>
        </w:tc>
        <w:tc>
          <w:tcPr>
            <w:tcW w:type="dxa" w:w="1332"/>
          </w:tcPr>
          <w:p>
            <w:pPr>
              <w:pStyle w:val="TableTextLong"/>
              <w:jc w:val="center"/>
            </w:pPr>
            <w:r>
              <w:rPr>
                <w:lang w:val="es-AR"/>
              </w:rPr>
              <w:t xml:space="preserve">3,613</w:t>
            </w:r>
          </w:p>
        </w:tc>
        <w:tc>
          <w:tcPr>
            <w:tcW w:type="dxa" w:w="1300"/>
          </w:tcPr>
          <w:p>
            <w:pPr>
              <w:pStyle w:val="TableTextLong"/>
              <w:jc w:val="center"/>
            </w:pPr>
            <w:r>
              <w:rPr>
                <w:lang w:val="es-AR"/>
              </w:rPr>
              <w:t xml:space="preserve">3,830</w:t>
            </w:r>
          </w:p>
        </w:tc>
        <w:tc>
          <w:tcPr>
            <w:tcW w:type="dxa" w:w="1560"/>
          </w:tcPr>
          <w:p>
            <w:pPr>
              <w:pStyle w:val="TableTextLong"/>
              <w:jc w:val="center"/>
            </w:pPr>
            <w:r>
              <w:rPr>
                <w:lang w:val="es-AR"/>
              </w:rPr>
              <w:t xml:space="preserve">3,721</w:t>
            </w:r>
          </w:p>
        </w:tc>
        <w:tc>
          <w:tcPr>
            <w:tcW w:type="dxa" w:w="1820"/>
          </w:tcPr>
          <w:p>
            <w:pPr>
              <w:pStyle w:val="TableTextLong"/>
              <w:jc w:val="center"/>
            </w:pPr>
            <w:r>
              <w:rPr>
                <w:lang w:val="es-AR"/>
              </w:rPr>
              <w:t xml:space="preserve">3,429</w:t>
            </w:r>
          </w:p>
        </w:tc>
      </w:tr>
      <w:tr>
        <w:tc>
          <w:tcPr>
            <w:tcW w:type="dxa" w:w="780"/>
          </w:tcPr>
          <w:p>
            <w:pPr>
              <w:pStyle w:val="TableTextLong"/>
              <w:jc w:val="center"/>
            </w:pPr>
            <w:r>
              <w:rPr>
                <w:lang w:val="es-AR"/>
              </w:rPr>
              <w:t xml:space="preserve">30</w:t>
            </w:r>
          </w:p>
        </w:tc>
        <w:tc>
          <w:tcPr>
            <w:tcW w:type="dxa" w:w="1332"/>
          </w:tcPr>
          <w:p>
            <w:pPr>
              <w:pStyle w:val="TableTextLong"/>
              <w:jc w:val="center"/>
            </w:pPr>
            <w:r>
              <w:rPr>
                <w:lang w:val="es-AR"/>
              </w:rPr>
              <w:t xml:space="preserve">3,507</w:t>
            </w:r>
          </w:p>
        </w:tc>
        <w:tc>
          <w:tcPr>
            <w:tcW w:type="dxa" w:w="1300"/>
          </w:tcPr>
          <w:p>
            <w:pPr>
              <w:pStyle w:val="TableTextLong"/>
              <w:jc w:val="center"/>
            </w:pPr>
            <w:r>
              <w:rPr>
                <w:lang w:val="es-AR"/>
              </w:rPr>
              <w:t xml:space="preserve">3,613</w:t>
            </w:r>
          </w:p>
        </w:tc>
        <w:tc>
          <w:tcPr>
            <w:tcW w:type="dxa" w:w="1560"/>
          </w:tcPr>
          <w:p>
            <w:pPr>
              <w:pStyle w:val="TableTextLong"/>
              <w:jc w:val="center"/>
            </w:pPr>
            <w:r>
              <w:rPr>
                <w:lang w:val="es-AR"/>
              </w:rPr>
              <w:t xml:space="preserve">3,560</w:t>
            </w:r>
          </w:p>
        </w:tc>
        <w:tc>
          <w:tcPr>
            <w:tcW w:type="dxa" w:w="1820"/>
          </w:tcPr>
          <w:p>
            <w:pPr>
              <w:pStyle w:val="TableTextLong"/>
              <w:jc w:val="center"/>
            </w:pPr>
            <w:r>
              <w:rPr>
                <w:lang w:val="es-AR"/>
              </w:rPr>
              <w:t xml:space="preserve">3,435</w:t>
            </w:r>
          </w:p>
        </w:tc>
      </w:tr>
      <w:tr>
        <w:tc>
          <w:tcPr>
            <w:tcW w:type="dxa" w:w="780"/>
          </w:tcPr>
          <w:p>
            <w:pPr>
              <w:pStyle w:val="TableTextLong"/>
              <w:jc w:val="center"/>
            </w:pPr>
            <w:r>
              <w:rPr>
                <w:lang w:val="es-AR"/>
              </w:rPr>
              <w:t xml:space="preserve">31</w:t>
            </w:r>
          </w:p>
        </w:tc>
        <w:tc>
          <w:tcPr>
            <w:tcW w:type="dxa" w:w="1332"/>
          </w:tcPr>
          <w:p>
            <w:pPr>
              <w:pStyle w:val="TableTextLong"/>
              <w:jc w:val="center"/>
            </w:pPr>
            <w:r>
              <w:rPr>
                <w:lang w:val="es-AR"/>
              </w:rPr>
              <w:t xml:space="preserve">4,065</w:t>
            </w:r>
          </w:p>
        </w:tc>
        <w:tc>
          <w:tcPr>
            <w:tcW w:type="dxa" w:w="1300"/>
          </w:tcPr>
          <w:p>
            <w:pPr>
              <w:pStyle w:val="TableTextLong"/>
              <w:jc w:val="center"/>
            </w:pPr>
            <w:r>
              <w:rPr>
                <w:lang w:val="es-AR"/>
              </w:rPr>
              <w:t xml:space="preserve">3,507</w:t>
            </w:r>
          </w:p>
        </w:tc>
        <w:tc>
          <w:tcPr>
            <w:tcW w:type="dxa" w:w="1560"/>
          </w:tcPr>
          <w:p>
            <w:pPr>
              <w:pStyle w:val="TableTextLong"/>
              <w:jc w:val="center"/>
            </w:pPr>
            <w:r>
              <w:rPr>
                <w:lang w:val="es-AR"/>
              </w:rPr>
              <w:t xml:space="preserve">3,786</w:t>
            </w:r>
          </w:p>
        </w:tc>
        <w:tc>
          <w:tcPr>
            <w:tcW w:type="dxa" w:w="1820"/>
          </w:tcPr>
          <w:p>
            <w:pPr>
              <w:pStyle w:val="TableTextLong"/>
              <w:jc w:val="center"/>
            </w:pPr>
            <w:r>
              <w:rPr>
                <w:lang w:val="es-AR"/>
              </w:rPr>
              <w:t xml:space="preserve">3,435</w:t>
            </w:r>
          </w:p>
        </w:tc>
      </w:tr>
      <w:tr>
        <w:tc>
          <w:tcPr>
            <w:tcW w:type="dxa" w:w="780"/>
          </w:tcPr>
          <w:p>
            <w:pPr>
              <w:pStyle w:val="TableTextLong"/>
              <w:jc w:val="center"/>
            </w:pPr>
            <w:r>
              <w:rPr>
                <w:lang w:val="es-AR"/>
              </w:rPr>
              <w:t xml:space="preserve">32</w:t>
            </w:r>
          </w:p>
        </w:tc>
        <w:tc>
          <w:tcPr>
            <w:tcW w:type="dxa" w:w="1332"/>
          </w:tcPr>
          <w:p>
            <w:pPr>
              <w:pStyle w:val="TableTextLong"/>
              <w:jc w:val="center"/>
            </w:pPr>
            <w:r>
              <w:rPr>
                <w:lang w:val="es-AR"/>
              </w:rPr>
              <w:t xml:space="preserve">3,760</w:t>
            </w:r>
          </w:p>
        </w:tc>
        <w:tc>
          <w:tcPr>
            <w:tcW w:type="dxa" w:w="1300"/>
          </w:tcPr>
          <w:p>
            <w:pPr>
              <w:pStyle w:val="TableTextLong"/>
              <w:jc w:val="center"/>
            </w:pPr>
            <w:r>
              <w:rPr>
                <w:lang w:val="es-AR"/>
              </w:rPr>
              <w:t xml:space="preserve">4,065</w:t>
            </w:r>
          </w:p>
        </w:tc>
        <w:tc>
          <w:tcPr>
            <w:tcW w:type="dxa" w:w="1560"/>
          </w:tcPr>
          <w:p>
            <w:pPr>
              <w:pStyle w:val="TableTextLong"/>
              <w:jc w:val="center"/>
            </w:pPr>
            <w:r>
              <w:rPr>
                <w:lang w:val="es-AR"/>
              </w:rPr>
              <w:t xml:space="preserve">3,912</w:t>
            </w:r>
          </w:p>
        </w:tc>
        <w:tc>
          <w:tcPr>
            <w:tcW w:type="dxa" w:w="1820"/>
          </w:tcPr>
          <w:p>
            <w:pPr>
              <w:pStyle w:val="TableTextLong"/>
              <w:jc w:val="center"/>
            </w:pPr>
            <w:r>
              <w:rPr>
                <w:lang w:val="es-AR"/>
              </w:rPr>
              <w:t xml:space="preserve">3,431</w:t>
            </w:r>
          </w:p>
        </w:tc>
      </w:tr>
      <w:tr>
        <w:tc>
          <w:tcPr>
            <w:tcW w:type="dxa" w:w="780"/>
          </w:tcPr>
          <w:p>
            <w:pPr>
              <w:pStyle w:val="TableTextLong"/>
              <w:jc w:val="center"/>
            </w:pPr>
            <w:r>
              <w:rPr>
                <w:lang w:val="es-AR"/>
              </w:rPr>
              <w:t xml:space="preserve">33</w:t>
            </w:r>
          </w:p>
        </w:tc>
        <w:tc>
          <w:tcPr>
            <w:tcW w:type="dxa" w:w="1332"/>
          </w:tcPr>
          <w:p>
            <w:pPr>
              <w:pStyle w:val="TableTextLong"/>
              <w:jc w:val="center"/>
            </w:pPr>
            <w:r>
              <w:rPr>
                <w:lang w:val="es-AR"/>
              </w:rPr>
              <w:t xml:space="preserve">3,380</w:t>
            </w:r>
          </w:p>
        </w:tc>
        <w:tc>
          <w:tcPr>
            <w:tcW w:type="dxa" w:w="1300"/>
          </w:tcPr>
          <w:p>
            <w:pPr>
              <w:pStyle w:val="TableTextLong"/>
              <w:jc w:val="center"/>
            </w:pPr>
            <w:r>
              <w:rPr>
                <w:lang w:val="es-AR"/>
              </w:rPr>
              <w:t xml:space="preserve">3,760</w:t>
            </w:r>
          </w:p>
        </w:tc>
        <w:tc>
          <w:tcPr>
            <w:tcW w:type="dxa" w:w="1560"/>
          </w:tcPr>
          <w:p>
            <w:pPr>
              <w:pStyle w:val="TableTextLong"/>
              <w:jc w:val="center"/>
            </w:pPr>
            <w:r>
              <w:rPr>
                <w:lang w:val="es-AR"/>
              </w:rPr>
              <w:t xml:space="preserve">3,570</w:t>
            </w:r>
          </w:p>
        </w:tc>
        <w:tc>
          <w:tcPr>
            <w:tcW w:type="dxa" w:w="1820"/>
          </w:tcPr>
          <w:p>
            <w:pPr>
              <w:pStyle w:val="TableTextLong"/>
              <w:jc w:val="center"/>
            </w:pPr>
            <w:r>
              <w:rPr>
                <w:lang w:val="es-AR"/>
              </w:rPr>
              <w:t xml:space="preserve">3,421</w:t>
            </w:r>
          </w:p>
        </w:tc>
      </w:tr>
      <w:tr>
        <w:tc>
          <w:tcPr>
            <w:tcW w:type="dxa" w:w="780"/>
          </w:tcPr>
          <w:p>
            <w:pPr>
              <w:pStyle w:val="TableTextLong"/>
              <w:jc w:val="center"/>
            </w:pPr>
            <w:r>
              <w:rPr>
                <w:lang w:val="es-AR"/>
              </w:rPr>
              <w:t xml:space="preserve">34</w:t>
            </w:r>
          </w:p>
        </w:tc>
        <w:tc>
          <w:tcPr>
            <w:tcW w:type="dxa" w:w="1332"/>
          </w:tcPr>
          <w:p>
            <w:pPr>
              <w:pStyle w:val="TableTextLong"/>
              <w:jc w:val="center"/>
            </w:pPr>
            <w:r>
              <w:rPr>
                <w:lang w:val="es-AR"/>
              </w:rPr>
              <w:t xml:space="preserve">3,254</w:t>
            </w:r>
          </w:p>
        </w:tc>
        <w:tc>
          <w:tcPr>
            <w:tcW w:type="dxa" w:w="1300"/>
          </w:tcPr>
          <w:p>
            <w:pPr>
              <w:pStyle w:val="TableTextLong"/>
              <w:jc w:val="center"/>
            </w:pPr>
            <w:r>
              <w:rPr>
                <w:lang w:val="es-AR"/>
              </w:rPr>
              <w:t xml:space="preserve">3,380</w:t>
            </w:r>
          </w:p>
        </w:tc>
        <w:tc>
          <w:tcPr>
            <w:tcW w:type="dxa" w:w="1560"/>
          </w:tcPr>
          <w:p>
            <w:pPr>
              <w:pStyle w:val="TableTextLong"/>
              <w:jc w:val="center"/>
            </w:pPr>
            <w:r>
              <w:rPr>
                <w:lang w:val="es-AR"/>
              </w:rPr>
              <w:t xml:space="preserve">3,317</w:t>
            </w:r>
          </w:p>
        </w:tc>
        <w:tc>
          <w:tcPr>
            <w:tcW w:type="dxa" w:w="1820"/>
          </w:tcPr>
          <w:p>
            <w:pPr>
              <w:pStyle w:val="TableTextLong"/>
              <w:jc w:val="center"/>
            </w:pPr>
            <w:r>
              <w:rPr>
                <w:lang w:val="es-AR"/>
              </w:rPr>
              <w:t xml:space="preserve">3,406</w:t>
            </w:r>
          </w:p>
        </w:tc>
      </w:tr>
      <w:tr>
        <w:tc>
          <w:tcPr>
            <w:tcW w:type="dxa" w:w="780"/>
          </w:tcPr>
          <w:p>
            <w:pPr>
              <w:pStyle w:val="TableTextLong"/>
              <w:jc w:val="center"/>
            </w:pPr>
            <w:r>
              <w:rPr>
                <w:lang w:val="es-AR"/>
              </w:rPr>
              <w:t xml:space="preserve">35</w:t>
            </w:r>
          </w:p>
        </w:tc>
        <w:tc>
          <w:tcPr>
            <w:tcW w:type="dxa" w:w="1332"/>
          </w:tcPr>
          <w:p>
            <w:pPr>
              <w:pStyle w:val="TableTextLong"/>
              <w:jc w:val="center"/>
            </w:pPr>
            <w:r>
              <w:rPr>
                <w:lang w:val="es-AR"/>
              </w:rPr>
              <w:t xml:space="preserve">3,136</w:t>
            </w:r>
          </w:p>
        </w:tc>
        <w:tc>
          <w:tcPr>
            <w:tcW w:type="dxa" w:w="1300"/>
          </w:tcPr>
          <w:p>
            <w:pPr>
              <w:pStyle w:val="TableTextLong"/>
              <w:jc w:val="center"/>
            </w:pPr>
            <w:r>
              <w:rPr>
                <w:lang w:val="es-AR"/>
              </w:rPr>
              <w:t xml:space="preserve">3,254</w:t>
            </w:r>
          </w:p>
        </w:tc>
        <w:tc>
          <w:tcPr>
            <w:tcW w:type="dxa" w:w="1560"/>
          </w:tcPr>
          <w:p>
            <w:pPr>
              <w:pStyle w:val="TableTextLong"/>
              <w:jc w:val="center"/>
            </w:pPr>
            <w:r>
              <w:rPr>
                <w:lang w:val="es-AR"/>
              </w:rPr>
              <w:t xml:space="preserve">3,195</w:t>
            </w:r>
          </w:p>
        </w:tc>
        <w:tc>
          <w:tcPr>
            <w:tcW w:type="dxa" w:w="1820"/>
          </w:tcPr>
          <w:p>
            <w:pPr>
              <w:pStyle w:val="TableTextLong"/>
              <w:jc w:val="center"/>
            </w:pPr>
            <w:r>
              <w:rPr>
                <w:lang w:val="es-AR"/>
              </w:rPr>
              <w:t xml:space="preserve">3,387</w:t>
            </w:r>
          </w:p>
        </w:tc>
      </w:tr>
      <w:tr>
        <w:tc>
          <w:tcPr>
            <w:tcW w:type="dxa" w:w="780"/>
          </w:tcPr>
          <w:p>
            <w:pPr>
              <w:pStyle w:val="TableTextLong"/>
              <w:jc w:val="center"/>
            </w:pPr>
            <w:r>
              <w:rPr>
                <w:lang w:val="es-AR"/>
              </w:rPr>
              <w:t xml:space="preserve">36</w:t>
            </w:r>
          </w:p>
        </w:tc>
        <w:tc>
          <w:tcPr>
            <w:tcW w:type="dxa" w:w="1332"/>
          </w:tcPr>
          <w:p>
            <w:pPr>
              <w:pStyle w:val="TableTextLong"/>
              <w:jc w:val="center"/>
            </w:pPr>
            <w:r>
              <w:rPr>
                <w:lang w:val="es-AR"/>
              </w:rPr>
              <w:t xml:space="preserve">2,962</w:t>
            </w:r>
          </w:p>
        </w:tc>
        <w:tc>
          <w:tcPr>
            <w:tcW w:type="dxa" w:w="1300"/>
          </w:tcPr>
          <w:p>
            <w:pPr>
              <w:pStyle w:val="TableTextLong"/>
              <w:jc w:val="center"/>
            </w:pPr>
            <w:r>
              <w:rPr>
                <w:lang w:val="es-AR"/>
              </w:rPr>
              <w:t xml:space="preserve">3,136</w:t>
            </w:r>
          </w:p>
        </w:tc>
        <w:tc>
          <w:tcPr>
            <w:tcW w:type="dxa" w:w="1560"/>
          </w:tcPr>
          <w:p>
            <w:pPr>
              <w:pStyle w:val="TableTextLong"/>
              <w:jc w:val="center"/>
            </w:pPr>
            <w:r>
              <w:rPr>
                <w:lang w:val="es-AR"/>
              </w:rPr>
              <w:t xml:space="preserve">3,049</w:t>
            </w:r>
          </w:p>
        </w:tc>
        <w:tc>
          <w:tcPr>
            <w:tcW w:type="dxa" w:w="1820"/>
          </w:tcPr>
          <w:p>
            <w:pPr>
              <w:pStyle w:val="TableTextLong"/>
              <w:jc w:val="center"/>
            </w:pPr>
            <w:r>
              <w:rPr>
                <w:lang w:val="es-AR"/>
              </w:rPr>
              <w:t xml:space="preserve">3,362</w:t>
            </w:r>
          </w:p>
        </w:tc>
      </w:tr>
      <w:tr>
        <w:tc>
          <w:tcPr>
            <w:tcW w:type="dxa" w:w="780"/>
          </w:tcPr>
          <w:p>
            <w:pPr>
              <w:pStyle w:val="TableTextLong"/>
              <w:jc w:val="center"/>
            </w:pPr>
            <w:r>
              <w:rPr>
                <w:lang w:val="es-AR"/>
              </w:rPr>
              <w:t xml:space="preserve">37</w:t>
            </w:r>
          </w:p>
        </w:tc>
        <w:tc>
          <w:tcPr>
            <w:tcW w:type="dxa" w:w="1332"/>
          </w:tcPr>
          <w:p>
            <w:pPr>
              <w:pStyle w:val="TableTextLong"/>
              <w:jc w:val="center"/>
            </w:pPr>
            <w:r>
              <w:rPr>
                <w:lang w:val="es-AR"/>
              </w:rPr>
              <w:t xml:space="preserve">2,771</w:t>
            </w:r>
          </w:p>
        </w:tc>
        <w:tc>
          <w:tcPr>
            <w:tcW w:type="dxa" w:w="1300"/>
          </w:tcPr>
          <w:p>
            <w:pPr>
              <w:pStyle w:val="TableTextLong"/>
              <w:jc w:val="center"/>
            </w:pPr>
            <w:r>
              <w:rPr>
                <w:lang w:val="es-AR"/>
              </w:rPr>
              <w:t xml:space="preserve">2,962</w:t>
            </w:r>
          </w:p>
        </w:tc>
        <w:tc>
          <w:tcPr>
            <w:tcW w:type="dxa" w:w="1560"/>
          </w:tcPr>
          <w:p>
            <w:pPr>
              <w:pStyle w:val="TableTextLong"/>
              <w:jc w:val="center"/>
            </w:pPr>
            <w:r>
              <w:rPr>
                <w:lang w:val="es-AR"/>
              </w:rPr>
              <w:t xml:space="preserve">2,866</w:t>
            </w:r>
          </w:p>
        </w:tc>
        <w:tc>
          <w:tcPr>
            <w:tcW w:type="dxa" w:w="1820"/>
          </w:tcPr>
          <w:p>
            <w:pPr>
              <w:pStyle w:val="TableTextLong"/>
              <w:jc w:val="center"/>
            </w:pPr>
            <w:r>
              <w:rPr>
                <w:lang w:val="es-AR"/>
              </w:rPr>
              <w:t xml:space="preserve">3,332</w:t>
            </w:r>
          </w:p>
        </w:tc>
      </w:tr>
      <w:tr>
        <w:tc>
          <w:tcPr>
            <w:tcW w:type="dxa" w:w="780"/>
          </w:tcPr>
          <w:p>
            <w:pPr>
              <w:pStyle w:val="TableTextLong"/>
              <w:jc w:val="center"/>
            </w:pPr>
            <w:r>
              <w:rPr>
                <w:lang w:val="es-AR"/>
              </w:rPr>
              <w:t xml:space="preserve">38</w:t>
            </w:r>
          </w:p>
        </w:tc>
        <w:tc>
          <w:tcPr>
            <w:tcW w:type="dxa" w:w="1332"/>
          </w:tcPr>
          <w:p>
            <w:pPr>
              <w:pStyle w:val="TableTextLong"/>
              <w:jc w:val="center"/>
            </w:pPr>
            <w:r>
              <w:rPr>
                <w:lang w:val="es-AR"/>
              </w:rPr>
              <w:t xml:space="preserve">2,736</w:t>
            </w:r>
          </w:p>
        </w:tc>
        <w:tc>
          <w:tcPr>
            <w:tcW w:type="dxa" w:w="1300"/>
          </w:tcPr>
          <w:p>
            <w:pPr>
              <w:pStyle w:val="TableTextLong"/>
              <w:jc w:val="center"/>
            </w:pPr>
            <w:r>
              <w:rPr>
                <w:lang w:val="es-AR"/>
              </w:rPr>
              <w:t xml:space="preserve">2,771</w:t>
            </w:r>
          </w:p>
        </w:tc>
        <w:tc>
          <w:tcPr>
            <w:tcW w:type="dxa" w:w="1560"/>
          </w:tcPr>
          <w:p>
            <w:pPr>
              <w:pStyle w:val="TableTextLong"/>
              <w:jc w:val="center"/>
            </w:pPr>
            <w:r>
              <w:rPr>
                <w:lang w:val="es-AR"/>
              </w:rPr>
              <w:t xml:space="preserve">2,754</w:t>
            </w:r>
          </w:p>
        </w:tc>
        <w:tc>
          <w:tcPr>
            <w:tcW w:type="dxa" w:w="1820"/>
          </w:tcPr>
          <w:p>
            <w:pPr>
              <w:pStyle w:val="TableTextLong"/>
              <w:jc w:val="center"/>
            </w:pPr>
            <w:r>
              <w:rPr>
                <w:lang w:val="es-AR"/>
              </w:rPr>
              <w:t xml:space="preserve">3,297</w:t>
            </w:r>
          </w:p>
        </w:tc>
      </w:tr>
      <w:tr>
        <w:tc>
          <w:tcPr>
            <w:tcW w:type="dxa" w:w="780"/>
          </w:tcPr>
          <w:p>
            <w:pPr>
              <w:pStyle w:val="TableTextLong"/>
              <w:jc w:val="center"/>
            </w:pPr>
            <w:r>
              <w:rPr>
                <w:lang w:val="es-AR"/>
              </w:rPr>
              <w:t xml:space="preserve">39</w:t>
            </w:r>
          </w:p>
        </w:tc>
        <w:tc>
          <w:tcPr>
            <w:tcW w:type="dxa" w:w="1332"/>
          </w:tcPr>
          <w:p>
            <w:pPr>
              <w:pStyle w:val="TableTextLong"/>
              <w:jc w:val="center"/>
            </w:pPr>
            <w:r>
              <w:rPr>
                <w:lang w:val="es-AR"/>
              </w:rPr>
              <w:t xml:space="preserve">3,060</w:t>
            </w:r>
          </w:p>
        </w:tc>
        <w:tc>
          <w:tcPr>
            <w:tcW w:type="dxa" w:w="1300"/>
          </w:tcPr>
          <w:p>
            <w:pPr>
              <w:pStyle w:val="TableTextLong"/>
              <w:jc w:val="center"/>
            </w:pPr>
            <w:r>
              <w:rPr>
                <w:lang w:val="es-AR"/>
              </w:rPr>
              <w:t xml:space="preserve">2,736</w:t>
            </w:r>
          </w:p>
        </w:tc>
        <w:tc>
          <w:tcPr>
            <w:tcW w:type="dxa" w:w="1560"/>
          </w:tcPr>
          <w:p>
            <w:pPr>
              <w:pStyle w:val="TableTextLong"/>
              <w:jc w:val="center"/>
            </w:pPr>
            <w:r>
              <w:rPr>
                <w:lang w:val="es-AR"/>
              </w:rPr>
              <w:t xml:space="preserve">2,898</w:t>
            </w:r>
          </w:p>
        </w:tc>
        <w:tc>
          <w:tcPr>
            <w:tcW w:type="dxa" w:w="1820"/>
          </w:tcPr>
          <w:p>
            <w:pPr>
              <w:pStyle w:val="TableTextLong"/>
              <w:jc w:val="center"/>
            </w:pPr>
            <w:r>
              <w:rPr>
                <w:lang w:val="es-AR"/>
              </w:rPr>
              <w:t xml:space="preserve">3,257</w:t>
            </w:r>
          </w:p>
        </w:tc>
      </w:tr>
      <w:tr>
        <w:tc>
          <w:tcPr>
            <w:tcW w:type="dxa" w:w="780"/>
          </w:tcPr>
          <w:p>
            <w:pPr>
              <w:pStyle w:val="TableTextLong"/>
              <w:jc w:val="center"/>
            </w:pPr>
            <w:r>
              <w:rPr>
                <w:lang w:val="es-AR"/>
              </w:rPr>
              <w:t xml:space="preserve">40</w:t>
            </w:r>
          </w:p>
        </w:tc>
        <w:tc>
          <w:tcPr>
            <w:tcW w:type="dxa" w:w="1332"/>
          </w:tcPr>
          <w:p>
            <w:pPr>
              <w:pStyle w:val="TableTextLong"/>
              <w:jc w:val="center"/>
            </w:pPr>
            <w:r>
              <w:rPr>
                <w:lang w:val="es-AR"/>
              </w:rPr>
              <w:t xml:space="preserve">3,068</w:t>
            </w:r>
          </w:p>
        </w:tc>
        <w:tc>
          <w:tcPr>
            <w:tcW w:type="dxa" w:w="1300"/>
          </w:tcPr>
          <w:p>
            <w:pPr>
              <w:pStyle w:val="TableTextLong"/>
              <w:jc w:val="center"/>
            </w:pPr>
            <w:r>
              <w:rPr>
                <w:lang w:val="es-AR"/>
              </w:rPr>
              <w:t xml:space="preserve">3,060</w:t>
            </w:r>
          </w:p>
        </w:tc>
        <w:tc>
          <w:tcPr>
            <w:tcW w:type="dxa" w:w="1560"/>
          </w:tcPr>
          <w:p>
            <w:pPr>
              <w:pStyle w:val="TableTextLong"/>
              <w:jc w:val="center"/>
            </w:pPr>
            <w:r>
              <w:rPr>
                <w:lang w:val="es-AR"/>
              </w:rPr>
              <w:t xml:space="preserve">3,064</w:t>
            </w:r>
          </w:p>
        </w:tc>
        <w:tc>
          <w:tcPr>
            <w:tcW w:type="dxa" w:w="1820"/>
          </w:tcPr>
          <w:p>
            <w:pPr>
              <w:pStyle w:val="TableTextLong"/>
              <w:jc w:val="center"/>
            </w:pPr>
            <w:r>
              <w:rPr>
                <w:lang w:val="es-AR"/>
              </w:rPr>
              <w:t xml:space="preserve">3,212</w:t>
            </w:r>
          </w:p>
        </w:tc>
      </w:tr>
      <w:tr>
        <w:tc>
          <w:tcPr>
            <w:tcW w:type="dxa" w:w="780"/>
          </w:tcPr>
          <w:p>
            <w:pPr>
              <w:pStyle w:val="TableTextLong"/>
              <w:jc w:val="center"/>
            </w:pPr>
            <w:r>
              <w:rPr>
                <w:lang w:val="es-AR"/>
              </w:rPr>
              <w:t xml:space="preserve">41</w:t>
            </w:r>
          </w:p>
        </w:tc>
        <w:tc>
          <w:tcPr>
            <w:tcW w:type="dxa" w:w="1332"/>
          </w:tcPr>
          <w:p>
            <w:pPr>
              <w:pStyle w:val="TableTextLong"/>
              <w:jc w:val="center"/>
            </w:pPr>
            <w:r>
              <w:rPr>
                <w:lang w:val="es-AR"/>
              </w:rPr>
              <w:t xml:space="preserve">3,244</w:t>
            </w:r>
          </w:p>
        </w:tc>
        <w:tc>
          <w:tcPr>
            <w:tcW w:type="dxa" w:w="1300"/>
          </w:tcPr>
          <w:p>
            <w:pPr>
              <w:pStyle w:val="TableTextLong"/>
              <w:jc w:val="center"/>
            </w:pPr>
            <w:r>
              <w:rPr>
                <w:lang w:val="es-AR"/>
              </w:rPr>
              <w:t xml:space="preserve">3,068</w:t>
            </w:r>
          </w:p>
        </w:tc>
        <w:tc>
          <w:tcPr>
            <w:tcW w:type="dxa" w:w="1560"/>
          </w:tcPr>
          <w:p>
            <w:pPr>
              <w:pStyle w:val="TableTextLong"/>
              <w:jc w:val="center"/>
            </w:pPr>
            <w:r>
              <w:rPr>
                <w:lang w:val="es-AR"/>
              </w:rPr>
              <w:t xml:space="preserve">3,156</w:t>
            </w:r>
          </w:p>
        </w:tc>
        <w:tc>
          <w:tcPr>
            <w:tcW w:type="dxa" w:w="1820"/>
          </w:tcPr>
          <w:p>
            <w:pPr>
              <w:pStyle w:val="TableTextLong"/>
              <w:jc w:val="center"/>
            </w:pPr>
            <w:r>
              <w:rPr>
                <w:lang w:val="es-AR"/>
              </w:rPr>
              <w:t xml:space="preserve">3,163</w:t>
            </w:r>
          </w:p>
        </w:tc>
      </w:tr>
      <w:tr>
        <w:tc>
          <w:tcPr>
            <w:tcW w:type="dxa" w:w="780"/>
          </w:tcPr>
          <w:p>
            <w:pPr>
              <w:pStyle w:val="TableTextLong"/>
              <w:jc w:val="center"/>
            </w:pPr>
            <w:r>
              <w:rPr>
                <w:lang w:val="es-AR"/>
              </w:rPr>
              <w:t xml:space="preserve">42</w:t>
            </w:r>
          </w:p>
        </w:tc>
        <w:tc>
          <w:tcPr>
            <w:tcW w:type="dxa" w:w="1332"/>
          </w:tcPr>
          <w:p>
            <w:pPr>
              <w:pStyle w:val="TableTextLong"/>
              <w:jc w:val="center"/>
            </w:pPr>
            <w:r>
              <w:rPr>
                <w:lang w:val="es-AR"/>
              </w:rPr>
              <w:t xml:space="preserve">3,052</w:t>
            </w:r>
          </w:p>
        </w:tc>
        <w:tc>
          <w:tcPr>
            <w:tcW w:type="dxa" w:w="1300"/>
          </w:tcPr>
          <w:p>
            <w:pPr>
              <w:pStyle w:val="TableTextLong"/>
              <w:jc w:val="center"/>
            </w:pPr>
            <w:r>
              <w:rPr>
                <w:lang w:val="es-AR"/>
              </w:rPr>
              <w:t xml:space="preserve">3,244</w:t>
            </w:r>
          </w:p>
        </w:tc>
        <w:tc>
          <w:tcPr>
            <w:tcW w:type="dxa" w:w="1560"/>
          </w:tcPr>
          <w:p>
            <w:pPr>
              <w:pStyle w:val="TableTextLong"/>
              <w:jc w:val="center"/>
            </w:pPr>
            <w:r>
              <w:rPr>
                <w:lang w:val="es-AR"/>
              </w:rPr>
              <w:t xml:space="preserve">3,148</w:t>
            </w:r>
          </w:p>
        </w:tc>
        <w:tc>
          <w:tcPr>
            <w:tcW w:type="dxa" w:w="1820"/>
          </w:tcPr>
          <w:p>
            <w:pPr>
              <w:pStyle w:val="TableTextLong"/>
              <w:jc w:val="center"/>
            </w:pPr>
            <w:r>
              <w:rPr>
                <w:lang w:val="es-AR"/>
              </w:rPr>
              <w:t xml:space="preserve">3,108</w:t>
            </w:r>
          </w:p>
        </w:tc>
      </w:tr>
      <w:tr>
        <w:tc>
          <w:tcPr>
            <w:tcW w:type="dxa" w:w="780"/>
          </w:tcPr>
          <w:p>
            <w:pPr>
              <w:pStyle w:val="TableTextLong"/>
              <w:jc w:val="center"/>
            </w:pPr>
            <w:r>
              <w:rPr>
                <w:lang w:val="es-AR"/>
              </w:rPr>
              <w:t xml:space="preserve">43</w:t>
            </w:r>
          </w:p>
        </w:tc>
        <w:tc>
          <w:tcPr>
            <w:tcW w:type="dxa" w:w="1332"/>
          </w:tcPr>
          <w:p>
            <w:pPr>
              <w:pStyle w:val="TableTextLong"/>
              <w:jc w:val="center"/>
            </w:pPr>
            <w:r>
              <w:rPr>
                <w:lang w:val="es-AR"/>
              </w:rPr>
              <w:t xml:space="preserve">3,247</w:t>
            </w:r>
          </w:p>
        </w:tc>
        <w:tc>
          <w:tcPr>
            <w:tcW w:type="dxa" w:w="1300"/>
          </w:tcPr>
          <w:p>
            <w:pPr>
              <w:pStyle w:val="TableTextLong"/>
              <w:jc w:val="center"/>
            </w:pPr>
            <w:r>
              <w:rPr>
                <w:lang w:val="es-AR"/>
              </w:rPr>
              <w:t xml:space="preserve">3,052</w:t>
            </w:r>
          </w:p>
        </w:tc>
        <w:tc>
          <w:tcPr>
            <w:tcW w:type="dxa" w:w="1560"/>
          </w:tcPr>
          <w:p>
            <w:pPr>
              <w:pStyle w:val="TableTextLong"/>
              <w:jc w:val="center"/>
            </w:pPr>
            <w:r>
              <w:rPr>
                <w:lang w:val="es-AR"/>
              </w:rPr>
              <w:t xml:space="preserve">3,149</w:t>
            </w:r>
          </w:p>
        </w:tc>
        <w:tc>
          <w:tcPr>
            <w:tcW w:type="dxa" w:w="1820"/>
          </w:tcPr>
          <w:p>
            <w:pPr>
              <w:pStyle w:val="TableTextLong"/>
              <w:jc w:val="center"/>
            </w:pPr>
            <w:r>
              <w:rPr>
                <w:lang w:val="es-AR"/>
              </w:rPr>
              <w:t xml:space="preserve">3,048</w:t>
            </w:r>
          </w:p>
        </w:tc>
      </w:tr>
      <w:tr>
        <w:tc>
          <w:tcPr>
            <w:tcW w:type="dxa" w:w="780"/>
          </w:tcPr>
          <w:p>
            <w:pPr>
              <w:pStyle w:val="TableTextLong"/>
              <w:jc w:val="center"/>
            </w:pPr>
            <w:r>
              <w:rPr>
                <w:lang w:val="es-AR"/>
              </w:rPr>
              <w:t xml:space="preserve">44</w:t>
            </w:r>
          </w:p>
        </w:tc>
        <w:tc>
          <w:tcPr>
            <w:tcW w:type="dxa" w:w="1332"/>
          </w:tcPr>
          <w:p>
            <w:pPr>
              <w:pStyle w:val="TableTextLong"/>
              <w:jc w:val="center"/>
            </w:pPr>
            <w:r>
              <w:rPr>
                <w:lang w:val="es-AR"/>
              </w:rPr>
              <w:t xml:space="preserve">3,206</w:t>
            </w:r>
          </w:p>
        </w:tc>
        <w:tc>
          <w:tcPr>
            <w:tcW w:type="dxa" w:w="1300"/>
          </w:tcPr>
          <w:p>
            <w:pPr>
              <w:pStyle w:val="TableTextLong"/>
              <w:jc w:val="center"/>
            </w:pPr>
            <w:r>
              <w:rPr>
                <w:lang w:val="es-AR"/>
              </w:rPr>
              <w:t xml:space="preserve">3,247</w:t>
            </w:r>
          </w:p>
        </w:tc>
        <w:tc>
          <w:tcPr>
            <w:tcW w:type="dxa" w:w="1560"/>
          </w:tcPr>
          <w:p>
            <w:pPr>
              <w:pStyle w:val="TableTextLong"/>
              <w:jc w:val="center"/>
            </w:pPr>
            <w:r>
              <w:rPr>
                <w:lang w:val="es-AR"/>
              </w:rPr>
              <w:t xml:space="preserve">3,227</w:t>
            </w:r>
          </w:p>
        </w:tc>
        <w:tc>
          <w:tcPr>
            <w:tcW w:type="dxa" w:w="1820"/>
          </w:tcPr>
          <w:p>
            <w:pPr>
              <w:pStyle w:val="TableTextLong"/>
              <w:jc w:val="center"/>
            </w:pPr>
            <w:r>
              <w:rPr>
                <w:lang w:val="es-AR"/>
              </w:rPr>
              <w:t xml:space="preserve">2,983</w:t>
            </w:r>
          </w:p>
        </w:tc>
      </w:tr>
      <w:tr>
        <w:tc>
          <w:tcPr>
            <w:tcW w:type="dxa" w:w="780"/>
          </w:tcPr>
          <w:p>
            <w:pPr>
              <w:pStyle w:val="TableTextLong"/>
              <w:jc w:val="center"/>
            </w:pPr>
            <w:r>
              <w:rPr>
                <w:lang w:val="es-AR"/>
              </w:rPr>
              <w:t xml:space="preserve">45</w:t>
            </w:r>
          </w:p>
        </w:tc>
        <w:tc>
          <w:tcPr>
            <w:tcW w:type="dxa" w:w="1332"/>
          </w:tcPr>
          <w:p>
            <w:pPr>
              <w:pStyle w:val="TableTextLong"/>
              <w:jc w:val="center"/>
            </w:pPr>
            <w:r>
              <w:rPr>
                <w:lang w:val="es-AR"/>
              </w:rPr>
              <w:t xml:space="preserve">2,812</w:t>
            </w:r>
          </w:p>
        </w:tc>
        <w:tc>
          <w:tcPr>
            <w:tcW w:type="dxa" w:w="1300"/>
          </w:tcPr>
          <w:p>
            <w:pPr>
              <w:pStyle w:val="TableTextLong"/>
              <w:jc w:val="center"/>
            </w:pPr>
            <w:r>
              <w:rPr>
                <w:lang w:val="es-AR"/>
              </w:rPr>
              <w:t xml:space="preserve">3,206</w:t>
            </w:r>
          </w:p>
        </w:tc>
        <w:tc>
          <w:tcPr>
            <w:tcW w:type="dxa" w:w="1560"/>
          </w:tcPr>
          <w:p>
            <w:pPr>
              <w:pStyle w:val="TableTextLong"/>
              <w:jc w:val="center"/>
            </w:pPr>
            <w:r>
              <w:rPr>
                <w:lang w:val="es-AR"/>
              </w:rPr>
              <w:t xml:space="preserve">3,009</w:t>
            </w:r>
          </w:p>
        </w:tc>
        <w:tc>
          <w:tcPr>
            <w:tcW w:type="dxa" w:w="1820"/>
          </w:tcPr>
          <w:p>
            <w:pPr>
              <w:pStyle w:val="TableTextLong"/>
              <w:jc w:val="center"/>
            </w:pPr>
            <w:r>
              <w:rPr>
                <w:lang w:val="es-AR"/>
              </w:rPr>
              <w:t xml:space="preserve">2,913</w:t>
            </w:r>
          </w:p>
        </w:tc>
      </w:tr>
      <w:tr>
        <w:tc>
          <w:tcPr>
            <w:tcW w:type="dxa" w:w="780"/>
          </w:tcPr>
          <w:p>
            <w:pPr>
              <w:pStyle w:val="TableTextLong"/>
              <w:jc w:val="center"/>
            </w:pPr>
            <w:r>
              <w:rPr>
                <w:lang w:val="es-AR"/>
              </w:rPr>
              <w:t xml:space="preserve">46</w:t>
            </w:r>
          </w:p>
        </w:tc>
        <w:tc>
          <w:tcPr>
            <w:tcW w:type="dxa" w:w="1332"/>
          </w:tcPr>
          <w:p>
            <w:pPr>
              <w:pStyle w:val="TableTextLong"/>
              <w:jc w:val="center"/>
            </w:pPr>
            <w:r>
              <w:rPr>
                <w:lang w:val="es-AR"/>
              </w:rPr>
              <w:t xml:space="preserve">—</w:t>
            </w:r>
          </w:p>
        </w:tc>
        <w:tc>
          <w:tcPr>
            <w:tcW w:type="dxa" w:w="1300"/>
          </w:tcPr>
          <w:p>
            <w:pPr>
              <w:pStyle w:val="TableTextLong"/>
              <w:jc w:val="center"/>
            </w:pPr>
            <w:r>
              <w:rPr>
                <w:lang w:val="es-AR"/>
              </w:rPr>
              <w:t xml:space="preserve">2,812</w:t>
            </w:r>
          </w:p>
        </w:tc>
        <w:tc>
          <w:tcPr>
            <w:tcW w:type="dxa" w:w="1560"/>
          </w:tcPr>
          <w:p>
            <w:pPr>
              <w:pStyle w:val="TableTextLong"/>
              <w:jc w:val="center"/>
            </w:pPr>
            <w:r>
              <w:rPr>
                <w:lang w:val="es-AR"/>
              </w:rPr>
              <w:t xml:space="preserve">—</w:t>
            </w:r>
          </w:p>
        </w:tc>
        <w:tc>
          <w:tcPr>
            <w:tcW w:type="dxa" w:w="1820"/>
          </w:tcPr>
          <w:p>
            <w:pPr>
              <w:pStyle w:val="TableTextLong"/>
              <w:jc w:val="center"/>
            </w:pPr>
            <w:r>
              <w:rPr>
                <w:lang w:val="es-AR"/>
              </w:rPr>
              <w:t xml:space="preserve">2,838</w:t>
            </w:r>
          </w:p>
        </w:tc>
      </w:tr>
    </w:tbl>
    <w:bookmarkEnd w:id="64"/>
    <w:sectPr>
      <w:footerReference w:type="default" r:id="rIdFooterPag"/>
      <w:pgSz w:w="11906" w:h="16838"/>
      <w:pgMar w:top="1418" w:right="1418" w:bottom="1418" w:left="170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_pag.xml><?xml version="1.0" encoding="utf-8"?>
<w:ftr xmlns:w="http://schemas.openxmlformats.org/wordprocessingml/2006/main">
  <w:p>
    <w:pPr>
      <w:jc w:val="center"/>
    </w:pP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separate"/>
    </w:r>
    <w:r>
      <w:rPr>
        <w:rFonts w:ascii="Times New Roman" w:hAnsi="Times New Roman" w:eastAsia="Times New Roman" w:cs="Times New Roman"/>
        <w:sz w:val="20"/>
      </w:rPr>
      <w:t>1</w:t>
    </w:r>
    <w:r>
      <w:rPr>
        <w:rFonts w:ascii="Times New Roman" w:hAnsi="Times New Roman" w:eastAsia="Times New Roman" w:cs="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s-AR" w:eastAsia="es-AR" w:bidi="ar-SA"/>
      </w:rPr>
    </w:rPrDefault>
    <w:pPrDefault>
      <w:pPr>
        <w:spacing w:after="200"/>
      </w:pPr>
    </w:pPrDefault>
  </w:docDefaults>
  <w:latentStyles w:count="276" w:defLockedState="0" w:defQFormat="0" w:defSemiHidden="0" w:defUIPriority="0" w:defUnhideWhenUsed="0"/>
  <w:style w:type="paragraph" w:default="1" w:styleId="Normal">
    <w:name w:val="Normal"/>
    <w:qFormat/>
    <w:rPr>
      <w:rFonts w:ascii="Times New Roman" w:hAnsi="Times New Roman" w:eastAsia="Times New Roman" w:cs="Times New Roman"/>
      <w:sz w:val="24"/>
      <w:szCs w:val="24"/>
    </w:rPr>
  </w:style>
  <w:style w:type="paragraph" w:styleId="BodyText">
    <w:name w:val="Body Text"/>
    <w:basedOn w:val="Normal"/>
    <w:link w:val="BodyTextChar"/>
    <w:qFormat/>
    <w:pPr>
      <w:spacing w:before="0" w:after="160" w:line="360" w:lineRule="auto"/>
      <w:jc w:val="both"/>
    </w:pPr>
  </w:style>
  <w:style w:customStyle="1" w:styleId="FirstParagraph" w:type="paragraph">
    <w:name w:val="First Paragraph"/>
    <w:basedOn w:val="BodyText"/>
    <w:next w:val="BodyText"/>
    <w:qFormat/>
  </w:style>
  <w:style w:type="paragraph" w:customStyle="1" w:styleId="Compact">
    <w:name w:val="Compact"/>
    <w:basedOn w:val="Normal"/>
    <w:qFormat/>
    <w:pPr>
      <w:spacing w:before="0" w:after="100" w:line="360" w:lineRule="auto"/>
      <w:jc w:val="both"/>
    </w:pPr>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Times New Roman" w:cs="Times New Roman"/>
      <w:sz w:val="56"/>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type="paragraph" w:styleId="Heading1">
    <w:name w:val="heading 1"/>
    <w:basedOn w:val="Normal"/>
    <w:next w:val="BodyText"/>
    <w:link w:val="Heading1Char"/>
    <w:uiPriority w:val="9"/>
    <w:qFormat/>
    <w:pPr>
      <w:keepNext/>
      <w:keepLines/>
      <w:pageBreakBefore/>
      <w:spacing w:before="0" w:after="240" w:line="240" w:lineRule="auto"/>
      <w:jc w:val="left"/>
      <w:outlineLvl w:val="0"/>
    </w:pPr>
    <w:rPr>
      <w:rFonts w:ascii="Times New Roman" w:hAnsi="Times New Roman" w:eastAsia="Times New Roman" w:cs="Times New Roman"/>
      <w:b/>
      <w:bCs/>
      <w:color w:val="000000"/>
      <w:sz w:val="28"/>
      <w:szCs w:val="28"/>
    </w:rPr>
  </w:style>
  <w:style w:type="paragraph" w:styleId="Heading2">
    <w:name w:val="heading 2"/>
    <w:basedOn w:val="Normal"/>
    <w:next w:val="BodyText"/>
    <w:link w:val="Heading2Char"/>
    <w:uiPriority w:val="9"/>
    <w:qFormat/>
    <w:pPr>
      <w:keepNext/>
      <w:keepLines/>
      <w:spacing w:before="300" w:after="140" w:line="240" w:lineRule="auto"/>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qFormat/>
    <w:pPr>
      <w:keepNext/>
      <w:keepLines/>
      <w:spacing w:before="240" w:after="120" w:line="240" w:lineRule="auto"/>
      <w:jc w:val="left"/>
      <w:outlineLvl w:val="2"/>
    </w:pPr>
    <w:rPr>
      <w:rFonts w:ascii="Times New Roman" w:hAnsi="Times New Roman" w:eastAsia="Times New Roman" w:cs="Times New Roman"/>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Times New Roman" w:cs="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Times New Roman" w:cs="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Times New Roman" w:cs="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Times New Roman" w:cs="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color w:val="000000"/>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i/>
      <w:iCs/>
      <w:color w:val="000000"/>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color w:val="000000"/>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i/>
      <w:iCs/>
      <w:color w:val="000000"/>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color w:val="000000"/>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i/>
      <w:iCs/>
      <w:color w:val="000000"/>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type="table" w:default="1" w:styleId="Table">
    <w:name w:val="Table"/>
    <w:basedOn w:val="TableNormal"/>
    <w:qFormat/>
    <w:pPr>
      <w:spacing w:before="20" w:after="20" w:line="240" w:lineRule="auto"/>
      <w:jc w:val="center"/>
    </w:pPr>
    <w:rPr>
      <w:sz w:val="20"/>
      <w:szCs w:val="20"/>
    </w:rPr>
    <w:tblPr>
      <w:jc w:val="center"/>
      <w:tblBorders>
        <w:top w:val="single" w:sz="8" w:space="0" w:color="000000"/>
        <w:left w:val="single" w:sz="4" w:space="0" w:color="000000"/>
        <w:bottom w:val="single" w:sz="8" w:space="0" w:color="000000"/>
        <w:right w:val="single" w:sz="4" w:space="0" w:color="000000"/>
        <w:insideH w:val="single" w:sz="4" w:space="0" w:color="808080"/>
        <w:insideV w:val="single" w:sz="4" w:space="0" w:color="808080"/>
      </w:tblBorders>
      <w:tblCellMar>
        <w:top w:w="30" w:type="dxa"/>
        <w:left w:w="80" w:type="dxa"/>
        <w:bottom w:w="30" w:type="dxa"/>
        <w:right w:w="80" w:type="dxa"/>
      </w:tblCellMar>
    </w:tblPr>
    <w:tblStylePr w:type="firstRow">
      <w:rPr>
        <w:b/>
        <w:bCs/>
      </w:rPr>
      <w:tcPr>
        <w:tcBorders>
          <w:bottom w:val="single" w:sz="8" w:space="0" w:color="000000"/>
        </w:tcBorders>
        <w:shd w:val="clear" w:color="auto" w:fill="E7E6E6"/>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type="paragraph" w:styleId="Caption">
    <w:name w:val="caption"/>
    <w:basedOn w:val="Normal"/>
    <w:qFormat/>
    <w:pPr>
      <w:spacing w:before="80" w:after="240" w:line="240" w:lineRule="auto"/>
      <w:jc w:val="center"/>
    </w:pPr>
    <w:rPr>
      <w:i/>
      <w:sz w:val="20"/>
      <w:szCs w:val="20"/>
    </w:rPr>
  </w:style>
  <w:style w:type="paragraph" w:customStyle="1" w:styleId="TableCaption">
    <w:name w:val="Table Caption"/>
    <w:basedOn w:val="Caption"/>
    <w:qFormat/>
    <w:pPr>
      <w:keepNext/>
      <w:spacing w:before="240" w:after="80"/>
    </w:pPr>
    <w:rPr/>
  </w:style>
  <w:style w:type="paragraph" w:customStyle="1" w:styleId="ImageCaption">
    <w:name w:val="Image Caption"/>
    <w:basedOn w:val="Caption"/>
    <w:qFormat/>
    <w:pPr/>
    <w:rPr/>
  </w:style>
  <w:style w:type="paragraph" w:customStyle="1" w:styleId="Figure">
    <w:name w:val="Figure"/>
    <w:basedOn w:val="Normal"/>
    <w:qFormat/>
    <w:pPr>
      <w:spacing w:before="200" w:after="0"/>
      <w:jc w:val="center"/>
    </w:pPr>
    <w:rPr/>
  </w:style>
  <w:style w:type="paragraph" w:customStyle="1" w:styleId="CaptionedFigure">
    <w:name w:val="Captioned Figure"/>
    <w:basedOn w:val="Figure"/>
    <w:qFormat/>
    <w:pPr>
      <w:keepNext/>
    </w:pPr>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eastAsia="Times New Roman" w:cs="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type="paragraph" w:styleId="TOCHeading">
    <w:name w:val="TOC Heading"/>
    <w:basedOn w:val="Heading1"/>
    <w:next w:val="BodyText"/>
    <w:uiPriority w:val="39"/>
    <w:unhideWhenUsed/>
    <w:qFormat/>
    <w:pPr>
      <w:pageBreakBefore w:val="0"/>
      <w:outlineLvl w:val="9"/>
    </w:pPr>
  </w:style>
  <w:style w:type="paragraph" w:customStyle="1" w:styleId="Bibliografia">
    <w:name w:val="Bibliografia"/>
    <w:basedOn w:val="Normal"/>
    <w:qFormat/>
    <w:pPr>
      <w:spacing w:before="0" w:after="120" w:line="300" w:lineRule="auto"/>
      <w:jc w:val="left"/>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ableText">
    <w:name w:val="Table Text"/>
    <w:basedOn w:val="Normal"/>
    <w:qFormat/>
    <w:pPr>
      <w:keepNext/>
      <w:spacing w:before="20" w:after="20" w:line="240" w:lineRule="auto"/>
      <w:jc w:val="center"/>
    </w:pPr>
    <w:rPr>
      <w:sz w:val="20"/>
      <w:szCs w:val="20"/>
    </w:rPr>
  </w:style>
  <w:style w:type="paragraph" w:customStyle="1" w:styleId="TableTextLong">
    <w:name w:val="Table Text Long"/>
    <w:basedOn w:val="TableText"/>
    <w:qFormat/>
    <w:pPr>
      <w:keepNext w:val="0"/>
    </w:pP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3" Target="media/rId53.png" /><Relationship Id="rIdFooterPag" Type="http://schemas.openxmlformats.org/officeDocument/2006/relationships/footer" Target="footer_pag.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es-AR</dc:language>
  <cp:keywords/>
  <dcterms:created xsi:type="dcterms:W3CDTF">2026-10-27T21:45:01Z</dcterms:created>
  <dcterms:modified xsi:type="dcterms:W3CDTF">2026-10-27T21:45:01Z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