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dirty="true"/>
          </w:r>
          <w:r>
            <w:instrText xml:space="preserve">TOC \h \o "1-3"</w:instrText>
          </w:r>
          <w:r>
            <w:fldChar w:fldCharType="separate"/>
          </w:r>
          <w:r>
            <w:t>1. Introducción</w:t>
          </w:r>
          <w:r>
            <w:tab/>
          </w:r>
          <w:r>
            <w:t>3</w:t>
          </w:r>
        </w:p>
        <w:p>
          <w:pPr>
            <w:pStyle w:val="TOC2"/>
            <w:tabs>
              <w:tab w:val="right" w:leader="dot" w:pos="8844"/>
            </w:tabs>
          </w:pPr>
          <w:r>
            <w:t>1.1. Objetivo</w:t>
          </w:r>
          <w:r>
            <w:tab/>
          </w:r>
          <w:r>
            <w:t>3</w:t>
          </w:r>
        </w:p>
        <w:p>
          <w:pPr>
            <w:pStyle w:val="TOC2"/>
            <w:tabs>
              <w:tab w:val="right" w:leader="dot" w:pos="8844"/>
            </w:tabs>
          </w:pPr>
          <w:r>
            <w:t>1.2. Problema abordado</w:t>
          </w:r>
          <w:r>
            <w:tab/>
          </w:r>
          <w:r>
            <w:t>3</w:t>
          </w:r>
        </w:p>
        <w:p>
          <w:pPr>
            <w:pStyle w:val="TOC2"/>
            <w:tabs>
              <w:tab w:val="right" w:leader="dot" w:pos="8844"/>
            </w:tabs>
          </w:pPr>
          <w:r>
            <w:t>1.3. Métodos numéricos involucrados</w:t>
          </w:r>
          <w:r>
            <w:tab/>
          </w:r>
          <w:r>
            <w:t>3</w:t>
          </w:r>
        </w:p>
        <w:p>
          <w:pPr>
            <w:pStyle w:val="TOC2"/>
            <w:tabs>
              <w:tab w:val="right" w:leader="dot" w:pos="8844"/>
            </w:tabs>
          </w:pPr>
          <w:r>
            <w:t>1.4. Importancia del enfoque numérico</w:t>
          </w:r>
          <w:r>
            <w:tab/>
          </w:r>
          <w:r>
            <w:t>3</w:t>
          </w:r>
        </w:p>
        <w:p>
          <w:pPr>
            <w:pStyle w:val="TOC1"/>
            <w:tabs>
              <w:tab w:val="right" w:leader="dot" w:pos="8844"/>
            </w:tabs>
          </w:pPr>
          <w:r>
            <w:t>2. Planteo del problema</w:t>
          </w:r>
          <w:r>
            <w:tab/>
          </w:r>
          <w:r>
            <w:t>4</w:t>
          </w:r>
        </w:p>
        <w:p>
          <w:pPr>
            <w:pStyle w:val="TOC2"/>
            <w:tabs>
              <w:tab w:val="right" w:leader="dot" w:pos="8844"/>
            </w:tabs>
          </w:pPr>
          <w:r>
            <w:t>2.1. Problema y origen</w:t>
          </w:r>
          <w:r>
            <w:tab/>
          </w:r>
          <w:r>
            <w:t>4</w:t>
          </w:r>
        </w:p>
        <w:p>
          <w:pPr>
            <w:pStyle w:val="TOC2"/>
            <w:tabs>
              <w:tab w:val="right" w:leader="dot" w:pos="8844"/>
            </w:tabs>
          </w:pPr>
          <w:r>
            <w:t>2.2. Contexto de ingeniería y aplicación real</w:t>
          </w:r>
          <w:r>
            <w:tab/>
          </w:r>
          <w:r>
            <w:t>4</w:t>
          </w:r>
        </w:p>
        <w:p>
          <w:pPr>
            <w:pStyle w:val="TOC2"/>
            <w:tabs>
              <w:tab w:val="right" w:leader="dot" w:pos="8844"/>
            </w:tabs>
          </w:pPr>
          <w:r>
            <w:t>2.3. Datos y condiciones</w:t>
          </w:r>
          <w:r>
            <w:tab/>
          </w:r>
          <w:r>
            <w:t>4</w:t>
          </w:r>
        </w:p>
        <w:p>
          <w:pPr>
            <w:pStyle w:val="TOC1"/>
            <w:tabs>
              <w:tab w:val="right" w:leader="dot" w:pos="8844"/>
            </w:tabs>
          </w:pPr>
          <w:r>
            <w:t>3. Resolución</w:t>
          </w:r>
          <w:r>
            <w:tab/>
          </w:r>
          <w:r>
            <w:t>5</w:t>
          </w:r>
        </w:p>
        <w:p>
          <w:pPr>
            <w:pStyle w:val="TOC2"/>
            <w:tabs>
              <w:tab w:val="right" w:leader="dot" w:pos="8844"/>
            </w:tabs>
          </w:pPr>
          <w:r>
            <w:t>3.1. Interpolación de Newton</w:t>
          </w:r>
          <w:r>
            <w:tab/>
          </w:r>
          <w:r>
            <w:t>5</w:t>
          </w:r>
        </w:p>
        <w:p>
          <w:pPr>
            <w:pStyle w:val="TOC2"/>
            <w:tabs>
              <w:tab w:val="right" w:leader="dot" w:pos="8844"/>
            </w:tabs>
          </w:pPr>
          <w:r>
            <w:t>3.2. Semana en que se superan los 100 M</w:t>
          </w:r>
          <w:r>
            <w:tab/>
          </w:r>
          <w:r>
            <w:t>6</w:t>
          </w:r>
        </w:p>
        <w:p>
          <w:pPr>
            <w:pStyle w:val="TOC2"/>
            <w:tabs>
              <w:tab w:val="right" w:leader="dot" w:pos="8844"/>
            </w:tabs>
          </w:pPr>
          <w:r>
            <w:t>3.3. Comparación Bisección vs Newton</w:t>
          </w:r>
          <w:r>
            <w:tab/>
          </w:r>
          <w:r>
            <w:t>7</w:t>
          </w:r>
        </w:p>
        <w:p>
          <w:pPr>
            <w:pStyle w:val="TOC2"/>
            <w:tabs>
              <w:tab w:val="right" w:leader="dot" w:pos="8844"/>
            </w:tabs>
          </w:pPr>
          <w:r>
            <w:t>3.4. Aplicación de ingeniería</w:t>
          </w:r>
          <w:r>
            <w:tab/>
          </w:r>
          <w:r>
            <w:t>8</w:t>
          </w:r>
        </w:p>
        <w:p>
          <w:pPr>
            <w:pStyle w:val="TOC2"/>
            <w:tabs>
              <w:tab w:val="right" w:leader="dot" w:pos="8844"/>
            </w:tabs>
          </w:pPr>
          <w:r>
            <w:t>3.5. Aplicación a otras canciones</w:t>
          </w:r>
          <w:r>
            <w:tab/>
          </w:r>
          <w:r>
            <w:t>8</w:t>
          </w:r>
        </w:p>
        <w:p>
          <w:pPr>
            <w:pStyle w:val="TOC2"/>
            <w:tabs>
              <w:tab w:val="right" w:leader="dot" w:pos="8844"/>
            </w:tabs>
          </w:pPr>
          <w:r>
            <w:t>3.6. Limitaciones</w:t>
          </w:r>
          <w:r>
            <w:tab/>
          </w:r>
          <w:r>
            <w:t>9</w:t>
          </w:r>
        </w:p>
        <w:p>
          <w:pPr>
            <w:pStyle w:val="TOC1"/>
            <w:tabs>
              <w:tab w:val="right" w:leader="dot" w:pos="8844"/>
            </w:tabs>
          </w:pPr>
          <w:r>
            <w:t>4. Conclusiones</w:t>
          </w:r>
          <w:r>
            <w:tab/>
          </w:r>
          <w:r>
            <w:t>9</w:t>
          </w:r>
        </w:p>
        <w:p>
          <w:pPr>
            <w:pStyle w:val="TOC1"/>
            <w:tabs>
              <w:tab w:val="right" w:leader="dot" w:pos="8844"/>
            </w:tabs>
          </w:pPr>
          <w:r>
            <w:t>5. Bibliografía</w:t>
          </w:r>
          <w:r>
            <w:tab/>
          </w:r>
          <w:r>
            <w:t>10</w:t>
          </w:r>
        </w:p>
        <w:p>
          <w:pPr>
            <w:pStyle w:val="TOC1"/>
            <w:tabs>
              <w:tab w:val="right" w:leader="dot" w:pos="8844"/>
            </w:tabs>
          </w:pPr>
          <w:r>
            <w:t>Anexo A. Datos completos de Rosa Pastel</w:t>
          </w:r>
          <w:r>
            <w:tab/>
          </w:r>
          <w:r>
            <w:t>11</w:t>
          </w:r>
          <w:r>
            <w:fldChar w:fldCharType="end"/>
          </w:r>
        </w:p>
      </w:sdtContent>
    </w:sdt>
    <w:p>
      <w:pPr>
        <w:pStyle w:val="Heading1"/>
        <w:pageBreakBefore/>
      </w:pPr>
      <w:r>
        <w:t>1. Introducción</w:t>
      </w:r>
    </w:p>
    <w:p>
      <w:pPr>
        <w:pStyle w:val="Heading2"/>
      </w:pPr>
      <w:r>
        <w:t>1.1. Objetivo</w:t>
      </w:r>
    </w:p>
    <w:p>
      <w:pPr>
        <w:ind w:firstLine="706"/>
        <w:jc w:val="both"/>
      </w:pPr>
      <w:r>
        <w:t>Estimar cuándo «Rosa Pastel», de Belanova, superó los 100 millones de reproducciones acumuladas en el período estudiado de Spotify México. Para hacerlo usamos interpolación polinomial de Newton y luego comparamos bisección con Newton-Raphson. El resultado es t* ≈ 35.12 semanas desde el 26/01/2023; el programa informa la fecha 28/09/2023.</w:t>
      </w:r>
    </w:p>
    <w:p>
      <w:pPr>
        <w:pStyle w:val="Heading2"/>
      </w:pPr>
      <w:r>
        <w:t>1.2. Problema abordado</w:t>
      </w:r>
    </w:p>
    <w:p>
      <w:pPr>
        <w:ind w:firstLine="706"/>
        <w:jc w:val="both"/>
      </w:pPr>
      <w:r>
        <w:t>Los registros son semanales. Sabemos que el 28/09/2023 el acumulado era 99.602 M y que el 05/10/2023 era 102.738 M. La meta queda entre esas mediciones. Buscamos un instante intermedio a partir de una función continua construida con cuatro datos cercanos.</w:t>
      </w:r>
    </w:p>
    <w:p>
      <w:pPr>
        <w:pStyle w:val="Heading2"/>
      </w:pPr>
      <w:r>
        <w:t>1.3. Métodos numéricos involucrados</w:t>
      </w:r>
    </w:p>
    <w:p>
      <w:pPr>
        <w:ind w:firstLine="706"/>
        <w:jc w:val="both"/>
      </w:pPr>
      <w:r>
        <w:t>Trabajamos con dos temas de los apuntes de Arnaudo (2026): interpolación de Newton mediante diferencias divididas (apartado 5.3) y búsqueda de raíces mediante bisección y Newton-Raphson. El primer tema construye P(t); el segundo resuelve P(t) − 100 = 0. También usamos Chapra y Canale (2015) como apoyo teórico.</w:t>
      </w:r>
    </w:p>
    <w:p>
      <w:pPr>
        <w:pStyle w:val="Heading2"/>
      </w:pPr>
      <w:r>
        <w:t>1.4. Importancia del enfoque numérico</w:t>
      </w:r>
    </w:p>
    <w:p>
      <w:pPr>
        <w:ind w:firstLine="706"/>
        <w:jc w:val="both"/>
      </w:pPr>
      <w:r>
        <w:t>Las mediciones no indican el instante exacto del cruce. La interpolación permite estimarlo entre semanas y los métodos de raíces permiten calcularlo con un criterio de parada común. Comparar ambos métodos ayuda a reconocer sus requisitos y su rapidez. El ejemplo también relaciona las reproducciones con el tráfico de red de un servicio de streaming.</w:t>
      </w:r>
    </w:p>
    <w:p>
      <w:pPr>
        <w:pStyle w:val="Heading1"/>
        <w:pageBreakBefore/>
      </w:pPr>
      <w:r>
        <w:t>2. Planteo del problema</w:t>
      </w:r>
    </w:p>
    <w:p>
      <w:pPr>
        <w:pStyle w:val="Heading2"/>
      </w:pPr>
      <w:r>
        <w:t>2.1. Problema y origen</w:t>
      </w:r>
    </w:p>
    <w:p>
      <w:pPr>
        <w:ind w:firstLine="706"/>
        <w:jc w:val="both"/>
      </w:pPr>
      <w:r>
        <w:t>«Rosa Pastel» volvió a difundirse en TikTok durante 2023. Chilango (2023) describe una tendencia en la que las personas comparaban sus sueños del pasado con su situación actual. Este resurgimiento de una canción de catálogo motiva el estudio de sus reproducciones. No buscamos demostrar una relación causal entre TikTok y cada cambio semanal.</w:t>
      </w:r>
    </w:p>
    <w:p>
      <w:pPr>
        <w:pStyle w:val="Heading2"/>
      </w:pPr>
      <w:r>
        <w:t>2.2. Contexto de ingeniería y aplicación real</w:t>
      </w:r>
    </w:p>
    <w:p>
      <w:pPr>
        <w:ind w:firstLine="706"/>
        <w:jc w:val="both"/>
      </w:pPr>
      <w:r>
        <w:t>En un servicio de streaming, las reproducciones generan transferencias de audio. El análisis de la demanda ayuda a dimensionar la red. Como aplicación sencilla, convertimos la semana de mayor consumo registrado a un ancho de banda promedio, usando una duración y un bitrate supuestos. Esta conversión aporta un orden de magnitud para planificar recursos; no representa una medición de la infraestructura de Spotify.</w:t>
      </w:r>
    </w:p>
    <w:p>
      <w:pPr>
        <w:pStyle w:val="Heading2"/>
      </w:pPr>
      <w:r>
        <w:t>2.3. Datos y condiciones</w:t>
      </w:r>
    </w:p>
    <w:p>
      <w:pPr>
        <w:ind w:firstLine="706"/>
        <w:jc w:val="both"/>
      </w:pPr>
      <w:r>
        <w:t>Usamos 47 registros del Top 200 semanal de Spotify México, recopilados por Kworb (s. f.-a), del 26/01/2023 al 14/12/2023. El archivo rosa_pastel_belanova.csv contiene fecha y reproducciones semanales. El anexo A presenta la serie completa. Su suma es 132.9 M y solo corresponde al período elegido.</w:t>
      </w:r>
    </w:p>
    <w:p>
      <w:pPr>
        <w:ind w:firstLine="706"/>
        <w:jc w:val="both"/>
      </w:pPr>
      <w:r>
        <w:t>Definimos t = 0 para el 26/01/2023 y avanzamos una unidad por semana. S(t) es la suma de las reproducciones desde el primer registro hasta la semana t, expresada en millones. Por eso S(0) = 1.137349 M: el origen temporal no significa acumulado cero.</w:t>
      </w:r>
    </w:p>
    <w:p>
      <w:pPr>
        <w:ind w:firstLine="706"/>
        <w:jc w:val="both"/>
      </w:pPr>
      <w:r>
        <w:t>Para los dos métodos de raíces usamos el error relativo porcentual aproximado y detenemos el cálculo cuando |Ea| &lt; 10⁻⁴ %. Las operaciones usan todos los decimales del CSV; los valores del texto y las tablas se muestran redondeados.</w:t>
      </w:r>
    </w:p>
    <w:p>
      <w:pPr>
        <w:spacing w:line="240" w:lineRule="auto" w:after="120"/>
        <w:ind w:firstLine="0"/>
        <w:jc w:val="center"/>
      </w:pPr>
      <w:r>
        <w:rPr>
          <w:sz w:val="22"/>
        </w:rPr>
        <w:t>|Ea| = |(x nuevo − x anterior) / x nuevo| × 100 %</w:t>
      </w:r>
    </w:p>
    <w:p>
      <w:pPr>
        <w:ind w:firstLine="706"/>
        <w:jc w:val="both"/>
      </w:pPr>
      <w:r>
        <w:t>Supuestos de la aplicación de red: cada reproducción dura 186 s (3:06), según el listado de Dulce Beat (s. f.), y se transmite a 160 kbps, una opción de calidad indicada por Spotify (s. f.). Ambos se adoptan para el cálculo; no son datos de consumo real de Spotify.</w:t>
      </w:r>
    </w:p>
    <w:p>
      <w:pPr>
        <w:pStyle w:val="Heading1"/>
        <w:pageBreakBefore/>
      </w:pPr>
      <w:r>
        <w:t>3. Resolución</w:t>
      </w:r>
    </w:p>
    <w:p>
      <w:pPr>
        <w:pStyle w:val="Heading2"/>
      </w:pPr>
      <w:r>
        <w:t>3.1. Interpolación de Newton</w:t>
      </w:r>
    </w:p>
    <w:p>
      <w:pPr>
        <w:ind w:firstLine="706"/>
        <w:jc w:val="both"/>
      </w:pPr>
      <w:r>
        <w:t>Elegimos t = 34, 35, 36 y 37 porque rodean la meta. Cuatro puntos determinan un polinomio de grado 3 que pasa exactamente por ellos y sigue la curvatura cerca del cruce. Con 47 puntos el grado podría llegar a 46 y aparecer oscilaciones; Arnaudo (2026, apartado 5.3) advierte sobre el aumento del grado al agregar puntos.</w:t>
      </w:r>
    </w:p>
    <w:p>
      <w:pPr>
        <w:spacing w:line="240" w:lineRule="auto" w:after="120"/>
        <w:ind w:firstLine="0"/>
        <w:jc w:val="center"/>
      </w:pPr>
      <w:r>
        <w:rPr>
          <w:sz w:val="22"/>
        </w:rPr>
        <w:t>S[tᵢ, …, tᵢ₊ⱼ] = (S[tᵢ₊₁, …, tᵢ₊ⱼ] − S[tᵢ, …, tᵢ₊ⱼ₋₁]) / (tᵢ₊ⱼ − tᵢ)</w:t>
      </w:r>
    </w:p>
    <w:p>
      <w:pPr>
        <w:pStyle w:val="Caption"/>
        <w:keepNext/>
      </w:pPr>
      <w:r>
        <w:t>Tabla 1. Diferencias divididas del acumulado en millones.</w:t>
      </w:r>
    </w:p>
    <w:tbl>
      <w:tblPr>
        <w:tblW w:type="dxa" w:w="8844"/>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248"/>
        <w:gridCol w:w="2248"/>
        <w:gridCol w:w="2248"/>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lineRule="auto"/>
              <w:jc w:val="center"/>
            </w:pPr>
            <w:r>
              <w:rPr>
                <w:b/>
                <w:sz w:val="20"/>
              </w:rPr>
              <w:t>t</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lineRule="auto"/>
              <w:jc w:val="center"/>
            </w:pPr>
            <w:r>
              <w:rPr>
                <w:b/>
                <w:sz w:val="20"/>
              </w:rPr>
              <w:t>S(t) (M)</w:t>
            </w:r>
          </w:p>
        </w:tc>
        <w:tc>
          <w:tcPr>
            <w:tcW w:type="dxa" w:w="224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lineRule="auto"/>
              <w:jc w:val="center"/>
            </w:pPr>
            <w:r>
              <w:rPr>
                <w:b/>
                <w:sz w:val="20"/>
              </w:rPr>
              <w:t>1.ª diferencia</w:t>
            </w:r>
          </w:p>
        </w:tc>
        <w:tc>
          <w:tcPr>
            <w:tcW w:type="dxa" w:w="224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lineRule="auto"/>
              <w:jc w:val="center"/>
            </w:pPr>
            <w:r>
              <w:rPr>
                <w:b/>
                <w:sz w:val="20"/>
              </w:rPr>
              <w:t>2.ª diferencia</w:t>
            </w:r>
          </w:p>
        </w:tc>
        <w:tc>
          <w:tcPr>
            <w:tcW w:type="dxa" w:w="224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line="240" w:lineRule="auto"/>
              <w:jc w:val="center"/>
            </w:pPr>
            <w:r>
              <w:rPr>
                <w:b/>
                <w:sz w:val="20"/>
              </w:rPr>
              <w:t>3.ª diferencia</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34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96.349</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3.25351</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-0.05879</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-0.00934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35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99.602</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3.13594</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-0.08681</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36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102.738</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2.96232</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37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105.700</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w:t>
            </w:r>
          </w:p>
        </w:tc>
        <w:tc>
          <w:tcPr>
            <w:tcW w:type="dxa" w:w="224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line="240" w:lineRule="auto"/>
              <w:jc w:val="center"/>
            </w:pPr>
            <w:r>
              <w:rPr>
                <w:sz w:val="20"/>
              </w:rPr>
              <w:t>—</w:t>
            </w:r>
          </w:p>
        </w:tc>
      </w:tr>
    </w:tbl>
    <w:p>
      <w:pPr>
        <w:spacing w:before="120"/>
        <w:ind w:firstLine="706"/>
        <w:jc w:val="both"/>
      </w:pPr>
      <w:r>
        <w:t>Con la primera fila construimos el polinomio de Newton:</w:t>
      </w:r>
    </w:p>
    <w:p>
      <w:pPr>
        <w:spacing w:line="240" w:lineRule="auto" w:after="120"/>
        <w:ind w:firstLine="0"/>
        <w:jc w:val="center"/>
      </w:pPr>
      <w:r>
        <w:rPr>
          <w:sz w:val="22"/>
        </w:rPr>
        <w:t>P(t) ≈ 96.349 + 3.25351(t − 34) − 0.05879(t − 34)(t − 35)</w:t>
        <w:br/>
        <w:t>− 0.009340(t − 34)(t − 35)(t − 36)</w:t>
      </w:r>
    </w:p>
    <w:p>
      <w:pPr>
        <w:spacing w:line="240" w:lineRule="auto" w:after="120"/>
        <w:ind w:firstLine="0"/>
        <w:jc w:val="center"/>
      </w:pPr>
      <w:r>
        <w:rPr>
          <w:sz w:val="22"/>
        </w:rPr>
        <w:t>P(t) ≈ −0.009340t³ + 0.921931t² − 27.005993t + 315.906072</w:t>
      </w:r>
    </w:p>
    <w:p>
      <w:pPr>
        <w:ind w:firstLine="706"/>
        <w:jc w:val="both"/>
      </w:pPr>
      <w:r>
        <w:t>Los coeficientes se muestran redondeados; el programa conserva todos los decimales del CSV.</w:t>
      </w:r>
    </w:p>
    <w:p>
      <w:pPr>
        <w:pStyle w:val="Caption"/>
        <w:keepNext/>
      </w:pPr>
      <w:r>
        <w:t>Figura 1. Datos acumulados y zoom del polinomio de Newton con el cruce de 100 M.</w:t>
      </w:r>
    </w:p>
    <w:p>
      <w:pPr>
        <w:spacing w:line="240" w:lineRule="auto" w:after="0"/>
        <w:ind w:firstLine="0"/>
        <w:jc w:val="center"/>
      </w:pPr>
      <w:r/>
      <w:r>
        <w:drawing>
          <wp:inline xmlns:a="http://schemas.openxmlformats.org/drawingml/2006/main" xmlns:pic="http://schemas.openxmlformats.org/drawingml/2006/picture">
            <wp:extent cx="5303520" cy="2243797"/>
            <wp:docPr id="7" name="Picture 7"/>
            <wp:cNvGraphicFramePr>
              <a:graphicFrameLocks noChangeAspect="1"/>
            </wp:cNvGraphicFramePr>
            <a:graphic>
              <a:graphicData uri="http://schemas.openxmlformats.org/drawingml/2006/picture">
                <pic:pic>
                  <pic:nvPicPr>
                    <pic:cNvPr id="0" name="grafico_1_ajuste_curva_streams.png"/>
                    <pic:cNvPicPr/>
                  </pic:nvPicPr>
                  <pic:blipFill>
                    <a:blip r:embed="rId16"/>
                    <a:stretch>
                      <a:fillRect/>
                    </a:stretch>
                  </pic:blipFill>
                  <pic:spPr>
                    <a:xfrm>
                      <a:off x="0" y="0"/>
                      <a:ext cx="5303520" cy="2243797"/>
                    </a:xfrm>
                    <a:prstGeom prst="rect"/>
                  </pic:spPr>
                </pic:pic>
              </a:graphicData>
            </a:graphic>
          </wp:inline>
        </w:drawing>
      </w:r>
    </w:p>
    <w:p>
      <w:pPr>
        <w:pStyle w:val="Heading2"/>
        <w:pageBreakBefore/>
      </w:pPr>
      <w:r>
        <w:t>3.2. Semana en que se superan los 100 M</w:t>
      </w:r>
    </w:p>
    <w:p>
      <w:pPr>
        <w:ind w:firstLine="706"/>
        <w:jc w:val="both"/>
      </w:pPr>
      <w:r>
        <w:t>Planteamos f(t) = P(t) − 100 = 0. Es una ecuación de grado 3 y despejar t no resulta simple. Aplicamos los métodos de raíces de la materia. En [35, 36], f(35) = −0.3978 y f(36) = 2.7381; como f es continua, el cambio de signo asegura una raíz en el intervalo.</w:t>
      </w:r>
    </w:p>
    <w:p>
      <w:pPr>
        <w:spacing w:line="240" w:lineRule="auto" w:after="80"/>
        <w:ind w:firstLine="706"/>
        <w:jc w:val="both"/>
      </w:pPr>
      <w:r>
        <w:rPr>
          <w:sz w:val="20"/>
        </w:rPr>
        <w:t>Bisección calcula xᵣ = (a + b)/2 y conserva la mitad con cambio de signo. El primer error se fija en 100 % como valor inicial del programa; desde la segunda fila se calcula con la fórmula de |Ea|.</w:t>
      </w:r>
    </w:p>
    <w:p>
      <w:pPr>
        <w:pStyle w:val="Caption"/>
        <w:keepNext/>
      </w:pPr>
      <w:r>
        <w:t>Tabla 2. Iteraciones de bisección en [35, 36].</w:t>
      </w:r>
    </w:p>
    <w:tbl>
      <w:tblPr>
        <w:tblW w:type="dxa" w:w="8844"/>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1550"/>
        <w:gridCol w:w="1550"/>
        <w:gridCol w:w="1800"/>
        <w:gridCol w:w="1700"/>
        <w:gridCol w:w="1794"/>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i</w:t>
            </w:r>
          </w:p>
        </w:tc>
        <w:tc>
          <w:tcPr>
            <w:tcW w:type="dxa" w:w="155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a</w:t>
            </w:r>
          </w:p>
        </w:tc>
        <w:tc>
          <w:tcPr>
            <w:tcW w:type="dxa" w:w="155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b</w:t>
            </w:r>
          </w:p>
        </w:tc>
        <w:tc>
          <w:tcPr>
            <w:tcW w:type="dxa" w:w="18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xᵣ</w:t>
            </w:r>
          </w:p>
        </w:tc>
        <w:tc>
          <w:tcPr>
            <w:tcW w:type="dxa" w:w="17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f(xᵣ)</w:t>
            </w:r>
          </w:p>
        </w:tc>
        <w:tc>
          <w:tcPr>
            <w:tcW w:type="dxa" w:w="179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|Ea| (%)</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35.00000</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36.00000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35.500000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1.188320</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100.000000</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2</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35.00000</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35.50000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35.250000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0.399348</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0.709220</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35.00000</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35.25000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0.001723</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0.355872</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4</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35.00000</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35.062500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-0.197826</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0.178253</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5</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35.06250</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35.093750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-0.097991</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0.089047</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6</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35.09375</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35.109375</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-0.048119</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0.044504</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7</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35.10938</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35.117188</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-0.023194</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0.022247</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8</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35.11719</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35.121094</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-0.010734</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0.011122</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9</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35.12109</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35.123047</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-0.004505</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0.005561</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10</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35.12305</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35.124023</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-0.001391</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0.002780</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11</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35.12402</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35.12500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35.124512</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0.000166</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0.001390</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12</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35.12402</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35.12451</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35.124268</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-0.000612</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0.000695</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13</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35.12427</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35.12451</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35.124390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-0.000223</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0.000348</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14</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35.12439</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35.12451</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35.124451</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-0.000028</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0.000174</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15</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35.12445</w:t>
            </w:r>
          </w:p>
        </w:tc>
        <w:tc>
          <w:tcPr>
            <w:tcW w:type="dxa" w:w="15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35.12451</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35.124481</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0.000069</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0.000087</w:t>
            </w:r>
          </w:p>
        </w:tc>
      </w:tr>
    </w:tbl>
    <w:p>
      <w:pPr>
        <w:spacing w:before="120"/>
        <w:ind w:firstLine="706"/>
        <w:jc w:val="both"/>
      </w:pPr>
      <w:r>
        <w:t>Newton-Raphson parte de t₀ = 35 y usa la derivada del polinomio:</w:t>
      </w:r>
    </w:p>
    <w:p>
      <w:pPr>
        <w:spacing w:line="240" w:lineRule="auto" w:after="120"/>
        <w:ind w:firstLine="0"/>
        <w:jc w:val="center"/>
      </w:pPr>
      <w:r>
        <w:rPr>
          <w:sz w:val="22"/>
        </w:rPr>
        <w:t>f′(t) = P′(t) ≈ −0.028020t² + 1.843862t − 27.005993</w:t>
        <w:br/>
        <w:t>xᵢ₊₁ = xᵢ − f(xᵢ) / f′(xᵢ)</w:t>
      </w:r>
    </w:p>
    <w:p>
      <w:pPr>
        <w:pStyle w:val="Caption"/>
        <w:keepNext/>
      </w:pPr>
      <w:r>
        <w:t>Tabla 3. Iteraciones de Newton-Raphson.</w:t>
      </w:r>
    </w:p>
    <w:tbl>
      <w:tblPr>
        <w:tblW w:type="dxa" w:w="8844"/>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1700"/>
        <w:gridCol w:w="1300"/>
        <w:gridCol w:w="1800"/>
        <w:gridCol w:w="1794"/>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i</w:t>
            </w:r>
          </w:p>
        </w:tc>
        <w:tc>
          <w:tcPr>
            <w:tcW w:type="dxa" w:w="18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xᵢ</w:t>
            </w:r>
          </w:p>
        </w:tc>
        <w:tc>
          <w:tcPr>
            <w:tcW w:type="dxa" w:w="17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f(xᵢ)</w:t>
            </w:r>
          </w:p>
        </w:tc>
        <w:tc>
          <w:tcPr>
            <w:tcW w:type="dxa" w:w="13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f′(xᵢ)</w:t>
            </w:r>
          </w:p>
        </w:tc>
        <w:tc>
          <w:tcPr>
            <w:tcW w:type="dxa" w:w="18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xᵢ₊₁</w:t>
            </w:r>
          </w:p>
        </w:tc>
        <w:tc>
          <w:tcPr>
            <w:tcW w:type="dxa" w:w="179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sz w:val="20"/>
              </w:rPr>
              <w:t>|Ea| (%)</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1</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35.000000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-0.397848</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3.2041</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35.124170</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0.353517</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2</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35.124170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-0.000924</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3.1890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35.124460</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0.000825</w:t>
            </w:r>
          </w:p>
        </w:tc>
      </w:tr>
      <w:tr>
        <w:trPr>
          <w:cantSplit/>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35.124460</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-0.000000</w:t>
            </w:r>
          </w:p>
        </w:tc>
        <w:tc>
          <w:tcPr>
            <w:tcW w:type="dxa" w:w="13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3.1890</w:t>
            </w:r>
          </w:p>
        </w:tc>
        <w:tc>
          <w:tcPr>
            <w:tcW w:type="dxa" w:w="18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35.124460</w:t>
            </w:r>
          </w:p>
        </w:tc>
        <w:tc>
          <w:tcPr>
            <w:tcW w:type="dxa" w:w="179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rPr>
              <w:t>0.000000</w:t>
            </w:r>
          </w:p>
        </w:tc>
      </w:tr>
    </w:tbl>
    <w:p>
      <w:pPr>
        <w:spacing w:before="120"/>
        <w:ind w:firstLine="706"/>
        <w:jc w:val="both"/>
      </w:pPr>
      <w:r>
        <w:t>Bisección da t* = 35.124481 en 15 iteraciones y Newton da t* = 35.124460 en 3. Ambos cumplen la tolerancia. El cruce se estima en 35.12 semanas: 0.124460 × 7 ≈ 0.87 días después del 28/09/2023. Es casi un día; el programa devuelve 28/09/2023 porque la fecha conserva solo días completos.</w:t>
      </w:r>
    </w:p>
    <w:p>
      <w:pPr>
        <w:pStyle w:val="Heading2"/>
        <w:pageBreakBefore/>
      </w:pPr>
      <w:r>
        <w:t>3.3. Comparación Bisección vs Newton</w:t>
      </w:r>
    </w:p>
    <w:p>
      <w:pPr>
        <w:ind w:firstLine="706"/>
        <w:jc w:val="both"/>
      </w:pPr>
      <w:r>
        <w:t>Los métodos resuelven la misma función y usan la misma tolerancia. Bisección reduce el intervalo en cada paso; Newton-Raphson usa la pendiente para mejorar la aproximación (Arnaudo, 2026; Chapra y Canale, 2015).</w:t>
      </w:r>
    </w:p>
    <w:p>
      <w:pPr>
        <w:pStyle w:val="Caption"/>
        <w:keepNext/>
      </w:pPr>
      <w:r>
        <w:t>Tabla 4. Comparación de los métodos de raíces.</w:t>
      </w:r>
    </w:p>
    <w:tbl>
      <w:tblPr>
        <w:tblW w:type="dxa" w:w="8844"/>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3572"/>
        <w:gridCol w:w="3572"/>
      </w:tblGrid>
      <w:tr>
        <w:trPr>
          <w:cantSplit/>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2"/>
              </w:rPr>
              <w:t>Criterio</w:t>
            </w:r>
          </w:p>
        </w:tc>
        <w:tc>
          <w:tcPr>
            <w:tcW w:type="dxa" w:w="35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2"/>
              </w:rPr>
              <w:t>Bisección</w:t>
            </w:r>
          </w:p>
        </w:tc>
        <w:tc>
          <w:tcPr>
            <w:tcW w:type="dxa" w:w="3572"/>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2"/>
              </w:rPr>
              <w:t>Newton-Raphson</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Tipo</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Cerrado</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Abierto</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Requisitos</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Intervalo con cambio de signo</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Derivada y buen valor inicial</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Inicio usado</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[35, 36]</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t₀ = 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Convergencia</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Lineal</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Cuadrática cerca de una raíz simple</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Comportamiento</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Seguro con las condiciones dadas; más lento</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Rápido; puede fallar con un mal inicio</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Iteraciones</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15</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3</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t* (semanas)</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35.124481</w:t>
            </w:r>
          </w:p>
        </w:tc>
        <w:tc>
          <w:tcPr>
            <w:tcW w:type="dxa" w:w="3572"/>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2"/>
              </w:rPr>
              <w:t>35.124460</w:t>
            </w:r>
          </w:p>
        </w:tc>
      </w:tr>
    </w:tbl>
    <w:p>
      <w:pPr>
        <w:spacing w:before="120"/>
        <w:ind w:firstLine="706"/>
        <w:jc w:val="both"/>
      </w:pPr>
      <w:r>
        <w:t>La Figura 2 muestra el descenso del error aproximado. En este caso Newton necesita menos pasos, porque empieza cerca de la raíz y la pendiente no se anula. Su rapidez en este ejemplo no garantiza la convergencia para cualquier función o punto inicial.</w:t>
      </w:r>
    </w:p>
    <w:p>
      <w:pPr>
        <w:pStyle w:val="Caption"/>
        <w:keepNext/>
      </w:pPr>
      <w:r>
        <w:t>Figura 2. Error relativo porcentual aproximado de ambos métodos.</w:t>
      </w:r>
    </w:p>
    <w:p>
      <w:pPr>
        <w:spacing w:line="240" w:lineRule="auto" w:after="0"/>
        <w:ind w:firstLine="0"/>
        <w:jc w:val="center"/>
      </w:pPr>
      <w:r/>
      <w:r>
        <w:drawing>
          <wp:inline xmlns:a="http://schemas.openxmlformats.org/drawingml/2006/main" xmlns:pic="http://schemas.openxmlformats.org/drawingml/2006/picture">
            <wp:extent cx="5212080" cy="3127248"/>
            <wp:docPr id="8" name="Picture 8"/>
            <wp:cNvGraphicFramePr>
              <a:graphicFrameLocks noChangeAspect="1"/>
            </wp:cNvGraphicFramePr>
            <a:graphic>
              <a:graphicData uri="http://schemas.openxmlformats.org/drawingml/2006/picture">
                <pic:pic>
                  <pic:nvPicPr>
                    <pic:cNvPr id="0" name="grafico_2_convergencia_biseccion_vs_newton.png"/>
                    <pic:cNvPicPr/>
                  </pic:nvPicPr>
                  <pic:blipFill>
                    <a:blip r:embed="rId17"/>
                    <a:stretch>
                      <a:fillRect/>
                    </a:stretch>
                  </pic:blipFill>
                  <pic:spPr>
                    <a:xfrm>
                      <a:off x="0" y="0"/>
                      <a:ext cx="5212080" cy="3127248"/>
                    </a:xfrm>
                    <a:prstGeom prst="rect"/>
                  </pic:spPr>
                </pic:pic>
              </a:graphicData>
            </a:graphic>
          </wp:inline>
        </w:drawing>
      </w:r>
    </w:p>
    <w:p>
      <w:pPr>
        <w:pStyle w:val="Heading2"/>
        <w:pageBreakBefore/>
      </w:pPr>
      <w:r>
        <w:t>3.4. Aplicación de ingeniería</w:t>
      </w:r>
    </w:p>
    <w:p>
      <w:pPr>
        <w:ind w:firstLine="706"/>
        <w:jc w:val="both"/>
      </w:pPr>
      <w:r>
        <w:t>La semana de mayor consumo medido es t = 26, con cierre el 27/07/2023: 4.170775 M de reproducciones (≈ 4.171 M). Con los supuestos de 186 s y 160 kbps, el ancho de banda promedio de esa semana es:</w:t>
      </w:r>
    </w:p>
    <w:p>
      <w:pPr>
        <w:spacing w:line="240" w:lineRule="auto" w:after="120"/>
        <w:ind w:firstLine="0"/>
        <w:jc w:val="center"/>
      </w:pPr>
      <w:r>
        <w:rPr>
          <w:sz w:val="22"/>
        </w:rPr>
        <w:t>Mbps = (reproducciones/semana × 160 kbps × 186 s) / (1000 × 604800 s)</w:t>
        <w:br/>
        <w:t>Mbps ≈ (4 170 775 × 160 × 186) / (1000 × 604800) ≈ 205.2</w:t>
      </w:r>
    </w:p>
    <w:p>
      <w:pPr>
        <w:ind w:firstLine="706"/>
        <w:jc w:val="both"/>
      </w:pPr>
      <w:r>
        <w:t>El resultado, aproximadamente 205 Mbps, sirve para relacionar demanda y dimensionamiento de la red. Es un promedio bajo supuestos, sin mediciones del tráfico real del servicio.</w:t>
      </w:r>
    </w:p>
    <w:p>
      <w:pPr>
        <w:pStyle w:val="Heading2"/>
      </w:pPr>
      <w:r>
        <w:t>3.5. Aplicación a otras canciones</w:t>
      </w:r>
    </w:p>
    <w:p>
      <w:pPr>
        <w:ind w:firstLine="706"/>
        <w:jc w:val="both"/>
      </w:pPr>
      <w:r>
        <w:t>Probamos el mismo procedimiento con dos series reales de Kworb (s. f.-b, s. f.-c). La meta sigue siendo 100 M; cada canción tiene su propio origen temporal.</w:t>
      </w:r>
    </w:p>
    <w:p>
      <w:pPr>
        <w:pStyle w:val="Caption"/>
        <w:keepNext/>
      </w:pPr>
      <w:r>
        <w:t>Tabla 5. Resultados del mismo programa para tres canciones.</w:t>
      </w:r>
    </w:p>
    <w:tbl>
      <w:tblPr>
        <w:tblW w:type="dxa" w:w="8644"/>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830"/>
        <w:gridCol w:w="850"/>
        <w:gridCol w:w="850"/>
        <w:gridCol w:w="1800"/>
        <w:gridCol w:w="1664"/>
      </w:tblGrid>
      <w:tr>
        <w:trPr>
          <w:cantSplit/>
          <w:tblHeader/>
        </w:trPr>
        <w:tc>
          <w:tcPr>
            <w:tcW w:type="dxa" w:w="165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0"/>
              </w:rPr>
              <w:t>Canción</w:t>
            </w:r>
          </w:p>
        </w:tc>
        <w:tc>
          <w:tcPr>
            <w:tcW w:type="dxa" w:w="183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0"/>
              </w:rPr>
              <w:t>Sem. e inicio</w:t>
            </w:r>
          </w:p>
        </w:tc>
        <w:tc>
          <w:tcPr>
            <w:tcW w:type="dxa" w:w="85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0"/>
              </w:rPr>
              <w:t>Datos t</w:t>
            </w:r>
          </w:p>
        </w:tc>
        <w:tc>
          <w:tcPr>
            <w:tcW w:type="dxa" w:w="85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0"/>
              </w:rPr>
              <w:t>t*</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0"/>
              </w:rPr>
              <w:t>Fecha</w:t>
            </w:r>
          </w:p>
        </w:tc>
        <w:tc>
          <w:tcPr>
            <w:tcW w:type="dxa" w:w="1664"/>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after="0" w:line="240" w:lineRule="auto"/>
              <w:jc w:val="center"/>
            </w:pPr>
            <w:r>
              <w:rPr>
                <w:b/>
                <w:sz w:val="20"/>
              </w:rPr>
              <w:t>Bis. / NR</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Rosa Pastel</w:t>
            </w:r>
          </w:p>
        </w:tc>
        <w:tc>
          <w:tcPr>
            <w:tcW w:type="dxa" w:w="183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47; 26/01/2023</w:t>
            </w:r>
          </w:p>
        </w:tc>
        <w:tc>
          <w:tcPr>
            <w:tcW w:type="dxa" w:w="8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34–37</w:t>
            </w:r>
          </w:p>
        </w:tc>
        <w:tc>
          <w:tcPr>
            <w:tcW w:type="dxa" w:w="8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35.12</w:t>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28/09/2023</w:t>
            </w:r>
          </w:p>
        </w:tc>
        <w:tc>
          <w:tcPr>
            <w:tcW w:type="dxa" w:w="1664"/>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15 / 3</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Ella Baila Sola</w:t>
            </w:r>
          </w:p>
        </w:tc>
        <w:tc>
          <w:tcPr>
            <w:tcW w:type="dxa" w:w="183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52; 23/03/2023</w:t>
            </w:r>
          </w:p>
        </w:tc>
        <w:tc>
          <w:tcPr>
            <w:tcW w:type="dxa" w:w="8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2–5</w:t>
            </w:r>
          </w:p>
        </w:tc>
        <w:tc>
          <w:tcPr>
            <w:tcW w:type="dxa" w:w="8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3.87</w:t>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19/04/2023</w:t>
            </w:r>
          </w:p>
        </w:tc>
        <w:tc>
          <w:tcPr>
            <w:tcW w:type="dxa" w:w="1664"/>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18 / 4</w:t>
            </w:r>
          </w:p>
        </w:tc>
      </w:tr>
      <w:tr>
        <w:trPr>
          <w:cantSplit/>
        </w:trPr>
        <w:tc>
          <w:tcPr>
            <w:tcW w:type="dxa" w:w="16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Tití Me Preguntó</w:t>
            </w:r>
          </w:p>
        </w:tc>
        <w:tc>
          <w:tcPr>
            <w:tcW w:type="dxa" w:w="183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52; 12/05/2022</w:t>
            </w:r>
          </w:p>
        </w:tc>
        <w:tc>
          <w:tcPr>
            <w:tcW w:type="dxa" w:w="8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9–12</w:t>
            </w:r>
          </w:p>
        </w:tc>
        <w:tc>
          <w:tcPr>
            <w:tcW w:type="dxa" w:w="8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10.04</w:t>
            </w:r>
          </w:p>
        </w:tc>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21/07/2022</w:t>
            </w:r>
          </w:p>
        </w:tc>
        <w:tc>
          <w:tcPr>
            <w:tcW w:type="dxa" w:w="1664"/>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40" w:lineRule="auto"/>
              <w:jc w:val="center"/>
            </w:pPr>
            <w:r>
              <w:rPr>
                <w:sz w:val="20"/>
              </w:rPr>
              <w:t>17 / 3</w:t>
            </w:r>
          </w:p>
        </w:tc>
      </w:tr>
    </w:tbl>
    <w:p>
      <w:pPr>
        <w:pStyle w:val="Caption"/>
        <w:keepNext/>
        <w:spacing w:before="120"/>
      </w:pPr>
      <w:r>
        <w:t>Figura 3. Datos y cruce de la meta en las tres canciones.</w:t>
      </w:r>
    </w:p>
    <w:p>
      <w:pPr>
        <w:spacing w:line="240" w:lineRule="auto" w:after="0"/>
        <w:ind w:firstLine="0"/>
        <w:jc w:val="center"/>
      </w:pPr>
      <w:r/>
      <w:r>
        <w:drawing>
          <wp:inline xmlns:a="http://schemas.openxmlformats.org/drawingml/2006/main" xmlns:pic="http://schemas.openxmlformats.org/drawingml/2006/picture">
            <wp:extent cx="5486400" cy="1828800"/>
            <wp:docPr id="9" name="Picture 9"/>
            <wp:cNvGraphicFramePr>
              <a:graphicFrameLocks noChangeAspect="1"/>
            </wp:cNvGraphicFramePr>
            <a:graphic>
              <a:graphicData uri="http://schemas.openxmlformats.org/drawingml/2006/picture">
                <pic:pic>
                  <pic:nvPicPr>
                    <pic:cNvPr id="0" name="grafico_3_comparacion_canciones.png"/>
                    <pic:cNvPicPr/>
                  </pic:nvPicPr>
                  <pic:blipFill>
                    <a:blip r:embed="rId18"/>
                    <a:stretch>
                      <a:fillRect/>
                    </a:stretch>
                  </pic:blipFill>
                  <pic:spPr>
                    <a:xfrm>
                      <a:off x="0" y="0"/>
                      <a:ext cx="5486400" cy="1828800"/>
                    </a:xfrm>
                    <a:prstGeom prst="rect"/>
                  </pic:spPr>
                </pic:pic>
              </a:graphicData>
            </a:graphic>
          </wp:inline>
        </w:drawing>
      </w:r>
    </w:p>
    <w:p>
      <w:pPr>
        <w:ind w:firstLine="706"/>
        <w:jc w:val="both"/>
      </w:pPr>
      <w:r>
        <w:t>Para otra canción se prepara un CSV con columnas fecha y streams y se cambia el archivo de entrada; para sumarla a la comparación se agrega su nombre y ruta a CANCIONES. Se puede cambiar META. La serie debe cruzar la meta y tener cuatro mediciones alrededor del cruce, ordenadas y semanales.</w:t>
      </w:r>
    </w:p>
    <w:p>
      <w:pPr>
        <w:pStyle w:val="Heading2"/>
        <w:pageBreakBefore/>
      </w:pPr>
      <w:r>
        <w:t>3.6. Limitaciones</w:t>
      </w:r>
    </w:p>
    <w:p>
      <w:pPr>
        <w:pStyle w:val="ListParagraph"/>
        <w:spacing w:after="160"/>
      </w:pPr>
      <w:r>
        <w:t>• El alcance es Spotify México y solo las semanas presentes en el Top 200; el acumulado no es el total histórico de la canción.</w:t>
      </w:r>
    </w:p>
    <w:p>
      <w:pPr>
        <w:pStyle w:val="ListParagraph"/>
        <w:spacing w:after="160"/>
      </w:pPr>
      <w:r>
        <w:t>• Los registros son semanales: el polinomio supone crecimiento suave entre mediciones.</w:t>
      </w:r>
    </w:p>
    <w:p>
      <w:pPr>
        <w:pStyle w:val="ListParagraph"/>
        <w:spacing w:after="160"/>
      </w:pPr>
      <w:r>
        <w:t>• La interpolación es válida entre los datos utilizados; no permite predecir reproducciones futuras.</w:t>
      </w:r>
    </w:p>
    <w:p>
      <w:pPr>
        <w:pStyle w:val="ListParagraph"/>
        <w:spacing w:after="160"/>
      </w:pPr>
      <w:r>
        <w:t>• El ancho de banda depende de los supuestos de duración y bitrate; solo expresa un orden de magnitud.</w:t>
      </w:r>
    </w:p>
    <w:p>
      <w:pPr>
        <w:pStyle w:val="Heading1"/>
      </w:pPr>
      <w:r>
        <w:t>4. Conclusiones</w:t>
      </w:r>
    </w:p>
    <w:p>
      <w:pPr>
        <w:ind w:firstLine="706"/>
        <w:jc w:val="both"/>
      </w:pPr>
      <w:r>
        <w:t>Los cuatro datos cercanos a la meta permitieron construir un polinomio de Newton de grado 3. Al resolver P(t) − 100 = 0, estimamos que los 100 M se superaron en t* ≈ 35.12 semanas desde el 26/01/2023. El programa informa 28/09/2023 y los registros ubican el cruce entre el 28/09 y el 05/10.</w:t>
      </w:r>
    </w:p>
    <w:p>
      <w:pPr>
        <w:ind w:firstLine="706"/>
        <w:jc w:val="both"/>
      </w:pPr>
      <w:r>
        <w:t>Con la misma tolerancia, bisección necesitó 15 iteraciones y Newton-Raphson, 3. Bisección resultó sencilla y segura por el cambio de signo; Newton fue más rápido con t₀ = 35. La precisión del cálculo no reemplaza la resolución semanal de los datos.</w:t>
      </w:r>
    </w:p>
    <w:p>
      <w:pPr>
        <w:ind w:firstLine="706"/>
        <w:jc w:val="both"/>
      </w:pPr>
      <w:r>
        <w:t>El procedimiento también funcionó con «Ella Baila Sola» y «Tití Me Preguntó». La aplicación de ingeniería dio unos 205 Mbps promedio en la semana de mayor consumo de «Rosa Pastel», bajo los supuestos indicados. Así relacionamos los métodos de clase con un problema sencillo de demanda de streaming.</w:t>
      </w:r>
    </w:p>
    <w:p>
      <w:pPr>
        <w:ind w:firstLine="706"/>
        <w:jc w:val="both"/>
      </w:pPr>
      <w:r>
        <w:t>El programa se implementó en Python con NumPy para los cálculos (Harris et al., 2020) y Matplotlib para los gráficos (Hunter, 2007). Los resultados se verificaron contra las series CSV utilizadas.</w:t>
      </w:r>
    </w:p>
    <w:p>
      <w:pPr>
        <w:ind w:firstLine="706"/>
        <w:jc w:val="both"/>
      </w:pPr>
      <w:r>
        <w:rPr>
          <w:i/>
        </w:rPr>
        <w:t>Declaración de uso de inteligencia artificial. Se usaron Claude (Anthropic, 2026) y Gemini (Google, 2026) para programar, hacer gráficos y redactar. Los integrantes verificaron los datos, los cálculos y las conclusiones.</w:t>
      </w:r>
    </w:p>
    <w:p>
      <w:pPr>
        <w:pStyle w:val="Heading1"/>
        <w:pageBreakBefore/>
      </w:pPr>
      <w:r>
        <w:t>5. Bibliografía</w:t>
      </w:r>
    </w:p>
    <w:p>
      <w:pPr>
        <w:keepLines/>
        <w:spacing w:line="240" w:lineRule="auto" w:after="120"/>
        <w:ind w:left="720" w:hanging="720"/>
        <w:jc w:val="left"/>
      </w:pPr>
      <w:r>
        <w:t>Anthropic. (2026). Claude [Modelo de lenguaje de gran tamaño]. https://claude.ai</w:t>
      </w:r>
    </w:p>
    <w:p>
      <w:pPr>
        <w:keepLines/>
        <w:spacing w:line="240" w:lineRule="auto"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keepLines/>
        <w:spacing w:line="240" w:lineRule="auto" w:after="120"/>
        <w:ind w:left="720" w:hanging="720"/>
        <w:jc w:val="left"/>
      </w:pPr>
      <w:r>
        <w:t xml:space="preserve">Chapra, S. C. y Canale, R. P. (2015). </w:t>
      </w:r>
      <w:r>
        <w:rPr>
          <w:i/>
          <w:iCs/>
        </w:rPr>
        <w:t xml:space="preserve">Métodos numéricos para ingenieros</w:t>
      </w:r>
      <w:r>
        <w:t xml:space="preserve"> (7.ª ed.). McGraw-Hill Education.</w:t>
      </w:r>
    </w:p>
    <w:p>
      <w:pPr>
        <w:keepLines/>
        <w:spacing w:line="240" w:lineRule="auto"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keepLines/>
        <w:spacing w:line="240" w:lineRule="auto"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keepLines/>
        <w:spacing w:line="240" w:lineRule="auto" w:after="120"/>
        <w:ind w:left="720" w:hanging="720"/>
        <w:jc w:val="left"/>
      </w:pPr>
      <w:r>
        <w:t xml:space="preserve">Google. (2026). </w:t>
      </w:r>
      <w:r>
        <w:rPr>
          <w:i/>
          <w:iCs/>
        </w:rPr>
        <w:t xml:space="preserve">Gemini</w:t>
      </w:r>
      <w:r>
        <w:t xml:space="preserve"> [Modelo de lenguaje de gran tamaño]. https://gemini.google.com</w:t>
      </w:r>
    </w:p>
    <w:p>
      <w:pPr>
        <w:keepLines/>
        <w:spacing w:line="240" w:lineRule="auto"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keepLines/>
        <w:spacing w:line="240" w:lineRule="auto"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keepLines/>
        <w:spacing w:line="240" w:lineRule="auto" w:after="120"/>
        <w:ind w:left="720" w:hanging="720"/>
        <w:jc w:val="left"/>
      </w:pPr>
      <w:r>
        <w:t xml:space="preserve">Kworb. (s. f.-a). [Historial de charts de Spotify de «Rosa Pastel», de Belanova]. Recuperado el 27 de octubre de 2026, de https://kworb.net/spotify/track/6Z0ybnsUBhbZ9ZjPW64eoF.html</w:t>
      </w:r>
    </w:p>
    <w:p>
      <w:pPr>
        <w:keepLines/>
        <w:spacing w:line="240" w:lineRule="auto" w:after="120"/>
        <w:ind w:left="720" w:hanging="720"/>
        <w:jc w:val="left"/>
      </w:pPr>
      <w:r>
        <w:t xml:space="preserve">Kworb. (s. f.-b). [Historial de charts de Spotify de «Ella Baila Sola», de Eslabón Armado y Peso Pluma]. Recuperado el 27 de octubre de 2026, de https://kworb.net/spotify/track/3qQbCzHBycnDpGskqOWY0E.html</w:t>
      </w:r>
    </w:p>
    <w:p>
      <w:pPr>
        <w:keepLines/>
        <w:spacing w:line="240" w:lineRule="auto" w:after="120"/>
        <w:ind w:left="720" w:hanging="720"/>
        <w:jc w:val="left"/>
      </w:pPr>
      <w:r>
        <w:t xml:space="preserve">Kworb. (s. f.-c). [Historial de charts de Spotify de «Tití Me Preguntó», de Bad Bunny]. Recuperado el 27 de octubre de 2026, de https://kworb.net/spotify/track/1IHWl5LamUGEuP4ozKQSXZ.html</w:t>
      </w:r>
    </w:p>
    <w:p>
      <w:pPr>
        <w:keepLines/>
        <w:spacing w:line="240" w:lineRule="auto"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r>
        <w:t>Anexo A. Datos completos de Rosa Pastel</w:t>
      </w:r>
    </w:p>
    <w:p>
      <w:pPr>
        <w:ind w:firstLine="706"/>
        <w:jc w:val="both"/>
      </w:pPr>
      <w:r>
        <w:t>Fuente: rosa_pastel_belanova.csv, con registros de Kworb (s. f.-a). Las reproducciones semanales se conservan como enteros del CSV; el acumulado se expresa en millones con seis decimales. t = 0 corresponde al primer registro.</w:t>
      </w:r>
    </w:p>
    <w:p>
      <w:pPr>
        <w:pStyle w:val="Caption"/>
        <w:keepNext/>
      </w:pPr>
      <w:r>
        <w:t>Tabla A1. Las 47 semanas del período estudiado.</w:t>
      </w:r>
    </w:p>
    <w:tbl>
      <w:tblPr>
        <w:tblW w:type="dxa" w:w="8844"/>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2800"/>
        <w:gridCol w:w="2744"/>
      </w:tblGrid>
      <w:tr>
        <w:trPr>
          <w:cantSplit/>
          <w:tblHeader/>
        </w:trPr>
        <w:tc>
          <w:tcPr>
            <w:tcW w:type="dxa" w:w="1100"/>
            <w:tcBorders>
              <w:top w:val="single" w:color="000000" w:sz="4"/>
              <w:left w:val="single" w:color="000000" w:sz="4"/>
              <w:bottom w:val="single" w:color="000000" w:sz="4"/>
              <w:right w:val="single" w:color="000000" w:sz="4"/>
            </w:tcBorders>
            <w:shd w:fill="E7E6E6" w:color="auto" w:val="clear"/>
            <w:tcMar>
              <w:top w:type="dxa" w:w="100"/>
              <w:left w:type="dxa" w:w="80"/>
              <w:bottom w:type="dxa" w:w="100"/>
              <w:right w:type="dxa" w:w="80"/>
            </w:tcMar>
            <w:vAlign w:val="center"/>
          </w:tcPr>
          <w:p>
            <w:pPr>
              <w:spacing w:after="0" w:line="240" w:lineRule="auto"/>
              <w:jc w:val="center"/>
            </w:pPr>
            <w:r>
              <w:rPr>
                <w:b/>
                <w:sz w:val="22"/>
              </w:rPr>
              <w:t>Semana t</w:t>
            </w:r>
          </w:p>
        </w:tc>
        <w:tc>
          <w:tcPr>
            <w:tcW w:type="dxa" w:w="2200"/>
            <w:tcBorders>
              <w:top w:val="single" w:color="000000" w:sz="4"/>
              <w:left w:val="single" w:color="000000" w:sz="4"/>
              <w:bottom w:val="single" w:color="000000" w:sz="4"/>
              <w:right w:val="single" w:color="000000" w:sz="4"/>
            </w:tcBorders>
            <w:shd w:fill="E7E6E6" w:color="auto" w:val="clear"/>
            <w:tcMar>
              <w:top w:type="dxa" w:w="100"/>
              <w:left w:type="dxa" w:w="80"/>
              <w:bottom w:type="dxa" w:w="100"/>
              <w:right w:type="dxa" w:w="80"/>
            </w:tcMar>
            <w:vAlign w:val="center"/>
          </w:tcPr>
          <w:p>
            <w:pPr>
              <w:spacing w:after="0" w:line="240" w:lineRule="auto"/>
              <w:jc w:val="center"/>
            </w:pPr>
            <w:r>
              <w:rPr>
                <w:b/>
                <w:sz w:val="22"/>
              </w:rPr>
              <w:t>Fecha</w:t>
            </w:r>
          </w:p>
        </w:tc>
        <w:tc>
          <w:tcPr>
            <w:tcW w:type="dxa" w:w="2800"/>
            <w:tcBorders>
              <w:top w:val="single" w:color="000000" w:sz="4"/>
              <w:left w:val="single" w:color="000000" w:sz="4"/>
              <w:bottom w:val="single" w:color="000000" w:sz="4"/>
              <w:right w:val="single" w:color="000000" w:sz="4"/>
            </w:tcBorders>
            <w:shd w:fill="E7E6E6" w:color="auto" w:val="clear"/>
            <w:tcMar>
              <w:top w:type="dxa" w:w="100"/>
              <w:left w:type="dxa" w:w="80"/>
              <w:bottom w:type="dxa" w:w="100"/>
              <w:right w:type="dxa" w:w="80"/>
            </w:tcMar>
            <w:vAlign w:val="center"/>
          </w:tcPr>
          <w:p>
            <w:pPr>
              <w:spacing w:after="0" w:line="240" w:lineRule="auto"/>
              <w:jc w:val="center"/>
            </w:pPr>
            <w:r>
              <w:rPr>
                <w:b/>
                <w:sz w:val="22"/>
              </w:rPr>
              <w:t>Reproducciones</w:t>
            </w:r>
          </w:p>
        </w:tc>
        <w:tc>
          <w:tcPr>
            <w:tcW w:type="dxa" w:w="2744"/>
            <w:tcBorders>
              <w:top w:val="single" w:color="000000" w:sz="4"/>
              <w:left w:val="single" w:color="000000" w:sz="4"/>
              <w:bottom w:val="single" w:color="000000" w:sz="4"/>
              <w:right w:val="single" w:color="000000" w:sz="4"/>
            </w:tcBorders>
            <w:shd w:fill="E7E6E6" w:color="auto" w:val="clear"/>
            <w:tcMar>
              <w:top w:type="dxa" w:w="100"/>
              <w:left w:type="dxa" w:w="80"/>
              <w:bottom w:type="dxa" w:w="100"/>
              <w:right w:type="dxa" w:w="80"/>
            </w:tcMar>
            <w:vAlign w:val="center"/>
          </w:tcPr>
          <w:p>
            <w:pPr>
              <w:spacing w:after="0" w:line="240" w:lineRule="auto"/>
              <w:jc w:val="center"/>
            </w:pPr>
            <w:r>
              <w:rPr>
                <w:b/>
                <w:sz w:val="22"/>
              </w:rPr>
              <w:t>Acumulado (M)</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26/01/2023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1 137 349</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1.137349</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02/02/2023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1 445 318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2.582667</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09/02/2023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1 417 458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4.000125</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16/02/2023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1 667 194</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5.667319</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23/02/2023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1 778 948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7.446267</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5</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02/03/2023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1 889 805</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9.336072</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6</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09/03/2023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1 954 026</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11.290098</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7</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16/03/2023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2 169 923</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13.460021</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8</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23/03/2023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2 635 047</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16.095068</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9</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30/03/2023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2 788 541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18.883609</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10</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06/04/2023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2 564 692</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21.448301</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13/04/2023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2 148 814</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23.597115</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12</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20/04/2023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2 221 385</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25.818500</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13</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27/04/2023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2 368 056</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28.186556</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14</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04/05/2023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2 217 941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30.404497</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15</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11/05/2023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2 277 461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32.681958</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16</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18/05/2023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2 647 092</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35.329050</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17</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25/05/2023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2 617 613</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37.946663</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18</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01/06/2023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2 842 061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40.788724</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19</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08/06/2023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2 899 192</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43.687916</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20</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15/06/2023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3 024 138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46.712054</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21</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22/06/2023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3 092 700</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49.804754</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22</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29/06/2023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3 160 985</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52.965739</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23</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06/07/2023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3 102 254</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56.067993</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24</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13/07/2023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3 084 357</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59.152350</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25</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20/07/2023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3 563 141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62.715491</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26</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27/07/2023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4 170 775</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66.886266</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27</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03/08/2023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3 508 445</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70.394711</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28</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10/08/2023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3 799 664</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74.194375</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29</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17/08/2023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3 829 770</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78.024145</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30</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24/08/2023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3 612 550</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81.636695</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31</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31/08/2023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3 507 013</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85.143708</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32</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07/09/2023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4 064 808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89.208516</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33</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14/09/2023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3 759 711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92.968227</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34</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21/09/2023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3 380 414</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96.348641</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35</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28/09/2023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3 253 511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99.602152</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36</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05/10/2023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3 135 938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102.738090</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37</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12/10/2023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2 962 324</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105.700414</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38</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19/10/2023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2 770 651</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108.471065</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39</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26/10/2023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2 736 409</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111.207474</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40</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02/11/2023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3 060 277</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114.267751</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41</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09/11/2023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3 068 245</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117.335996</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42</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16/11/2023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3 244 273</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120.580269</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43</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23/11/2023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3 051 800</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123.632069</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44</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30/11/2023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3 246 738</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126.878807</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45</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07/12/2023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3 206 277</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130.085084</w:t>
            </w:r>
          </w:p>
        </w:tc>
      </w:tr>
      <w:tr>
        <w:trPr>
          <w:cantSplit/>
        </w:trPr>
        <w:tc>
          <w:tcPr>
            <w:tcW w:type="dxa" w:w="11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46</w:t>
            </w:r>
          </w:p>
        </w:tc>
        <w:tc>
          <w:tcPr>
            <w:tcW w:type="dxa" w:w="22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14/12/2023</w:t>
            </w:r>
          </w:p>
        </w:tc>
        <w:tc>
          <w:tcPr>
            <w:tcW w:type="dxa" w:w="2800"/>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2 811 829</w:t>
            </w:r>
          </w:p>
        </w:tc>
        <w:tc>
          <w:tcPr>
            <w:tcW w:type="dxa" w:w="2744"/>
            <w:tcBorders>
              <w:top w:val="single" w:color="000000" w:sz="4"/>
              <w:left w:val="single" w:color="000000" w:sz="4"/>
              <w:bottom w:val="single" w:color="000000" w:sz="4"/>
              <w:right w:val="single" w:color="000000" w:sz="4"/>
            </w:tcBorders>
            <w:tcMar>
              <w:top w:type="dxa" w:w="100"/>
              <w:left w:type="dxa" w:w="80"/>
              <w:bottom w:type="dxa" w:w="100"/>
              <w:right w:type="dxa" w:w="80"/>
            </w:tcMar>
            <w:vAlign w:val="center"/>
          </w:tcPr>
          <w:p>
            <w:pPr>
              <w:spacing w:after="0" w:line="240" w:lineRule="auto"/>
              <w:jc w:val="center"/>
            </w:pPr>
            <w:r>
              <w:rPr>
                <w:sz w:val="22"/>
              </w:rPr>
              <w:t>132.896913</w:t>
            </w:r>
          </w:p>
        </w:tc>
      </w:tr>
    </w:tbl>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abstractNum w:abstractNumId="5" w15:restartNumberingAfterBreak="0">
    <w:multiLevelType w:val="hybridMultilevel"/>
    <w:lvl w:ilvl="0" w:tentative="1">
      <w:start w:val="1"/>
      <w:numFmt w:val="bullet"/>
      <w:lvlText w:val="•"/>
      <w:lvlJc w:val="left"/>
      <w:pPr>
        <w:ind w:left="720" w:hanging="360"/>
      </w:pPr>
    </w:lvl>
  </w:abstractNum>
  <w:abstractNum w:abstractNumId="6" w15:restartNumberingAfterBreak="0">
    <w:multiLevelType w:val="hybridMultilevel"/>
    <w:lvl w:ilvl="0" w:tentative="1">
      <w:start w:val="1"/>
      <w:numFmt w:val="bullet"/>
      <w:lvlText w:val="•"/>
      <w:lvlJc w:val="left"/>
      <w:pPr>
        <w:ind w:left="720" w:hanging="360"/>
      </w:pPr>
    </w:lvl>
  </w:abstractNum>
  <w:abstractNum w:abstractNumId="7" w15:restartNumberingAfterBreak="0">
    <w:multiLevelType w:val="hybridMultilevel"/>
    <w:lvl w:ilvl="0" w:tentative="1">
      <w:start w:val="1"/>
      <w:numFmt w:val="bullet"/>
      <w:lvlText w:val="•"/>
      <w:lvlJc w:val="left"/>
      <w:pPr>
        <w:ind w:left="720" w:hanging="360"/>
      </w:pPr>
    </w:lvl>
  </w:abstractNum>
  <w:abstractNum w:abstractNumId="8" w15:restartNumberingAfterBreak="0">
    <w:multiLevelType w:val="hybridMultilevel"/>
    <w:lvl w:ilvl="0" w:tentative="1">
      <w:start w:val="1"/>
      <w:numFmt w:val="bullet"/>
      <w:lvlText w:val="•"/>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d6e31b6e282892ba5f257486d8fe4bb4160fdc14.png"/><Relationship Id="rId11" Type="http://schemas.openxmlformats.org/officeDocument/2006/relationships/image" Target="media/03e7945740267b8e1f69fd31115c96856dbbb563.png"/><Relationship Id="rId12" Type="http://schemas.openxmlformats.org/officeDocument/2006/relationships/image" Target="media/481143722e4d645330c89c046b71c4ddf211a248.png"/><Relationship Id="rId13" Type="http://schemas.openxmlformats.org/officeDocument/2006/relationships/image" Target="media/bf1016c6ac0ebd27e23b00bc67211c2dfb4f5429.png"/><Relationship Id="rId14" Type="http://schemas.openxmlformats.org/officeDocument/2006/relationships/image" Target="media/aa97a89bfe71222619ddc1b36426aac65962aaa9.png"/><Relationship Id="rId15"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2026-10-29T01:40:28.066Z</dcterms:created>
  <dcterms:modified xsi:type="dcterms:W3CDTF">2026-10-29T01:40:28.067Z</dcterms:modified>
</cp:coreProperties>
</file>

<file path=docProps/custom.xml><?xml version="1.0" encoding="utf-8"?>
<Properties xmlns="http://schemas.openxmlformats.org/officeDocument/2006/custom-properties" xmlns:vt="http://schemas.openxmlformats.org/officeDocument/2006/docPropsVTypes"/>
</file>