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30" w:rsidRPr="002A2630" w:rsidRDefault="002A2630" w:rsidP="002A2630">
      <w:pPr>
        <w:pStyle w:val="Ttulo1"/>
        <w:rPr>
          <w:rFonts w:ascii="Open Sans" w:hAnsi="Open Sans" w:cs="Open Sans"/>
          <w:lang w:val="es-ES"/>
        </w:rPr>
      </w:pPr>
      <w:r w:rsidRPr="002A2630">
        <w:rPr>
          <w:rFonts w:ascii="Open Sans" w:hAnsi="Open Sans" w:cs="Open Sans"/>
          <w:lang w:val="es-ES"/>
        </w:rPr>
        <w:t>Actividad</w:t>
      </w:r>
    </w:p>
    <w:p w:rsidR="002A2630" w:rsidRDefault="002A2630" w:rsidP="002A26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Visita la página del W3C (</w:t>
      </w:r>
      <w:r w:rsidRPr="002A2630">
        <w:rPr>
          <w:rFonts w:ascii="Consolas" w:hAnsi="Consolas" w:cs="Consolas"/>
          <w:lang w:val="es-ES"/>
        </w:rPr>
        <w:t>http://www.w3c.es</w:t>
      </w:r>
      <w:r>
        <w:rPr>
          <w:rFonts w:ascii="Consolas" w:hAnsi="Consolas" w:cs="Consolas"/>
          <w:lang w:val="es-ES"/>
        </w:rPr>
        <w:t>)</w:t>
      </w:r>
      <w:r w:rsidRPr="002A2630">
        <w:rPr>
          <w:lang w:val="es-ES"/>
        </w:rPr>
        <w:t xml:space="preserve"> y consulta la especificación HTML 4.01.</w:t>
      </w:r>
    </w:p>
    <w:p w:rsidR="005915B0" w:rsidRPr="005915B0" w:rsidRDefault="005915B0" w:rsidP="005915B0">
      <w:pPr>
        <w:rPr>
          <w:rFonts w:ascii="Consolas" w:hAnsi="Consolas" w:cs="Consolas"/>
          <w:color w:val="4F6228" w:themeColor="accent3" w:themeShade="80"/>
          <w:lang w:val="es-ES"/>
        </w:rPr>
      </w:pPr>
      <w:r>
        <w:rPr>
          <w:lang w:val="es-ES"/>
        </w:rPr>
        <w:tab/>
      </w:r>
      <w:r w:rsidRPr="005915B0">
        <w:rPr>
          <w:rFonts w:ascii="Consolas" w:hAnsi="Consolas" w:cs="Consolas"/>
          <w:color w:val="4F6228" w:themeColor="accent3" w:themeShade="80"/>
          <w:lang w:val="es-ES"/>
        </w:rPr>
        <w:t>http://www.w3.org/TR/REC-html40/</w:t>
      </w:r>
    </w:p>
    <w:p w:rsidR="002A2630" w:rsidRDefault="002A2630" w:rsidP="002A2630">
      <w:pPr>
        <w:pStyle w:val="Prrafodelista"/>
        <w:numPr>
          <w:ilvl w:val="0"/>
          <w:numId w:val="1"/>
        </w:numPr>
        <w:rPr>
          <w:lang w:val="es-ES"/>
        </w:rPr>
      </w:pPr>
      <w:r w:rsidRPr="002A2630">
        <w:rPr>
          <w:lang w:val="es-ES"/>
        </w:rPr>
        <w:t>Averigua el estado de las publicaciones sobre HTML 5.</w:t>
      </w:r>
    </w:p>
    <w:p w:rsidR="00E73519" w:rsidRPr="00E73519" w:rsidRDefault="00E73519" w:rsidP="00E73519">
      <w:pPr>
        <w:rPr>
          <w:color w:val="4F6228" w:themeColor="accent3" w:themeShade="80"/>
          <w:lang w:val="es-ES"/>
        </w:rPr>
      </w:pPr>
      <w:r>
        <w:rPr>
          <w:lang w:val="es-ES"/>
        </w:rPr>
        <w:tab/>
      </w:r>
      <w:r w:rsidRPr="00E73519">
        <w:rPr>
          <w:color w:val="4F6228" w:themeColor="accent3" w:themeShade="80"/>
          <w:lang w:val="es-ES"/>
        </w:rPr>
        <w:t>Candidato a recomendación.</w:t>
      </w:r>
    </w:p>
    <w:p w:rsidR="00E73519" w:rsidRDefault="00E73519" w:rsidP="00E73519">
      <w:pPr>
        <w:rPr>
          <w:rFonts w:ascii="Consolas" w:hAnsi="Consolas" w:cs="Consolas"/>
          <w:color w:val="4F6228" w:themeColor="accent3" w:themeShade="80"/>
          <w:lang w:val="es-ES"/>
        </w:rPr>
      </w:pPr>
      <w:r w:rsidRPr="00E73519">
        <w:rPr>
          <w:color w:val="4F6228" w:themeColor="accent3" w:themeShade="80"/>
          <w:lang w:val="es-ES"/>
        </w:rPr>
        <w:tab/>
      </w:r>
      <w:r w:rsidR="00685BA3" w:rsidRPr="00685BA3">
        <w:rPr>
          <w:rFonts w:ascii="Consolas" w:hAnsi="Consolas" w:cs="Consolas"/>
          <w:color w:val="4F6228" w:themeColor="accent3" w:themeShade="80"/>
          <w:lang w:val="es-ES"/>
        </w:rPr>
        <w:t>http://www.w3.org/TR/html5/</w:t>
      </w:r>
    </w:p>
    <w:p w:rsidR="00685BA3" w:rsidRPr="00E73519" w:rsidRDefault="00685BA3" w:rsidP="00E73519">
      <w:pPr>
        <w:rPr>
          <w:rFonts w:ascii="Consolas" w:hAnsi="Consolas" w:cs="Consolas"/>
          <w:color w:val="4F6228" w:themeColor="accent3" w:themeShade="80"/>
          <w:lang w:val="es-ES"/>
        </w:rPr>
      </w:pPr>
      <w:r>
        <w:rPr>
          <w:rFonts w:ascii="Consolas" w:hAnsi="Consolas" w:cs="Consolas"/>
          <w:color w:val="4F6228" w:themeColor="accent3" w:themeShade="80"/>
          <w:lang w:val="es-ES"/>
        </w:rPr>
        <w:tab/>
      </w:r>
      <w:r>
        <w:rPr>
          <w:rFonts w:ascii="Consolas" w:hAnsi="Consolas" w:cs="Consolas"/>
          <w:noProof/>
          <w:color w:val="4F6228" w:themeColor="accent3" w:themeShade="80"/>
          <w:lang w:val="es-ES" w:eastAsia="es-ES"/>
        </w:rPr>
        <w:drawing>
          <wp:inline distT="0" distB="0" distL="0" distR="0">
            <wp:extent cx="5391150" cy="3724275"/>
            <wp:effectExtent l="19050" t="0" r="0" b="0"/>
            <wp:docPr id="2" name="Imagen 2" descr="C:\Users\Pedro\Desktop\HTML5-APIs-and-related-technologies-by-Sergey-Mavr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esktop\HTML5-APIs-and-related-technologies-by-Sergey-Mavrod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30" w:rsidRDefault="002A2630" w:rsidP="002A2630">
      <w:pPr>
        <w:pStyle w:val="Prrafodelista"/>
        <w:numPr>
          <w:ilvl w:val="0"/>
          <w:numId w:val="1"/>
        </w:numPr>
        <w:rPr>
          <w:lang w:val="es-ES"/>
        </w:rPr>
      </w:pPr>
      <w:r w:rsidRPr="002A2630">
        <w:rPr>
          <w:lang w:val="es-ES"/>
        </w:rPr>
        <w:t>Consulta los objetivos del W3C.</w:t>
      </w:r>
    </w:p>
    <w:p w:rsidR="003C569E" w:rsidRPr="003C569E" w:rsidRDefault="003C569E" w:rsidP="003C569E">
      <w:pPr>
        <w:ind w:left="709"/>
        <w:rPr>
          <w:color w:val="76923C" w:themeColor="accent3" w:themeShade="BF"/>
          <w:lang w:val="es-ES"/>
        </w:rPr>
      </w:pPr>
      <w:r w:rsidRPr="003C569E">
        <w:rPr>
          <w:color w:val="76923C" w:themeColor="accent3" w:themeShade="BF"/>
          <w:lang w:val="es-ES"/>
        </w:rPr>
        <w:t>El objetivo del W3C es guiar la Web hacia su máximo potencial a través del desarrollo de protocolos y pautas que aseguren el crecimiento futuro de la Web. Debajo tratamos importantes aspectos de este objetivo, los cuales promueven la visión del W3C de Web Única.</w:t>
      </w:r>
    </w:p>
    <w:p w:rsidR="00B07A9D" w:rsidRDefault="002A2630" w:rsidP="002A2630">
      <w:pPr>
        <w:pStyle w:val="Prrafodelista"/>
        <w:numPr>
          <w:ilvl w:val="0"/>
          <w:numId w:val="1"/>
        </w:numPr>
        <w:rPr>
          <w:lang w:val="es-ES"/>
        </w:rPr>
      </w:pPr>
      <w:r w:rsidRPr="002A2630">
        <w:rPr>
          <w:lang w:val="es-ES"/>
        </w:rPr>
        <w:t>Consulta el listado de miembros españoles.</w:t>
      </w:r>
    </w:p>
    <w:p w:rsidR="003C569E" w:rsidRPr="003C569E" w:rsidRDefault="003C569E" w:rsidP="003C569E">
      <w:pPr>
        <w:ind w:left="709"/>
        <w:rPr>
          <w:color w:val="76923C" w:themeColor="accent3" w:themeShade="BF"/>
          <w:lang w:val="es-ES"/>
        </w:rPr>
      </w:pPr>
      <w:proofErr w:type="spellStart"/>
      <w:r w:rsidRPr="003C569E">
        <w:rPr>
          <w:color w:val="76923C" w:themeColor="accent3" w:themeShade="BF"/>
          <w:lang w:val="es-ES"/>
        </w:rPr>
        <w:t>Adesis</w:t>
      </w:r>
      <w:proofErr w:type="spellEnd"/>
      <w:r w:rsidRPr="003C569E">
        <w:rPr>
          <w:color w:val="76923C" w:themeColor="accent3" w:themeShade="BF"/>
          <w:lang w:val="es-ES"/>
        </w:rPr>
        <w:t xml:space="preserve"> </w:t>
      </w:r>
      <w:proofErr w:type="spellStart"/>
      <w:r w:rsidRPr="003C569E">
        <w:rPr>
          <w:color w:val="76923C" w:themeColor="accent3" w:themeShade="BF"/>
          <w:lang w:val="es-ES"/>
        </w:rPr>
        <w:t>Netlife</w:t>
      </w:r>
      <w:proofErr w:type="spellEnd"/>
      <w:r w:rsidRPr="003C569E">
        <w:rPr>
          <w:color w:val="76923C" w:themeColor="accent3" w:themeShade="BF"/>
          <w:lang w:val="es-ES"/>
        </w:rPr>
        <w:t xml:space="preserve"> S.L., </w:t>
      </w:r>
      <w:proofErr w:type="spellStart"/>
      <w:r w:rsidRPr="003C569E">
        <w:rPr>
          <w:color w:val="76923C" w:themeColor="accent3" w:themeShade="BF"/>
          <w:lang w:val="es-ES"/>
        </w:rPr>
        <w:t>Anboto</w:t>
      </w:r>
      <w:proofErr w:type="spellEnd"/>
      <w:r w:rsidRPr="003C569E">
        <w:rPr>
          <w:color w:val="76923C" w:themeColor="accent3" w:themeShade="BF"/>
          <w:lang w:val="es-ES"/>
        </w:rPr>
        <w:t xml:space="preserve">, Andanza Technologies, </w:t>
      </w:r>
      <w:proofErr w:type="spellStart"/>
      <w:r w:rsidRPr="003C569E">
        <w:rPr>
          <w:color w:val="76923C" w:themeColor="accent3" w:themeShade="BF"/>
          <w:lang w:val="es-ES"/>
        </w:rPr>
        <w:t>Atiun</w:t>
      </w:r>
      <w:proofErr w:type="spellEnd"/>
      <w:r w:rsidRPr="003C569E">
        <w:rPr>
          <w:color w:val="76923C" w:themeColor="accent3" w:themeShade="BF"/>
          <w:lang w:val="es-ES"/>
        </w:rPr>
        <w:t xml:space="preserve"> Comunicaciones, Ayuntamiento de Zaragoza, </w:t>
      </w:r>
      <w:proofErr w:type="spellStart"/>
      <w:r w:rsidRPr="003C569E">
        <w:rPr>
          <w:color w:val="76923C" w:themeColor="accent3" w:themeShade="BF"/>
          <w:lang w:val="es-ES"/>
        </w:rPr>
        <w:t>BiscayTIK</w:t>
      </w:r>
      <w:proofErr w:type="spellEnd"/>
      <w:r w:rsidRPr="003C569E">
        <w:rPr>
          <w:color w:val="76923C" w:themeColor="accent3" w:themeShade="BF"/>
          <w:lang w:val="es-ES"/>
        </w:rPr>
        <w:t xml:space="preserve">, Fundación ONCE, Fundación CTIC, </w:t>
      </w:r>
      <w:proofErr w:type="spellStart"/>
      <w:r w:rsidRPr="003C569E">
        <w:rPr>
          <w:color w:val="76923C" w:themeColor="accent3" w:themeShade="BF"/>
          <w:lang w:val="es-ES"/>
        </w:rPr>
        <w:lastRenderedPageBreak/>
        <w:t>Futuver</w:t>
      </w:r>
      <w:proofErr w:type="spellEnd"/>
      <w:r w:rsidRPr="003C569E">
        <w:rPr>
          <w:color w:val="76923C" w:themeColor="accent3" w:themeShade="BF"/>
          <w:lang w:val="es-ES"/>
        </w:rPr>
        <w:t xml:space="preserve"> </w:t>
      </w:r>
      <w:proofErr w:type="spellStart"/>
      <w:r w:rsidRPr="003C569E">
        <w:rPr>
          <w:color w:val="76923C" w:themeColor="accent3" w:themeShade="BF"/>
          <w:lang w:val="es-ES"/>
        </w:rPr>
        <w:t>Consulting</w:t>
      </w:r>
      <w:proofErr w:type="spellEnd"/>
      <w:r w:rsidRPr="003C569E">
        <w:rPr>
          <w:color w:val="76923C" w:themeColor="accent3" w:themeShade="BF"/>
          <w:lang w:val="es-ES"/>
        </w:rPr>
        <w:t xml:space="preserve">, Gobierno del Principado de Asturias, Gobierno del País Vasco - </w:t>
      </w:r>
      <w:proofErr w:type="spellStart"/>
      <w:r w:rsidRPr="003C569E">
        <w:rPr>
          <w:color w:val="76923C" w:themeColor="accent3" w:themeShade="BF"/>
          <w:lang w:val="es-ES"/>
        </w:rPr>
        <w:t>Irekia</w:t>
      </w:r>
      <w:proofErr w:type="spellEnd"/>
      <w:r w:rsidRPr="003C569E">
        <w:rPr>
          <w:color w:val="76923C" w:themeColor="accent3" w:themeShade="BF"/>
          <w:lang w:val="es-ES"/>
        </w:rPr>
        <w:t xml:space="preserve">, Instituto Nacional de </w:t>
      </w:r>
      <w:proofErr w:type="spellStart"/>
      <w:r w:rsidRPr="003C569E">
        <w:rPr>
          <w:color w:val="76923C" w:themeColor="accent3" w:themeShade="BF"/>
          <w:lang w:val="es-ES"/>
        </w:rPr>
        <w:t>Tecnologias</w:t>
      </w:r>
      <w:proofErr w:type="spellEnd"/>
      <w:r w:rsidRPr="003C569E">
        <w:rPr>
          <w:color w:val="76923C" w:themeColor="accent3" w:themeShade="BF"/>
          <w:lang w:val="es-ES"/>
        </w:rPr>
        <w:t xml:space="preserve"> de la </w:t>
      </w:r>
      <w:proofErr w:type="spellStart"/>
      <w:r w:rsidRPr="003C569E">
        <w:rPr>
          <w:color w:val="76923C" w:themeColor="accent3" w:themeShade="BF"/>
          <w:lang w:val="es-ES"/>
        </w:rPr>
        <w:t>Comunicacion</w:t>
      </w:r>
      <w:proofErr w:type="spellEnd"/>
      <w:r w:rsidRPr="003C569E">
        <w:rPr>
          <w:color w:val="76923C" w:themeColor="accent3" w:themeShade="BF"/>
          <w:lang w:val="es-ES"/>
        </w:rPr>
        <w:t xml:space="preserve">, S.A., </w:t>
      </w:r>
      <w:proofErr w:type="spellStart"/>
      <w:r w:rsidRPr="003C569E">
        <w:rPr>
          <w:color w:val="76923C" w:themeColor="accent3" w:themeShade="BF"/>
          <w:lang w:val="es-ES"/>
        </w:rPr>
        <w:t>Linguaserve</w:t>
      </w:r>
      <w:proofErr w:type="spellEnd"/>
      <w:r w:rsidRPr="003C569E">
        <w:rPr>
          <w:color w:val="76923C" w:themeColor="accent3" w:themeShade="BF"/>
          <w:lang w:val="es-ES"/>
        </w:rPr>
        <w:t xml:space="preserve">, Ministerio de Hacienda y Administraciones Públicas, Sociedad Asturiana de Diversificación Minera S.A. (SADIM S.A.), TAPQUO, Telefónica, Universidad de Oviedo, Universidad Politécnica de Madrid, </w:t>
      </w:r>
      <w:proofErr w:type="spellStart"/>
      <w:r w:rsidRPr="003C569E">
        <w:rPr>
          <w:color w:val="76923C" w:themeColor="accent3" w:themeShade="BF"/>
          <w:lang w:val="es-ES"/>
        </w:rPr>
        <w:t>Universitat</w:t>
      </w:r>
      <w:proofErr w:type="spellEnd"/>
      <w:r w:rsidRPr="003C569E">
        <w:rPr>
          <w:color w:val="76923C" w:themeColor="accent3" w:themeShade="BF"/>
          <w:lang w:val="es-ES"/>
        </w:rPr>
        <w:t xml:space="preserve"> </w:t>
      </w:r>
      <w:proofErr w:type="spellStart"/>
      <w:r w:rsidRPr="003C569E">
        <w:rPr>
          <w:color w:val="76923C" w:themeColor="accent3" w:themeShade="BF"/>
          <w:lang w:val="es-ES"/>
        </w:rPr>
        <w:t>Politècnica</w:t>
      </w:r>
      <w:proofErr w:type="spellEnd"/>
      <w:r w:rsidRPr="003C569E">
        <w:rPr>
          <w:color w:val="76923C" w:themeColor="accent3" w:themeShade="BF"/>
          <w:lang w:val="es-ES"/>
        </w:rPr>
        <w:t xml:space="preserve"> de Catalunya</w:t>
      </w:r>
    </w:p>
    <w:sectPr w:rsidR="003C569E" w:rsidRPr="003C569E" w:rsidSect="00C5524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E8C" w:rsidRDefault="00FB5E8C" w:rsidP="00B52904">
      <w:pPr>
        <w:spacing w:after="0" w:line="240" w:lineRule="auto"/>
      </w:pPr>
      <w:r>
        <w:separator/>
      </w:r>
    </w:p>
  </w:endnote>
  <w:endnote w:type="continuationSeparator" w:id="0">
    <w:p w:rsidR="00FB5E8C" w:rsidRDefault="00FB5E8C" w:rsidP="00B5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9"/>
    </w:tblGrid>
    <w:tr w:rsidR="00B52904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B52904" w:rsidRPr="00B52904" w:rsidRDefault="00B52904">
          <w:pPr>
            <w:pStyle w:val="Encabezado"/>
            <w:ind w:left="113" w:right="113"/>
            <w:rPr>
              <w:color w:val="4F81BD" w:themeColor="accent1"/>
            </w:rPr>
          </w:pPr>
          <w:r>
            <w:rPr>
              <w:color w:val="4F81BD" w:themeColor="accent1"/>
            </w:rPr>
            <w:t>Pedro Gutiérrez</w:t>
          </w:r>
        </w:p>
      </w:tc>
    </w:tr>
    <w:tr w:rsidR="00B52904">
      <w:tc>
        <w:tcPr>
          <w:tcW w:w="498" w:type="dxa"/>
          <w:tcBorders>
            <w:top w:val="single" w:sz="4" w:space="0" w:color="auto"/>
          </w:tcBorders>
        </w:tcPr>
        <w:p w:rsidR="00B52904" w:rsidRDefault="00CA7E38">
          <w:pPr>
            <w:pStyle w:val="Piedepgina"/>
          </w:pPr>
          <w:fldSimple w:instr=" PAGE   \* MERGEFORMAT ">
            <w:r w:rsidR="003C569E" w:rsidRPr="003C569E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B52904">
      <w:trPr>
        <w:trHeight w:val="768"/>
      </w:trPr>
      <w:tc>
        <w:tcPr>
          <w:tcW w:w="498" w:type="dxa"/>
        </w:tcPr>
        <w:p w:rsidR="00B52904" w:rsidRDefault="00B52904">
          <w:pPr>
            <w:pStyle w:val="Encabezado"/>
          </w:pPr>
        </w:p>
      </w:tc>
    </w:tr>
  </w:tbl>
  <w:p w:rsidR="00B52904" w:rsidRDefault="00B529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E8C" w:rsidRDefault="00FB5E8C" w:rsidP="00B52904">
      <w:pPr>
        <w:spacing w:after="0" w:line="240" w:lineRule="auto"/>
      </w:pPr>
      <w:r>
        <w:separator/>
      </w:r>
    </w:p>
  </w:footnote>
  <w:footnote w:type="continuationSeparator" w:id="0">
    <w:p w:rsidR="00FB5E8C" w:rsidRDefault="00FB5E8C" w:rsidP="00B52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785"/>
      <w:gridCol w:w="2949"/>
    </w:tblGrid>
    <w:tr w:rsidR="00B52904" w:rsidTr="00B52904">
      <w:tc>
        <w:tcPr>
          <w:tcW w:w="3312" w:type="pct"/>
          <w:tcBorders>
            <w:bottom w:val="single" w:sz="4" w:space="0" w:color="auto"/>
          </w:tcBorders>
          <w:vAlign w:val="bottom"/>
        </w:tcPr>
        <w:p w:rsidR="00B52904" w:rsidRDefault="00B52904" w:rsidP="002A2630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8E9F81704BCE4A8994669C537C54889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A2630">
                <w:rPr>
                  <w:b/>
                  <w:bCs/>
                  <w:caps/>
                  <w:sz w:val="24"/>
                  <w:szCs w:val="24"/>
                </w:rPr>
                <w:t>Lenguajes de marca</w:t>
              </w:r>
            </w:sdtContent>
          </w:sdt>
          <w:r>
            <w:rPr>
              <w:b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E2AAF33673134AB8B6DA77013A6A9FD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10-08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688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52904" w:rsidRDefault="002A2630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 de octubre de 2013</w:t>
              </w:r>
            </w:p>
          </w:tc>
        </w:sdtContent>
      </w:sdt>
    </w:tr>
  </w:tbl>
  <w:p w:rsidR="00B52904" w:rsidRDefault="00B5290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B20D2"/>
    <w:multiLevelType w:val="hybridMultilevel"/>
    <w:tmpl w:val="9B7086E2"/>
    <w:lvl w:ilvl="0" w:tplc="ECD8C9C2">
      <w:start w:val="1"/>
      <w:numFmt w:val="decimal"/>
      <w:lvlText w:val="%1)"/>
      <w:lvlJc w:val="left"/>
      <w:pPr>
        <w:ind w:left="720" w:hanging="360"/>
      </w:pPr>
      <w:rPr>
        <w:b/>
        <w:color w:val="943634" w:themeColor="accen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5B0"/>
    <w:rsid w:val="001F1C61"/>
    <w:rsid w:val="00236734"/>
    <w:rsid w:val="00296D6E"/>
    <w:rsid w:val="002A2630"/>
    <w:rsid w:val="003C569E"/>
    <w:rsid w:val="005915B0"/>
    <w:rsid w:val="00685BA3"/>
    <w:rsid w:val="0073329C"/>
    <w:rsid w:val="00781FF5"/>
    <w:rsid w:val="00835DAE"/>
    <w:rsid w:val="00A77AC1"/>
    <w:rsid w:val="00A802BD"/>
    <w:rsid w:val="00B20A03"/>
    <w:rsid w:val="00B52904"/>
    <w:rsid w:val="00C55242"/>
    <w:rsid w:val="00C71380"/>
    <w:rsid w:val="00CA7E38"/>
    <w:rsid w:val="00DB58D3"/>
    <w:rsid w:val="00E67D44"/>
    <w:rsid w:val="00E73519"/>
    <w:rsid w:val="00FB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Theme="minorHAnsi" w:hAnsi="Open Sans" w:cs="Open Sans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242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A2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9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90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529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904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904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A2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2A2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5B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9">
          <w:marLeft w:val="0"/>
          <w:marRight w:val="2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e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9F81704BCE4A8994669C537C548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0CAED-4AAC-4640-8051-5C5C78BFB3A7}"/>
      </w:docPartPr>
      <w:docPartBody>
        <w:p w:rsidR="009354E6" w:rsidRDefault="00706174">
          <w:pPr>
            <w:pStyle w:val="8E9F81704BCE4A8994669C537C54889E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E2AAF33673134AB8B6DA77013A6A9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27A3-2EE1-4328-BF7A-8353B28C5063}"/>
      </w:docPartPr>
      <w:docPartBody>
        <w:p w:rsidR="009354E6" w:rsidRDefault="00706174">
          <w:pPr>
            <w:pStyle w:val="E2AAF33673134AB8B6DA77013A6A9FD9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06174"/>
    <w:rsid w:val="00706174"/>
    <w:rsid w:val="0093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9F81704BCE4A8994669C537C54889E">
    <w:name w:val="8E9F81704BCE4A8994669C537C54889E"/>
    <w:rsid w:val="009354E6"/>
  </w:style>
  <w:style w:type="paragraph" w:customStyle="1" w:styleId="E2AAF33673134AB8B6DA77013A6A9FD9">
    <w:name w:val="E2AAF33673134AB8B6DA77013A6A9FD9"/>
    <w:rsid w:val="009354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331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marca</dc:title>
  <dc:creator>Pedro Gutiérrez</dc:creator>
  <cp:lastModifiedBy>Pedro Gutiérrez</cp:lastModifiedBy>
  <cp:revision>3</cp:revision>
  <dcterms:created xsi:type="dcterms:W3CDTF">2013-10-08T19:02:00Z</dcterms:created>
  <dcterms:modified xsi:type="dcterms:W3CDTF">2013-10-23T16:07:00Z</dcterms:modified>
</cp:coreProperties>
</file>