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00B050"/>
          <w:sz w:val="44"/>
        </w:rPr>
        <w:t>CONTEXTO TÉCNICO E DIRETRIZES DE ARQUITETURA</w:t>
      </w:r>
    </w:p>
    <w:p>
      <w:pPr>
        <w:spacing w:after="480"/>
        <w:jc w:val="center"/>
      </w:pPr>
      <w:r>
        <w:rPr>
          <w:rFonts w:ascii="Calibri" w:hAnsi="Calibri"/>
          <w:i/>
          <w:color w:val="FF5722"/>
          <w:sz w:val="28"/>
        </w:rPr>
        <w:t>Ecossistema Cyberfísico de Ativações – Huawei Intersolar South America 2026</w:t>
      </w:r>
    </w:p>
    <w:p>
      <w:pPr>
        <w:spacing w:after="240" w:line="276" w:lineRule="auto"/>
      </w:pPr>
      <w:r>
        <w:t>Este documento consolida as diretrizes técnicas de infraestrutura e desenvolvimento para o ecossistema cyberfísico do estande da Huawei na Intersolar South America 2026. Ele funciona como um documento complementar técnico ao escopo de conceito do evento, orientando os agentes do Antigravity no desenvolvimento integrado de microsserviços, sensores, banco de dados e saídas visuais imersivas.</w:t>
      </w:r>
    </w:p>
    <w:p>
      <w:pPr>
        <w:keepNext/>
        <w:spacing w:before="360" w:after="120"/>
      </w:pPr>
      <w:r>
        <w:rPr>
          <w:rFonts w:ascii="Calibri" w:hAnsi="Calibri"/>
          <w:b/>
          <w:color w:val="00B050"/>
          <w:sz w:val="28"/>
        </w:rPr>
        <w:t>1. Infraestrutura de Rede Local (On-Premise)</w:t>
      </w:r>
    </w:p>
    <w:p>
      <w:pPr>
        <w:spacing w:after="120"/>
      </w:pPr>
      <w:r>
        <w:t>O estande operará sob uma rede privada local de baixíssima latência e alta resiliência, projetada para absorver o tráfego contínuo de sensores e evitar ruído de redes externas do pavilhão. As especificações incluem:</w:t>
      </w:r>
    </w:p>
    <w:p>
      <w:pPr>
        <w:pStyle w:val="ListBullet"/>
        <w:spacing w:after="60"/>
      </w:pPr>
      <w:r>
        <w:rPr>
          <w:b/>
        </w:rPr>
        <w:t xml:space="preserve">Conectividade: </w:t>
      </w:r>
      <w:r>
        <w:t>Uso de roteador Wi-Fi 6 industrial (para sensores sem fio) e switch gigabit gerenciável para cabeamento Ethernet dedicado (ligando Mini-PCs, painéis de LED, computador Resolume e servidores locais).</w:t>
      </w:r>
    </w:p>
    <w:p>
      <w:pPr>
        <w:pStyle w:val="ListBullet"/>
        <w:spacing w:after="60"/>
      </w:pPr>
      <w:r>
        <w:rPr>
          <w:b/>
        </w:rPr>
        <w:t xml:space="preserve">Endereçamento Estático: </w:t>
      </w:r>
      <w:r>
        <w:t>Cada estação física de ativação (Bike Energy 1, Bike Energy 2, Fast Feet, Gerador de Energia/Manivela, Resolume Bridge e Displays Locais) deve possuir um IP estático configurado no switch/DHCP binding para garantir o roteamento imediato de sockets e pacotes MQTT/OSC.</w:t>
      </w:r>
    </w:p>
    <w:p>
      <w:pPr>
        <w:pStyle w:val="ListBullet"/>
        <w:spacing w:after="60"/>
      </w:pPr>
      <w:r>
        <w:rPr>
          <w:b/>
        </w:rPr>
        <w:t xml:space="preserve">Isolamento de Tráfego: </w:t>
      </w:r>
      <w:r>
        <w:t>Implementação de VLAN dedicada para comunicação crítica IoT (MQTT e OSC), isolando o tráfego de controle do tráfego corporativo ou de internet pública do estande.</w:t>
      </w:r>
    </w:p>
    <w:p>
      <w:pPr>
        <w:keepNext/>
        <w:spacing w:before="360" w:after="120"/>
      </w:pPr>
      <w:r>
        <w:rPr>
          <w:rFonts w:ascii="Calibri" w:hAnsi="Calibri"/>
          <w:b/>
          <w:color w:val="00B050"/>
          <w:sz w:val="28"/>
        </w:rPr>
        <w:t>2. Protocolo de Comunicação de Sensores (MQTT)</w:t>
      </w:r>
    </w:p>
    <w:p>
      <w:pPr>
        <w:spacing w:after="120"/>
      </w:pPr>
      <w:r>
        <w:t>Os microcontroladores ESP32 acoplados às ativações físicas transmitirão telemetria em tempo real para o broker MQTT local. Cada dispositivo publicará em um tópico estruturado:</w:t>
      </w:r>
    </w:p>
    <w:p>
      <w:pPr>
        <w:pStyle w:val="ListBullet"/>
        <w:spacing w:after="120"/>
      </w:pPr>
      <w:r>
        <w:rPr>
          <w:b/>
        </w:rPr>
        <w:t xml:space="preserve">Estrutura de Tópicos: </w:t>
      </w:r>
      <w:r>
        <w:t>huawei/ativação/&lt;nome_da_ativação&gt; (Exemplo: huawei/ativação/bike_01)</w:t>
      </w:r>
    </w:p>
    <w:p>
      <w:pPr>
        <w:spacing w:before="80" w:after="40"/>
      </w:pPr>
      <w:r>
        <w:rPr>
          <w:i/>
        </w:rPr>
        <w:t>Modelo de Payload JSON (Exemplo: Bike Energy):</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20" w:after="120"/>
            </w:pPr>
            <w:r>
              <w:rPr>
                <w:rFonts w:ascii="Consolas" w:hAnsi="Consolas"/>
                <w:color w:val="212121"/>
                <w:sz w:val="19"/>
              </w:rPr>
              <w:t>{</w:t>
              <w:br/>
              <w:t xml:space="preserve">  "ativação": "bike_01",</w:t>
              <w:br/>
              <w:t xml:space="preserve">  "cadencia": 90,</w:t>
              <w:br/>
              <w:t xml:space="preserve">  "energia_acumulada": 450,</w:t>
              <w:br/>
              <w:t xml:space="preserve">  "timestamp": 1782313400</w:t>
              <w:br/>
              <w:t>}</w:t>
            </w:r>
          </w:p>
        </w:tc>
      </w:tr>
    </w:tbl>
    <w:p>
      <w:pPr>
        <w:spacing w:before="160" w:after="120"/>
      </w:pPr>
      <w:r>
        <w:t xml:space="preserve">Para a ativação </w:t>
      </w:r>
      <w:r>
        <w:rPr>
          <w:b/>
        </w:rPr>
        <w:t>Fast Feet</w:t>
      </w:r>
      <w:r>
        <w:t xml:space="preserve">, os sensores nos pisos de pressão enviarão o contador de impulsos e intensidade via: </w:t>
      </w:r>
      <w:r>
        <w:rPr>
          <w:i/>
        </w:rPr>
        <w:t>huawei/ativação/fast_feet</w:t>
      </w:r>
      <w:r>
        <w:t>.</w:t>
      </w:r>
    </w:p>
    <w:p>
      <w:pPr>
        <w:keepNext/>
        <w:spacing w:before="360" w:after="120"/>
      </w:pPr>
      <w:r>
        <w:rPr>
          <w:rFonts w:ascii="Calibri" w:hAnsi="Calibri"/>
          <w:b/>
          <w:color w:val="00B050"/>
          <w:sz w:val="28"/>
        </w:rPr>
        <w:t>3. Backend, Message Broker e Gerenciamento de Estado</w:t>
      </w:r>
    </w:p>
    <w:p>
      <w:pPr>
        <w:spacing w:after="120"/>
      </w:pPr>
      <w:r>
        <w:t>O backend central baseado em NestJS gerenciará a lógica de negócios, a orquestração de eventos e a persistência dos dados. Suas atribuições principais englobam:</w:t>
      </w:r>
    </w:p>
    <w:p>
      <w:pPr>
        <w:pStyle w:val="ListBullet"/>
        <w:spacing w:after="60"/>
      </w:pPr>
      <w:r>
        <w:rPr>
          <w:b/>
        </w:rPr>
        <w:t xml:space="preserve">Message Broker &amp; Gateway: </w:t>
      </w:r>
      <w:r>
        <w:t>O NestJS assinará os tópicos MQTT do broker local (como Mosquitto) e atuará como gateway central de processamento. Ao receber os dados brutos, ele aplicará as regras de validação e regras de negócio da jornada.</w:t>
      </w:r>
    </w:p>
    <w:p>
      <w:pPr>
        <w:pStyle w:val="ListBullet"/>
        <w:spacing w:after="60"/>
      </w:pPr>
      <w:r>
        <w:rPr>
          <w:b/>
        </w:rPr>
        <w:t xml:space="preserve">Eventos Real-time (Socket.io): </w:t>
      </w:r>
      <w:r>
        <w:t>O backend converterá os eventos de telemetria em tempo real e emitirá atualizações via Socket.io (WebSocket) diretamente para os clientes front-end (painéis de LED das ativações locais e painéis gerais).</w:t>
      </w:r>
    </w:p>
    <w:p>
      <w:pPr>
        <w:pStyle w:val="ListBullet"/>
        <w:spacing w:after="60"/>
      </w:pPr>
      <w:r>
        <w:rPr>
          <w:b/>
        </w:rPr>
        <w:t xml:space="preserve">Persistência (PostgreSQL &amp; Prisma): </w:t>
      </w:r>
      <w:r>
        <w:t>Os cadastros dos participantes, histórico consolidado de partidas, brindes resgatados e log de atividades de CRM serão gravados no banco PostgreSQL estruturado utilizando o Prisma ORM.</w:t>
      </w:r>
    </w:p>
    <w:p>
      <w:pPr>
        <w:pStyle w:val="ListBullet"/>
        <w:spacing w:after="60"/>
      </w:pPr>
      <w:r>
        <w:rPr>
          <w:b/>
        </w:rPr>
        <w:t xml:space="preserve">Leaderboard &amp; Cache de Estado (Redis): </w:t>
      </w:r>
      <w:r>
        <w:t>Redis será empregado como o motor de ranking em tempo real (Sorted Sets) e cache de estado das sessões ativas das bicicletas e pisos, fornecendo tempos de resposta inferiores a 2ms para os painéis de competição global.</w:t>
      </w:r>
    </w:p>
    <w:p>
      <w:pPr>
        <w:keepNext/>
        <w:spacing w:before="360" w:after="120"/>
      </w:pPr>
      <w:r>
        <w:rPr>
          <w:rFonts w:ascii="Calibri" w:hAnsi="Calibri"/>
          <w:b/>
          <w:color w:val="00B050"/>
          <w:sz w:val="28"/>
        </w:rPr>
        <w:t>4. Integração Visual Imersiva com Resolume (Bridge OSC)</w:t>
      </w:r>
    </w:p>
    <w:p>
      <w:pPr>
        <w:spacing w:after="120"/>
      </w:pPr>
      <w:r>
        <w:t>Para assegurar que as telas de LED gigantes reflitam instantaneamente a emoção física dos participantes, haverá uma ponte de sinal entre o NestJS e o software Resolume Arena:</w:t>
      </w:r>
    </w:p>
    <w:p>
      <w:pPr>
        <w:pStyle w:val="ListBullet"/>
        <w:spacing w:after="60"/>
      </w:pPr>
      <w:r>
        <w:rPr>
          <w:b/>
        </w:rPr>
        <w:t xml:space="preserve">Arquitetura de Bridge: </w:t>
      </w:r>
      <w:r>
        <w:t>Um serviço bridge interno (NestJS OSC Service) escutará canais de publicação do Redis (Redis Pub/Sub). A cada mudança notável na performance das ativações, a ponte transmitirá pacotes UDP contendo comandos OSC.</w:t>
      </w:r>
    </w:p>
    <w:p>
      <w:pPr>
        <w:pStyle w:val="ListBullet"/>
        <w:spacing w:after="60"/>
      </w:pPr>
      <w:r>
        <w:rPr>
          <w:b/>
        </w:rPr>
        <w:t xml:space="preserve">Porta de Escuta: </w:t>
      </w:r>
      <w:r>
        <w:t>O computador dedicado que roda o Resolume Arena estará conectado na mesma sub-rede, configurado para escutar comandos OSC na porta 7000 (ou similar definida em configuração).</w:t>
      </w:r>
    </w:p>
    <w:p>
      <w:pPr>
        <w:pStyle w:val="ListBullet"/>
        <w:spacing w:after="60"/>
      </w:pPr>
      <w:r>
        <w:rPr>
          <w:b/>
        </w:rPr>
        <w:t xml:space="preserve">Endereçamento de Comandos OSC: </w:t>
      </w:r>
      <w:r>
        <w:t>Gatilhos estruturados mapeados no painel de controle do Resolume. Exemplo:</w:t>
        <w:br/>
        <w:t xml:space="preserve">  • /composition/layers/1/clips/1/connect -&gt; Ativa animação base de fundo.</w:t>
        <w:br/>
        <w:t xml:space="preserve">  • /activeclip/video/position/values -&gt; Controla o avanço e rotação do anel de energia proporcionalmente ao esforço acumulado (0.0 a 1.0).</w:t>
        <w:br/>
        <w:t xml:space="preserve">  • /composition/columns/3/connect -&gt; Dispara o efeito de comemoração de recorde (Meta Atingida).</w:t>
      </w:r>
    </w:p>
    <w:p>
      <w:pPr>
        <w:pStyle w:val="ListBullet"/>
        <w:spacing w:after="60"/>
      </w:pPr>
      <w:r>
        <w:rPr>
          <w:b/>
        </w:rPr>
        <w:t xml:space="preserve">Mapeamento NDI: </w:t>
      </w:r>
      <w:r>
        <w:t>Os displays locais renderizarão a tela em tempo real via HTML5/Vite, podendo também disponibilizar streams NDI na rede local para monitoramento ou retransmissão direta nas mesas de controle visual.</w:t>
      </w:r>
    </w:p>
    <w:p>
      <w:pPr>
        <w:keepNext/>
        <w:spacing w:before="360" w:after="120"/>
      </w:pPr>
      <w:r>
        <w:rPr>
          <w:rFonts w:ascii="Calibri" w:hAnsi="Calibri"/>
          <w:b/>
          <w:color w:val="00B050"/>
          <w:sz w:val="28"/>
        </w:rPr>
        <w:t>5. Arquitetura de Ativação 'Key Pass'</w:t>
      </w:r>
    </w:p>
    <w:p>
      <w:pPr>
        <w:spacing w:after="120"/>
      </w:pPr>
      <w:r>
        <w:t xml:space="preserve">O visitante iniciará sua jornada no estande gerando um </w:t>
      </w:r>
      <w:r>
        <w:rPr>
          <w:b/>
        </w:rPr>
        <w:t>Key Pass</w:t>
      </w:r>
      <w:r>
        <w:t xml:space="preserve"> digital (NFC na Apple/Google Wallet ou um QR Code dinâmico na tela de cadastro):</w:t>
      </w:r>
    </w:p>
    <w:p>
      <w:pPr>
        <w:pStyle w:val="ListBullet"/>
        <w:spacing w:after="60"/>
      </w:pPr>
      <w:r>
        <w:rPr>
          <w:b/>
        </w:rPr>
        <w:t xml:space="preserve">Vinculação de Identidade: </w:t>
      </w:r>
      <w:r>
        <w:t>Nas ativações físicas, o visitante aproxima o celular no leitor NFC/QR Code do totem de entrada. O backend valida a sessão e vincula o ID do participante àquela rodada da ativação específica (Ex: Bike Energy, Raia 1).</w:t>
      </w:r>
    </w:p>
    <w:p>
      <w:pPr>
        <w:pStyle w:val="ListBullet"/>
        <w:spacing w:after="60"/>
      </w:pPr>
      <w:r>
        <w:rPr>
          <w:b/>
        </w:rPr>
        <w:t xml:space="preserve">Sincronização de Estado: </w:t>
      </w:r>
      <w:r>
        <w:t>Ao pedalar ou pular, os sensores do ESP32 mandam dados associados ao ID vinculado. O backend acumula os scores em tempo real e calcula conquistas e o ranking instantâneo.</w:t>
      </w:r>
    </w:p>
    <w:p>
      <w:pPr>
        <w:pStyle w:val="ListBullet"/>
        <w:spacing w:after="60"/>
      </w:pPr>
      <w:r>
        <w:rPr>
          <w:b/>
        </w:rPr>
        <w:t xml:space="preserve">Resgate Inteligente de Brindes: </w:t>
      </w:r>
      <w:r>
        <w:t>Ao cumprir as metas das ativações, a informação de elegibilidade do brinde (ex: Chaveiro BESS) é atualizada no perfil do visitante. O participante apresenta o Key Pass no totem central de distribuição de brindes, o atendente faz a leitura e o sistema registra e debita o prêmio do estoque.</w:t>
      </w:r>
    </w:p>
    <w:p>
      <w:pPr>
        <w:keepNext/>
        <w:spacing w:before="360" w:after="120"/>
      </w:pPr>
      <w:r>
        <w:rPr>
          <w:rFonts w:ascii="Calibri" w:hAnsi="Calibri"/>
          <w:b/>
          <w:color w:val="00B050"/>
          <w:sz w:val="28"/>
        </w:rPr>
        <w:t>6. Neuromarketing, Gamificação e Experiência do Visitante (UX)</w:t>
      </w:r>
    </w:p>
    <w:p>
      <w:pPr>
        <w:spacing w:after="120"/>
      </w:pPr>
      <w:r>
        <w:t>O sistema empregará gatilhos cognitivos e de neuromarketing para estimular o engajamento, utilizando a stack para viabilizar esses fluxos:</w:t>
      </w:r>
    </w:p>
    <w:p>
      <w:pPr>
        <w:pStyle w:val="ListBullet"/>
        <w:spacing w:after="60"/>
      </w:pPr>
      <w:r>
        <w:rPr>
          <w:b/>
        </w:rPr>
        <w:t xml:space="preserve">Dopamine Loop (Progresso Visual): </w:t>
      </w:r>
      <w:r>
        <w:t>As barras de energia e displays de LEDs devem responder com latência baixíssima (&lt;50ms). A sensação física de que o pedalar/pular acende a luz de forma imediata maximiza o feedback neurológico positivo.</w:t>
      </w:r>
    </w:p>
    <w:p>
      <w:pPr>
        <w:pStyle w:val="ListBullet"/>
        <w:spacing w:after="60"/>
      </w:pPr>
      <w:r>
        <w:rPr>
          <w:b/>
        </w:rPr>
        <w:t xml:space="preserve">FOMO (Fear of Missing Out): </w:t>
      </w:r>
      <w:r>
        <w:t>O ranking dinâmico em tempo real exibido nos telões principais do estande cria visibilidade sobre os melhores desempenhos, estimulando a competitividade e incentivando outros visitantes a se cadastrar e participar.</w:t>
      </w:r>
    </w:p>
    <w:p>
      <w:pPr>
        <w:pStyle w:val="ListBullet"/>
        <w:spacing w:after="60"/>
      </w:pPr>
      <w:r>
        <w:rPr>
          <w:b/>
        </w:rPr>
        <w:t xml:space="preserve">Fechamento Socrático: </w:t>
      </w:r>
      <w:r>
        <w:t>Em vez de apenas exibir 'Fim', o display local mostrará o impacto sustentável gerado pelo usuário traduzido em dados reais (ex: 'Sua energia acumulada poderia ligar uma geladeira por 3 horas' ou 'Sua corrida alimentaria o BESS de uma casa por 1 dia'). Isso confere significado ecológico imediato à ação.</w:t>
      </w:r>
    </w:p>
    <w:p>
      <w:pPr>
        <w:pStyle w:val="ListBullet"/>
        <w:spacing w:after="60"/>
      </w:pPr>
      <w:r>
        <w:rPr>
          <w:b/>
        </w:rPr>
        <w:t xml:space="preserve">Identidade Visual Cyberpunk/Clean: </w:t>
      </w:r>
      <w:r>
        <w:t>A interface utiliza uma estética cyberpunk adaptada à marca. Elementos com efeito fosco e translúcido (glassmorphism), fundos escuros e detalhes neon nas cores Emerald Green (geração/sustentabilidade) e Cyberpunk Orange (armazenamento BESS/energia solar) criam um design moderno e elegante.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