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</w:rPr>
        <w:drawing>
          <wp:inline distB="114300" distT="114300" distL="114300" distR="114300">
            <wp:extent cx="5943600" cy="303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425"/>
        <w:tblGridChange w:id="0">
          <w:tblGrid>
            <w:gridCol w:w="196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línea horizontal" id="1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5200c"/>
        </w:rPr>
      </w:pPr>
      <w:bookmarkStart w:colFirst="0" w:colLast="0" w:name="_2gazcsgmxkub" w:id="0"/>
      <w:bookmarkEnd w:id="0"/>
      <w:r w:rsidDel="00000000" w:rsidR="00000000" w:rsidRPr="00000000">
        <w:rPr>
          <w:color w:val="85200c"/>
          <w:rtl w:val="0"/>
        </w:rPr>
        <w:t xml:space="preserve">Acta de reunión</w:t>
      </w:r>
    </w:p>
    <w:p w:rsidR="00000000" w:rsidDel="00000000" w:rsidP="00000000" w:rsidRDefault="00000000" w:rsidRPr="00000000" w14:paraId="0000001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Miércoles</w:t>
      </w:r>
      <w:r w:rsidDel="00000000" w:rsidR="00000000" w:rsidRPr="00000000">
        <w:rPr>
          <w:rtl w:val="0"/>
        </w:rPr>
        <w:t xml:space="preserve">, 16/10/2024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 horas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Sevilla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85200c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5200c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bookmarkStart w:colFirst="0" w:colLast="0" w:name="_pmazbh81wixz" w:id="2"/>
      <w:bookmarkEnd w:id="2"/>
      <w:r w:rsidDel="00000000" w:rsidR="00000000" w:rsidRPr="00000000">
        <w:rPr>
          <w:color w:val="ff0000"/>
          <w:rtl w:val="0"/>
        </w:rPr>
        <w:t xml:space="preserve">Asistentes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Jesús Torres Valderramas, patrocinador del proyecto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Equipo del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Germán Ojeda Garrido, director de proyecto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Fernando José de Celis Hurtado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David Godoy Fernández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3"/>
      <w:bookmarkEnd w:id="3"/>
      <w:r w:rsidDel="00000000" w:rsidR="00000000" w:rsidRPr="00000000">
        <w:rPr>
          <w:color w:val="ff0000"/>
          <w:rtl w:val="0"/>
        </w:rPr>
        <w:t xml:space="preserve">Orden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Revisión del estado actual del proyecto.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Cuestiones y preguntas al patrocinador.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Explicación y definición de próximos pasos.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Preguntas y comentarios del patrocinador.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Cierre de la reunión.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izh0w05mz75r" w:id="4"/>
      <w:bookmarkEnd w:id="4"/>
      <w:r w:rsidDel="00000000" w:rsidR="00000000" w:rsidRPr="00000000">
        <w:rPr>
          <w:color w:val="ff0000"/>
          <w:rtl w:val="0"/>
        </w:rPr>
        <w:t xml:space="preserve">Desarrollo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preguntó la forma en la que se debía desarrollar e implementar los métodos de pagos, en especial el formato de pago contra reembolso.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El patrocinador dijo que se tuviera en cuenta los distintos métodos de pago, incluido el pago contra reembolso, adaptándolo al dominio del problema.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El Equipo de Dirección de Proyecto decidió excluir el pago contra reembolso al no encajar con el dominio del problema, teniéndolo que añadir a la lista de exclusiones en el Acta de Constitución.</w:t>
      </w:r>
    </w:p>
    <w:p w:rsidR="00000000" w:rsidDel="00000000" w:rsidP="00000000" w:rsidRDefault="00000000" w:rsidRPr="00000000" w14:paraId="0000002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84yajcu17v" w:id="5"/>
      <w:bookmarkEnd w:id="5"/>
      <w:r w:rsidDel="00000000" w:rsidR="00000000" w:rsidRPr="00000000">
        <w:rPr>
          <w:color w:val="ff0000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Acta de Constitución.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 más asuntos que tratar, se levanta la sesión a las 10:20 p.m.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Jesús Torres Valderramas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Germán Ojeda Garrido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Fernando José de Celis Hurtado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David Godoy Fernández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