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23/10/2024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Identificación y corrección de errores de documentos ya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Distribución de los documentos a realizar en esta entrega.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debatió la estructura idónea de la EDT, y se creó la primera versión del diccionario de la EDT.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estudiaron los requisitos para definir el alcance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y Pablo rellenarán el Diccionario de la EDT.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elaborará la EDT.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Germán redactará el Plan de Gestión del Alcance.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realizará el Enunciado del Alcance.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14:00 p.m.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