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30/10/2024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Estudio de los precios y presupuestos para elaborar los documentos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Distribución de los documentos a realizar en esta entrega.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analizó los costes del desarrollo del proyecto y se ajustó al presupuesto, y se identificó los documentos a realizar para dividir la carga de trabajo, creando de cada uno la plantilla con sus respectivas portadas.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planificó la creación del cronograma en MS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y Pablo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el Plan de Gestión de Recursos.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se encargará del Plan de Gestión de Costes.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Germán redactará el Plan de Gestión de Adquisiciones.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realizará la Matriz de Asignación de Responsabilidades.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forma conjunta se elaborará el cronograma en MS Project.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14:00 p.m.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