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48"/>
          <w:szCs w:val="48"/>
        </w:rPr>
        <w:t xml:space="preserve">INFORME METODOLÓGICO</w:t>
      </w:r>
    </w:p>
    <w:p>
      <w:pPr>
        <w:spacing w:after="400"/>
      </w:pPr>
    </w:p>
    <w:p>
      <w:pPr>
        <w:jc w:val="center"/>
      </w:pPr>
      <w:r>
        <w:rPr>
          <w:color w:val="2E5090"/>
          <w:sz w:val="36"/>
          <w:szCs w:val="36"/>
        </w:rPr>
        <w:t xml:space="preserve">Predictor de Ancestralidad Biogeográfica</w:t>
      </w:r>
    </w:p>
    <w:p>
      <w:pPr>
        <w:jc w:val="center"/>
      </w:pPr>
      <w:r>
        <w:rPr>
          <w:color w:val="3D6098"/>
          <w:sz w:val="28"/>
          <w:szCs w:val="28"/>
        </w:rPr>
        <w:t xml:space="preserve">Basado en Marcadores AIMs</w:t>
      </w:r>
    </w:p>
    <w:p>
      <w:pPr>
        <w:spacing w:before="1500"/>
      </w:pPr>
    </w:p>
    <w:p>
      <w:pPr>
        <w:jc w:val="center"/>
      </w:pPr>
      <w:r>
        <w:rPr>
          <w:sz w:val="24"/>
          <w:szCs w:val="24"/>
        </w:rPr>
        <w:t xml:space="preserve">Aplicaciones de Inteligencia Artificial</w:t>
      </w:r>
    </w:p>
    <w:p>
      <w:pPr>
        <w:jc w:val="center"/>
      </w:pPr>
      <w:r>
        <w:rPr>
          <w:sz w:val="24"/>
          <w:szCs w:val="24"/>
        </w:rPr>
        <w:t xml:space="preserve">en Biología Forense</w:t>
      </w:r>
    </w:p>
    <w:p>
      <w:pPr>
        <w:spacing w:before="1000"/>
      </w:pPr>
    </w:p>
    <w:p>
      <w:pPr>
        <w:jc w:val="center"/>
      </w:pPr>
      <w:r>
        <w:rPr>
          <w:color w:val="666666"/>
          <w:sz w:val="22"/>
          <w:szCs w:val="22"/>
        </w:rPr>
        <w:t xml:space="preserve">Enero 2025</w:t>
      </w:r>
    </w:p>
    <w:p>
      <w:r>
        <w:br w:type="page"/>
      </w:r>
    </w:p>
    <w:p>
      <w:pPr>
        <w:pStyle w:val="Heading1"/>
      </w:pPr>
      <w:r>
        <w:t xml:space="preserve">1. Resumen Ejecutivo</w:t>
      </w:r>
    </w:p>
    <w:p>
      <w:pPr>
        <w:spacing w:after="200" w:line="276"/>
        <w:jc w:val="both"/>
      </w:pPr>
      <w:r>
        <w:rPr>
          <w:sz w:val="24"/>
          <w:szCs w:val="24"/>
        </w:rPr>
        <w:t xml:space="preserve">El presente documento describe la metodología utilizada para desarrollar un sistema de predicción de ancestralidad biogeográfica (BGA) basado en marcadores genéticos informativos de ancestralidad (AIMs). El sistema emplea técnicas de aprendizaje automático para clasificar muestras de ADN en cinco grupos poblacionales continentales.</w:t>
      </w:r>
    </w:p>
    <w:p>
      <w:pPr>
        <w:spacing w:after="200" w:line="276"/>
        <w:jc w:val="both"/>
      </w:pPr>
      <w:r>
        <w:rPr>
          <w:b/>
          <w:bCs/>
          <w:sz w:val="24"/>
          <w:szCs w:val="24"/>
        </w:rPr>
        <w:t xml:space="preserve">Resultados principales: </w:t>
      </w:r>
      <w:r>
        <w:rPr>
          <w:sz w:val="24"/>
          <w:szCs w:val="24"/>
        </w:rPr>
        <w:t xml:space="preserve">Se logró una precisión del 96.6% en validación cruzada utilizando un clasificador Random Forest con 30 marcadores AIMs. El modelo fue entrenado con 1,500 muestras sintéticas generadas a partir de frecuencias alélicas reales publicadas en el 1000 Genomes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Parámetro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Valor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Marcadores 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30 SNPs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Poblaciones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 (AFR, EUR, EAS, SAS, AMR)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Muestras entrenamiento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Algoritmo seleccionado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Random Forest (200 árboles)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Precisión (CV 5-fold)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96.58%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Precisión (Test)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96.67%</w:t>
            </w:r>
          </w:p>
        </w:tc>
      </w:tr>
    </w:tbl>
    <w:p>
      <w:pPr>
        <w:spacing w:after="300"/>
      </w:pPr>
    </w:p>
    <w:p>
      <w:pPr>
        <w:pStyle w:val="Heading1"/>
      </w:pPr>
      <w:r>
        <w:t xml:space="preserve">2. Introducción</w:t>
      </w:r>
    </w:p>
    <w:p>
      <w:pPr>
        <w:pStyle w:val="Heading2"/>
      </w:pPr>
      <w:r>
        <w:t xml:space="preserve">2.1 Contexto y Motivación</w:t>
      </w:r>
    </w:p>
    <w:p>
      <w:pPr>
        <w:spacing w:after="200" w:line="276"/>
        <w:jc w:val="both"/>
      </w:pPr>
      <w:r>
        <w:rPr>
          <w:sz w:val="24"/>
          <w:szCs w:val="24"/>
        </w:rPr>
        <w:t xml:space="preserve">La predicción de ancestralidad biogeográfica es una herramienta de creciente importancia en genética forense. Cuando se dispone de ADN de una escena del crimen pero no existe coincidencia en las bases de datos policiales (como CODIS), la estimación del origen geográfico ancestral del donante puede proporcionar pistas investigativas valiosas.</w:t>
      </w:r>
    </w:p>
    <w:p>
      <w:pPr>
        <w:spacing w:after="200" w:line="276"/>
        <w:jc w:val="both"/>
      </w:pPr>
      <w:r>
        <w:rPr>
          <w:sz w:val="24"/>
          <w:szCs w:val="24"/>
        </w:rPr>
        <w:t xml:space="preserve">A diferencia de la identificación por STRs, que busca coincidencias exactas, la predicción de BGA estima probabilidades de pertenencia a grupos poblacionales. Esto permite orientar investigaciones cuando no hay sospechosos identificados.</w:t>
      </w:r>
    </w:p>
    <w:p>
      <w:pPr>
        <w:pStyle w:val="Heading2"/>
      </w:pPr>
      <w:r>
        <w:t xml:space="preserve">2.2 Objetivos</w:t>
      </w:r>
    </w:p>
    <w:p>
      <w:pPr>
        <w:spacing w:after="200" w:line="276"/>
        <w:jc w:val="both"/>
      </w:pPr>
      <w:r>
        <w:rPr>
          <w:b/>
          <w:bCs/>
          <w:sz w:val="24"/>
          <w:szCs w:val="24"/>
        </w:rPr>
        <w:t xml:space="preserve">Objetivo principal: </w:t>
      </w:r>
      <w:r>
        <w:rPr>
          <w:sz w:val="24"/>
          <w:szCs w:val="24"/>
        </w:rPr>
        <w:t xml:space="preserve">Desarrollar un prototipo funcional de predictor de ancestralidad biogeográfica con fines educativos y demostrativos para formación en biología forense.</w:t>
      </w:r>
    </w:p>
    <w:p>
      <w:pPr>
        <w:spacing w:after="200" w:line="276"/>
        <w:jc w:val="both"/>
      </w:pPr>
      <w:r>
        <w:rPr>
          <w:sz w:val="24"/>
          <w:szCs w:val="24"/>
        </w:rPr>
        <w:t xml:space="preserve">Objetivos específicos:</w:t>
      </w:r>
    </w:p>
    <w:p>
      <w:pPr>
        <w:spacing w:after="200" w:line="276"/>
        <w:jc w:val="both"/>
      </w:pPr>
      <w:r>
        <w:rPr>
          <w:sz w:val="24"/>
          <w:szCs w:val="24"/>
        </w:rPr>
        <w:t xml:space="preserve">• Implementar un generador de datos sintéticos basado en frecuencias alélicas reales</w:t>
      </w:r>
    </w:p>
    <w:p>
      <w:pPr>
        <w:spacing w:after="200" w:line="276"/>
        <w:jc w:val="both"/>
      </w:pPr>
      <w:r>
        <w:rPr>
          <w:sz w:val="24"/>
          <w:szCs w:val="24"/>
        </w:rPr>
        <w:t xml:space="preserve">• Comparar múltiples algoritmos de clasificación</w:t>
      </w:r>
    </w:p>
    <w:p>
      <w:pPr>
        <w:spacing w:after="200" w:line="276"/>
        <w:jc w:val="both"/>
      </w:pPr>
      <w:r>
        <w:rPr>
          <w:sz w:val="24"/>
          <w:szCs w:val="24"/>
        </w:rPr>
        <w:t xml:space="preserve">• Crear una interfaz interactiva para demostración</w:t>
      </w:r>
    </w:p>
    <w:p>
      <w:pPr>
        <w:spacing w:after="200" w:line="276"/>
        <w:jc w:val="both"/>
      </w:pPr>
      <w:r>
        <w:rPr>
          <w:sz w:val="24"/>
          <w:szCs w:val="24"/>
        </w:rPr>
        <w:t xml:space="preserve">• Documentar la metodología de forma reproducible</w:t>
      </w:r>
    </w:p>
    <w:p>
      <w:r>
        <w:br w:type="page"/>
      </w:r>
    </w:p>
    <w:p>
      <w:pPr>
        <w:pStyle w:val="Heading1"/>
      </w:pPr>
      <w:r>
        <w:t xml:space="preserve">3. Marco Teórico</w:t>
      </w:r>
    </w:p>
    <w:p>
      <w:pPr>
        <w:pStyle w:val="Heading2"/>
      </w:pPr>
      <w:r>
        <w:t xml:space="preserve">3.1 Marcadores Informativos de Ancestralidad (AIMs)</w:t>
      </w:r>
    </w:p>
    <w:p>
      <w:pPr>
        <w:spacing w:after="200" w:line="276"/>
        <w:jc w:val="both"/>
      </w:pPr>
      <w:r>
        <w:rPr>
          <w:sz w:val="24"/>
          <w:szCs w:val="24"/>
        </w:rPr>
        <w:t xml:space="preserve">Los AIMs (Ancestry Informative Markers) son variantes genéticas, típicamente polimorfismos de un solo nucleótido (SNPs), que presentan frecuencias alélicas significativamente diferentes entre poblaciones de distintos orígenes geográficos.</w:t>
      </w:r>
    </w:p>
    <w:p>
      <w:pPr>
        <w:spacing w:after="200" w:line="276"/>
        <w:jc w:val="both"/>
      </w:pPr>
      <w:r>
        <w:rPr>
          <w:sz w:val="24"/>
          <w:szCs w:val="24"/>
        </w:rPr>
        <w:t xml:space="preserve">Por ejemplo, el marcador rs2814778 (gen DARC/Duffy) presenta una frecuencia del alelo menor cercana al 99% en poblaciones africanas, pero menor al 5% en poblaciones europeas y asiáticas. Esta diferencia dramática lo convierte en un marcador altamente informativo para distinguir ancestralidad africana.</w:t>
      </w:r>
    </w:p>
    <w:p>
      <w:pPr>
        <w:spacing w:after="200" w:line="276"/>
        <w:jc w:val="both"/>
      </w:pPr>
      <w:r>
        <w:rPr>
          <w:sz w:val="24"/>
          <w:szCs w:val="24"/>
        </w:rPr>
        <w:t xml:space="preserve">La selección de AIMs se basa típicamente en métricas como:</w:t>
      </w:r>
    </w:p>
    <w:p>
      <w:pPr>
        <w:spacing w:after="200" w:line="276"/>
        <w:jc w:val="both"/>
      </w:pPr>
      <w:r>
        <w:rPr>
          <w:sz w:val="24"/>
          <w:szCs w:val="24"/>
        </w:rPr>
        <w:t xml:space="preserve">• FST (índice de fijación): mide la diferenciación genética entre poblaciones</w:t>
      </w:r>
    </w:p>
    <w:p>
      <w:pPr>
        <w:spacing w:after="200" w:line="276"/>
        <w:jc w:val="both"/>
      </w:pPr>
      <w:r>
        <w:rPr>
          <w:sz w:val="24"/>
          <w:szCs w:val="24"/>
        </w:rPr>
        <w:t xml:space="preserve">• Informativeness (In): cuantifica la capacidad discriminatoria del marcador</w:t>
      </w:r>
    </w:p>
    <w:p>
      <w:pPr>
        <w:spacing w:after="200" w:line="276"/>
        <w:jc w:val="both"/>
      </w:pPr>
      <w:r>
        <w:rPr>
          <w:sz w:val="24"/>
          <w:szCs w:val="24"/>
        </w:rPr>
        <w:t xml:space="preserve">• Delta (δ): diferencia absoluta de frecuencias alélicas entre poblaciones</w:t>
      </w:r>
    </w:p>
    <w:p>
      <w:pPr>
        <w:pStyle w:val="Heading2"/>
      </w:pPr>
      <w:r>
        <w:t xml:space="preserve">3.2 Equilibrio Hardy-Weinberg</w:t>
      </w:r>
    </w:p>
    <w:p>
      <w:pPr>
        <w:spacing w:after="200" w:line="276"/>
        <w:jc w:val="both"/>
      </w:pPr>
      <w:r>
        <w:rPr>
          <w:sz w:val="24"/>
          <w:szCs w:val="24"/>
        </w:rPr>
        <w:t xml:space="preserve">Para la generación de genotipos sintéticos, se asume equilibrio Hardy-Weinberg (HWE), que establece las frecuencias genotípicas esperadas en una población ideal:</w:t>
      </w:r>
    </w:p>
    <w:p>
      <w:pPr>
        <w:spacing w:after="200" w:line="276"/>
        <w:jc w:val="both"/>
      </w:pPr>
      <w:r>
        <w:rPr>
          <w:sz w:val="24"/>
          <w:szCs w:val="24"/>
        </w:rPr>
        <w:t xml:space="preserve">• Frecuencia de homocigotos AA: q² (donde q = 1-p)</w:t>
      </w:r>
    </w:p>
    <w:p>
      <w:pPr>
        <w:spacing w:after="200" w:line="276"/>
        <w:jc w:val="both"/>
      </w:pPr>
      <w:r>
        <w:rPr>
          <w:sz w:val="24"/>
          <w:szCs w:val="24"/>
        </w:rPr>
        <w:t xml:space="preserve">• Frecuencia de heterocigotos Aa: 2pq</w:t>
      </w:r>
    </w:p>
    <w:p>
      <w:pPr>
        <w:spacing w:after="200" w:line="276"/>
        <w:jc w:val="both"/>
      </w:pPr>
      <w:r>
        <w:rPr>
          <w:sz w:val="24"/>
          <w:szCs w:val="24"/>
        </w:rPr>
        <w:t xml:space="preserve">• Frecuencia de homocigotos aa: p² (donde p = frecuencia del alelo menor)</w:t>
      </w:r>
    </w:p>
    <w:p>
      <w:pPr>
        <w:pStyle w:val="Heading2"/>
      </w:pPr>
      <w:r>
        <w:t xml:space="preserve">3.3 Poblaciones de Referencia</w:t>
      </w:r>
    </w:p>
    <w:p>
      <w:pPr>
        <w:spacing w:after="200" w:line="276"/>
        <w:jc w:val="both"/>
      </w:pPr>
      <w:r>
        <w:rPr>
          <w:sz w:val="24"/>
          <w:szCs w:val="24"/>
        </w:rPr>
        <w:t xml:space="preserve">El sistema clasifica muestras en cinco grupos poblacionales continentales, siguiendo la nomenclatura del 1000 Genomes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Código</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Población</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Regiones geográficas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AFR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Africana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África Subsahariana (Yoruba, Luhya, etc.)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Europea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Europa (CEU, GBR, FIN, IBS, TSI)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Este Asiática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China, Japón, Corea (CHB, JPT, CHS)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Sur Asiática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India, Pakistán, Bangladesh (GIH, PJL, BEB)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AMR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Americana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Latinoamérica mezclada (MXL, PUR, CLM, PEL)</w:t>
            </w:r>
          </w:p>
        </w:tc>
      </w:tr>
    </w:tbl>
    <w:p>
      <w:pPr>
        <w:spacing w:after="300"/>
      </w:pPr>
    </w:p>
    <w:p>
      <w:r>
        <w:br w:type="page"/>
      </w:r>
    </w:p>
    <w:p>
      <w:pPr>
        <w:pStyle w:val="Heading1"/>
      </w:pPr>
      <w:r>
        <w:t xml:space="preserve">4. Fuentes de Datos</w:t>
      </w:r>
    </w:p>
    <w:p>
      <w:pPr>
        <w:pStyle w:val="Heading2"/>
      </w:pPr>
      <w:r>
        <w:t xml:space="preserve">4.1 Frecuencias Alélicas de Referencia</w:t>
      </w:r>
    </w:p>
    <w:p>
      <w:pPr>
        <w:spacing w:after="200" w:line="276"/>
        <w:jc w:val="both"/>
      </w:pPr>
      <w:r>
        <w:rPr>
          <w:sz w:val="24"/>
          <w:szCs w:val="24"/>
        </w:rPr>
        <w:t xml:space="preserve">Las frecuencias alélicas utilizadas para generar los datos sintéticos provienen de fuentes públicas consolidadas en la literatura científica:</w:t>
      </w:r>
    </w:p>
    <w:p>
      <w:pPr>
        <w:spacing w:after="200" w:line="276"/>
        <w:jc w:val="both"/>
      </w:pPr>
      <w:r>
        <w:rPr>
          <w:b/>
          <w:bCs/>
          <w:sz w:val="24"/>
          <w:szCs w:val="24"/>
        </w:rPr>
        <w:t xml:space="preserve">1000 Genomes Project (Phase 3): </w:t>
      </w:r>
      <w:r>
        <w:rPr>
          <w:sz w:val="24"/>
          <w:szCs w:val="24"/>
        </w:rPr>
        <w:t xml:space="preserve">Proyecto de referencia que secuenció 2,504 individuos de 26 poblaciones mundiales. Proporciona frecuencias alélicas para millones de variantes genéticas. Los datos son de acceso público y han sido ampliamente validados.</w:t>
      </w:r>
    </w:p>
    <w:p>
      <w:pPr>
        <w:spacing w:after="200" w:line="276"/>
        <w:jc w:val="both"/>
      </w:pPr>
      <w:r>
        <w:rPr>
          <w:b/>
          <w:bCs/>
          <w:sz w:val="24"/>
          <w:szCs w:val="24"/>
        </w:rPr>
        <w:t xml:space="preserve">Estudios de paneles AIMs publicados: </w:t>
      </w:r>
      <w:r>
        <w:rPr>
          <w:sz w:val="24"/>
          <w:szCs w:val="24"/>
        </w:rPr>
        <w:t xml:space="preserve">Se consultaron las frecuencias reportadas en estudios de referencia como Kidd et al. (2014) con 55 AIMs, Phillips et al. (2007) con el panel SNPforID de 34 marcadores, y Seldin et al. (2006) con 128 AIMs.</w:t>
      </w:r>
    </w:p>
    <w:p>
      <w:pPr>
        <w:pStyle w:val="Heading2"/>
      </w:pPr>
      <w:r>
        <w:t xml:space="preserve">4.2 Panel de 30 Marcadores AIMs Seleccionados</w:t>
      </w:r>
    </w:p>
    <w:p>
      <w:pPr>
        <w:spacing w:after="200" w:line="276"/>
        <w:jc w:val="both"/>
      </w:pPr>
      <w:r>
        <w:rPr>
          <w:sz w:val="24"/>
          <w:szCs w:val="24"/>
        </w:rPr>
        <w:t xml:space="preserve">Se seleccionaron 30 SNPs con alta diferenciación interpoblacional. La siguiente tabla muestra los 10 marcadores más informativos con sus frecuencias alélicas por población: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Marcador</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AFR</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EUR</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EAS</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SAS</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AMR</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Gen/Función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rs2814778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DARC (Duffy)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rs1426654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SLC24A5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rs16891982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SLC45A2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rs3827760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EDAR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rs12913832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HERC2</w:t>
            </w:r>
          </w:p>
        </w:tc>
      </w:tr>
    </w:tbl>
    <w:p>
      <w:pPr>
        <w:spacing w:after="200"/>
      </w:pPr>
    </w:p>
    <w:p>
      <w:pPr>
        <w:spacing w:after="200" w:line="276"/>
        <w:jc w:val="both"/>
      </w:pPr>
      <w:r>
        <w:rPr>
          <w:sz w:val="24"/>
          <w:szCs w:val="24"/>
        </w:rPr>
        <w:t xml:space="preserve">Tabla parcial. El panel completo incluye 30 marcadores.</w:t>
      </w:r>
    </w:p>
    <w:p>
      <w:r>
        <w:br w:type="page"/>
      </w:r>
    </w:p>
    <w:p>
      <w:pPr>
        <w:pStyle w:val="Heading1"/>
      </w:pPr>
      <w:r>
        <w:t xml:space="preserve">5. Metodología</w:t>
      </w:r>
    </w:p>
    <w:p>
      <w:pPr>
        <w:pStyle w:val="Heading2"/>
      </w:pPr>
      <w:r>
        <w:t xml:space="preserve">5.1 Generación de Datos Sintéticos</w:t>
      </w:r>
    </w:p>
    <w:p>
      <w:pPr>
        <w:spacing w:after="200" w:line="276"/>
        <w:jc w:val="both"/>
      </w:pPr>
      <w:r>
        <w:rPr>
          <w:sz w:val="24"/>
          <w:szCs w:val="24"/>
        </w:rPr>
        <w:t xml:space="preserve">Dado que los datos genéticos individuales están protegidos por normativas de privacidad, se optó por generar datos sintéticos que replican las propiedades estadísticas de poblaciones reales. Este enfoque es válido para fines educativos y de demostración.</w:t>
      </w:r>
    </w:p>
    <w:p>
      <w:pPr>
        <w:pStyle w:val="Heading3"/>
      </w:pPr>
      <w:r>
        <w:t xml:space="preserve">5.1.1 Algoritmo de Generación</w:t>
      </w:r>
    </w:p>
    <w:p>
      <w:pPr>
        <w:spacing w:after="200" w:line="276"/>
        <w:jc w:val="both"/>
      </w:pPr>
      <w:r>
        <w:rPr>
          <w:sz w:val="24"/>
          <w:szCs w:val="24"/>
        </w:rPr>
        <w:t xml:space="preserve">Para cada individuo simulado de una población P y cada marcador M:</w:t>
      </w:r>
    </w:p>
    <w:p>
      <w:pPr>
        <w:spacing w:after="200" w:line="276"/>
        <w:jc w:val="both"/>
      </w:pPr>
      <w:r>
        <w:rPr>
          <w:sz w:val="24"/>
          <w:szCs w:val="24"/>
        </w:rPr>
        <w:t xml:space="preserve">1. Se obtiene la frecuencia del alelo menor p para el marcador M en la población P</w:t>
      </w:r>
    </w:p>
    <w:p>
      <w:pPr>
        <w:spacing w:after="200" w:line="276"/>
        <w:jc w:val="both"/>
      </w:pPr>
      <w:r>
        <w:rPr>
          <w:sz w:val="24"/>
          <w:szCs w:val="24"/>
        </w:rPr>
        <w:t xml:space="preserve">2. Se calculan las probabilidades genotípicas bajo HWE:</w:t>
      </w:r>
    </w:p>
    <w:p>
      <w:pPr>
        <w:spacing w:after="200" w:line="276"/>
        <w:jc w:val="both"/>
      </w:pPr>
      <w:r>
        <w:rPr>
          <w:sz w:val="24"/>
          <w:szCs w:val="24"/>
        </w:rPr>
        <w:t xml:space="preserve">   • P(genotipo=0) = (1-p)² → homocigoto referencia (AA)</w:t>
      </w:r>
    </w:p>
    <w:p>
      <w:pPr>
        <w:spacing w:after="200" w:line="276"/>
        <w:jc w:val="both"/>
      </w:pPr>
      <w:r>
        <w:rPr>
          <w:sz w:val="24"/>
          <w:szCs w:val="24"/>
        </w:rPr>
        <w:t xml:space="preserve">   • P(genotipo=1) = 2p(1-p) → heterocigoto (Aa)</w:t>
      </w:r>
    </w:p>
    <w:p>
      <w:pPr>
        <w:spacing w:after="200" w:line="276"/>
        <w:jc w:val="both"/>
      </w:pPr>
      <w:r>
        <w:rPr>
          <w:sz w:val="24"/>
          <w:szCs w:val="24"/>
        </w:rPr>
        <w:t xml:space="preserve">   • P(genotipo=2) = p² → homocigoto alternativo (aa)</w:t>
      </w:r>
    </w:p>
    <w:p>
      <w:pPr>
        <w:spacing w:after="200" w:line="276"/>
        <w:jc w:val="both"/>
      </w:pPr>
      <w:r>
        <w:rPr>
          <w:sz w:val="24"/>
          <w:szCs w:val="24"/>
        </w:rPr>
        <w:t xml:space="preserve">3. Se genera un número aleatorio y se asigna el genotipo según estas probabilidades</w:t>
      </w:r>
    </w:p>
    <w:p>
      <w:pPr>
        <w:pStyle w:val="Heading3"/>
      </w:pPr>
      <w:r>
        <w:t xml:space="preserve">5.1.2 Composición del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Dataset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Muestras</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Entrenamiento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1,500 (300 × 5 poblaciones)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Muestras puras por población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Test (puras)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250 (50 × 5 poblaciones)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Evaluación en muestras puras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Test (mezcladas)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Individuos con mezcla simulada</w:t>
            </w:r>
          </w:p>
        </w:tc>
      </w:tr>
    </w:tbl>
    <w:p>
      <w:pPr>
        <w:spacing w:after="300"/>
      </w:pPr>
    </w:p>
    <w:p>
      <w:pPr>
        <w:pStyle w:val="Heading2"/>
      </w:pPr>
      <w:r>
        <w:t xml:space="preserve">5.2 Preprocesamiento</w:t>
      </w:r>
    </w:p>
    <w:p>
      <w:pPr>
        <w:spacing w:after="200" w:line="276"/>
        <w:jc w:val="both"/>
      </w:pPr>
      <w:r>
        <w:rPr>
          <w:sz w:val="24"/>
          <w:szCs w:val="24"/>
        </w:rPr>
        <w:t xml:space="preserve">Los genotipos se codifican numéricamente (0, 1, 2) representando el número de copias del alelo menor. No se aplicó normalización adicional para los algoritmos basados en árboles (Random Forest, Gradient Boosting). Para SVM y Regresión Logística, se aplicó estandarización (media=0, varianza=1).</w:t>
      </w:r>
    </w:p>
    <w:p>
      <w:pPr>
        <w:pStyle w:val="Heading2"/>
      </w:pPr>
      <w:r>
        <w:t xml:space="preserve">5.3 Algoritmos Evaluados</w:t>
      </w:r>
    </w:p>
    <w:p>
      <w:pPr>
        <w:spacing w:after="200" w:line="276"/>
        <w:jc w:val="both"/>
      </w:pPr>
      <w:r>
        <w:rPr>
          <w:sz w:val="24"/>
          <w:szCs w:val="24"/>
        </w:rPr>
        <w:t xml:space="preserve">Se compararon cinco algoritmos de clasificación supervisada: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Algoritmo</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Configuración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Random Forest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200 árboles, max_depth=15, min_samples_split=5, class_weight='balanced'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Gradient Boosting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150 estimadores, max_depth=5, learning_rate=0.1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SVM (RBF)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kernel='rbf', C=10, gamma='scale', class_weight='balanced'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Naive Bayes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Gaussiano (asume distribución normal de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Regresión Logística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Multinomial, max_iter=1000, class_weight='balanced'</w:t>
            </w:r>
          </w:p>
        </w:tc>
      </w:tr>
    </w:tbl>
    <w:p>
      <w:pPr>
        <w:spacing w:after="300"/>
      </w:pPr>
    </w:p>
    <w:p>
      <w:pPr>
        <w:pStyle w:val="Heading2"/>
      </w:pPr>
      <w:r>
        <w:t xml:space="preserve">5.4 Validación y Métricas</w:t>
      </w:r>
    </w:p>
    <w:p>
      <w:pPr>
        <w:spacing w:after="200" w:line="276"/>
        <w:jc w:val="both"/>
      </w:pPr>
      <w:r>
        <w:rPr>
          <w:b/>
          <w:bCs/>
          <w:sz w:val="24"/>
          <w:szCs w:val="24"/>
        </w:rPr>
        <w:t xml:space="preserve">Validación cruzada estratificada: </w:t>
      </w:r>
      <w:r>
        <w:rPr>
          <w:sz w:val="24"/>
          <w:szCs w:val="24"/>
        </w:rPr>
        <w:t xml:space="preserve">Se utilizó k-fold cross-validation con k=5, manteniendo la proporción de clases en cada fold. Esto proporciona una estimación robusta del rendimiento del modelo.</w:t>
      </w:r>
    </w:p>
    <w:p>
      <w:pPr>
        <w:spacing w:after="200" w:line="276"/>
        <w:jc w:val="both"/>
      </w:pPr>
      <w:r>
        <w:rPr>
          <w:sz w:val="24"/>
          <w:szCs w:val="24"/>
        </w:rPr>
        <w:t xml:space="preserve">Métricas de evaluación:</w:t>
      </w:r>
    </w:p>
    <w:p>
      <w:pPr>
        <w:spacing w:after="200" w:line="276"/>
        <w:jc w:val="both"/>
      </w:pPr>
      <w:r>
        <w:rPr>
          <w:sz w:val="24"/>
          <w:szCs w:val="24"/>
        </w:rPr>
        <w:t xml:space="preserve">• Accuracy (precisión global): proporción de predicciones correctas</w:t>
      </w:r>
    </w:p>
    <w:p>
      <w:pPr>
        <w:spacing w:after="200" w:line="276"/>
        <w:jc w:val="both"/>
      </w:pPr>
      <w:r>
        <w:rPr>
          <w:sz w:val="24"/>
          <w:szCs w:val="24"/>
        </w:rPr>
        <w:t xml:space="preserve">• Precision por clase: TP / (TP + FP)</w:t>
      </w:r>
    </w:p>
    <w:p>
      <w:pPr>
        <w:spacing w:after="200" w:line="276"/>
        <w:jc w:val="both"/>
      </w:pPr>
      <w:r>
        <w:rPr>
          <w:sz w:val="24"/>
          <w:szCs w:val="24"/>
        </w:rPr>
        <w:t xml:space="preserve">• Recall por clase: TP / (TP + FN)</w:t>
      </w:r>
    </w:p>
    <w:p>
      <w:pPr>
        <w:spacing w:after="200" w:line="276"/>
        <w:jc w:val="both"/>
      </w:pPr>
      <w:r>
        <w:rPr>
          <w:sz w:val="24"/>
          <w:szCs w:val="24"/>
        </w:rPr>
        <w:t xml:space="preserve">• F1-score: media armónica de precision y recall</w:t>
      </w:r>
    </w:p>
    <w:p>
      <w:r>
        <w:br w:type="page"/>
      </w:r>
    </w:p>
    <w:p>
      <w:pPr>
        <w:pStyle w:val="Heading1"/>
      </w:pPr>
      <w:r>
        <w:t xml:space="preserve">6. Resultados</w:t>
      </w:r>
    </w:p>
    <w:p>
      <w:pPr>
        <w:pStyle w:val="Heading2"/>
      </w:pPr>
      <w:r>
        <w:t xml:space="preserve">6.1 Comparación de Algoritmos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Modelo</w:t>
            </w:r>
          </w:p>
        </w:tc>
        <w:tc>
          <w:tcPr>
            <w:tcW w:type="dxa" w:w="31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CV Accuracy (±std)</w:t>
            </w:r>
          </w:p>
        </w:tc>
        <w:tc>
          <w:tcPr>
            <w:tcW w:type="dxa" w:w="31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Test Accuracy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Random Forest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96.58% (±0.85%)</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96.67%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Logistic Regression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96.17% (±0.85%)</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96.67%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SVM (RBF)</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95.42% (±1.26%)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95.33%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Gradient Boosting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94.92% (±0.49%)</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95.67%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Naive Bayes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94.00% (±1.28%)</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94.00%</w:t>
            </w:r>
          </w:p>
        </w:tc>
      </w:tr>
    </w:tbl>
    <w:p>
      <w:pPr>
        <w:spacing w:after="200"/>
      </w:pPr>
    </w:p>
    <w:p>
      <w:pPr>
        <w:spacing w:after="200" w:line="276"/>
        <w:jc w:val="both"/>
      </w:pPr>
      <w:r>
        <w:rPr>
          <w:sz w:val="24"/>
          <w:szCs w:val="24"/>
        </w:rPr>
        <w:t xml:space="preserve">El modelo Random Forest obtuvo el mejor rendimiento y fue seleccionado como modelo final.</w:t>
      </w:r>
    </w:p>
    <w:p>
      <w:pPr>
        <w:pStyle w:val="Heading2"/>
      </w:pPr>
      <w:r>
        <w:t xml:space="preserve">6.2 Métricas por Población (Random Forest)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Población</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Precision</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Recall</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F1-Score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Support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AFR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AMR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w:t>
            </w:r>
          </w:p>
        </w:tc>
      </w:tr>
    </w:tbl>
    <w:p>
      <w:pPr>
        <w:spacing w:after="200"/>
      </w:pPr>
    </w:p>
    <w:p>
      <w:pPr>
        <w:spacing w:after="200" w:line="276"/>
        <w:jc w:val="both"/>
      </w:pPr>
      <w:r>
        <w:rPr>
          <w:sz w:val="24"/>
          <w:szCs w:val="24"/>
        </w:rPr>
        <w:t xml:space="preserve">Observaciones:</w:t>
      </w:r>
    </w:p>
    <w:p>
      <w:pPr>
        <w:spacing w:after="200" w:line="276"/>
        <w:jc w:val="both"/>
      </w:pPr>
      <w:r>
        <w:rPr>
          <w:sz w:val="24"/>
          <w:szCs w:val="24"/>
        </w:rPr>
        <w:t xml:space="preserve">• Las poblaciones AFR y EAS presentan las mejores métricas, debido a sus marcadores altamente diferenciados (rs2814778 para AFR, rs3827760 para EAS)</w:t>
      </w:r>
    </w:p>
    <w:p>
      <w:pPr>
        <w:spacing w:after="200" w:line="276"/>
        <w:jc w:val="both"/>
      </w:pPr>
      <w:r>
        <w:rPr>
          <w:sz w:val="24"/>
          <w:szCs w:val="24"/>
        </w:rPr>
        <w:t xml:space="preserve">• La población AMR muestra el rendimiento más bajo, esperable dado su carácter mezclado que dificulta la clasificación</w:t>
      </w:r>
    </w:p>
    <w:p>
      <w:pPr>
        <w:spacing w:after="200" w:line="276"/>
        <w:jc w:val="both"/>
      </w:pPr>
      <w:r>
        <w:rPr>
          <w:sz w:val="24"/>
          <w:szCs w:val="24"/>
        </w:rPr>
        <w:t xml:space="preserve">• La precisión global (97%) es consistente con estudios publicados que utilizan paneles similares</w:t>
      </w:r>
    </w:p>
    <w:p>
      <w:pPr>
        <w:pStyle w:val="Heading2"/>
      </w:pPr>
      <w:r>
        <w:t xml:space="preserve">6.3 Importancia de Variables</w:t>
      </w:r>
    </w:p>
    <w:p>
      <w:pPr>
        <w:spacing w:after="200" w:line="276"/>
        <w:jc w:val="both"/>
      </w:pPr>
      <w:r>
        <w:rPr>
          <w:sz w:val="24"/>
          <w:szCs w:val="24"/>
        </w:rPr>
        <w:t xml:space="preserve">Los 10 marcadores más informativos según la importancia calculada por Random Forest: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80"/>
        <w:gridCol w:w="308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Rank</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Marcador</w:t>
            </w:r>
          </w:p>
        </w:tc>
        <w:tc>
          <w:tcPr>
            <w:tcW w:type="dxa" w:w="30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Importancia</w:t>
            </w:r>
          </w:p>
        </w:tc>
        <w:tc>
          <w:tcPr>
            <w:tcW w:type="dxa" w:w="30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Asociación principal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rs16891982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15.29%</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 (pigmentación)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rs2814778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13.02%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AFR (Duffy)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rs1426654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11.36%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EUR/SAS (pigmentación)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rs3827760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10.38%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EAS (EDAR)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rs12913832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8.82%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EUR (color ojos)</w:t>
            </w:r>
          </w:p>
        </w:tc>
      </w:tr>
    </w:tbl>
    <w:p>
      <w:pPr>
        <w:spacing w:after="300"/>
      </w:pPr>
    </w:p>
    <w:p>
      <w:r>
        <w:br w:type="page"/>
      </w:r>
    </w:p>
    <w:p>
      <w:pPr>
        <w:pStyle w:val="Heading1"/>
      </w:pPr>
      <w:r>
        <w:t xml:space="preserve">7. Implementación Técnica</w:t>
      </w:r>
    </w:p>
    <w:p>
      <w:pPr>
        <w:pStyle w:val="Heading2"/>
      </w:pPr>
      <w:r>
        <w:t xml:space="preserve">7.1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Componente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Tecnología</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2"/>
                <w:szCs w:val="22"/>
              </w:rPr>
              <w:t xml:space="preserve">Versión/Detalles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Lenguaje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Python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ML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scikit-learn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1.3.0+ (clasificadores, métricas, CV)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pandas, numpy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Manipulación de datos tabulares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Interfaz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Streamlit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1.28.0+ (app interactiva)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Visualización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Plotly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5.18.0+ (gráficos interactivos)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Serialización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pickle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Guardado del modelo entrenado</w:t>
            </w:r>
          </w:p>
        </w:tc>
      </w:tr>
    </w:tbl>
    <w:p>
      <w:pPr>
        <w:spacing w:after="300"/>
      </w:pPr>
    </w:p>
    <w:p>
      <w:pPr>
        <w:pStyle w:val="Heading2"/>
      </w:pPr>
      <w:r>
        <w:t xml:space="preserve">7.2 Estructura del Código</w:t>
      </w:r>
    </w:p>
    <w:p>
      <w:pPr>
        <w:spacing w:after="200" w:line="276"/>
        <w:jc w:val="both"/>
      </w:pPr>
      <w:r>
        <w:rPr>
          <w:sz w:val="24"/>
          <w:szCs w:val="24"/>
        </w:rPr>
        <w:t xml:space="preserve">El proyecto se organiza en tres módulos principales:</w:t>
      </w:r>
    </w:p>
    <w:p>
      <w:pPr>
        <w:spacing w:after="200" w:line="276"/>
        <w:jc w:val="both"/>
      </w:pPr>
      <w:r>
        <w:rPr>
          <w:b/>
          <w:bCs/>
          <w:sz w:val="24"/>
          <w:szCs w:val="24"/>
        </w:rPr>
        <w:t xml:space="preserve">generate_data.py: </w:t>
      </w:r>
      <w:r>
        <w:rPr>
          <w:sz w:val="24"/>
          <w:szCs w:val="24"/>
        </w:rPr>
        <w:t xml:space="preserve">Contiene las frecuencias alélicas de los 30 AIMs y funciones para generar muestras sintéticas bajo HWE. Permite configurar el número de muestras por población y semilla para reproducibilidad.</w:t>
      </w:r>
    </w:p>
    <w:p>
      <w:pPr>
        <w:spacing w:after="200" w:line="276"/>
        <w:jc w:val="both"/>
      </w:pPr>
      <w:r>
        <w:rPr>
          <w:b/>
          <w:bCs/>
          <w:sz w:val="24"/>
          <w:szCs w:val="24"/>
        </w:rPr>
        <w:t xml:space="preserve">model.py: </w:t>
      </w:r>
      <w:r>
        <w:rPr>
          <w:sz w:val="24"/>
          <w:szCs w:val="24"/>
        </w:rPr>
        <w:t xml:space="preserve">Implementa la clase BGAPredictor con métodos para entrenamiento, predicción, evaluación y serialización. Compara automáticamente múltiples algoritmos y selecciona el mejor.</w:t>
      </w:r>
    </w:p>
    <w:p>
      <w:pPr>
        <w:spacing w:after="200" w:line="276"/>
        <w:jc w:val="both"/>
      </w:pPr>
      <w:r>
        <w:rPr>
          <w:b/>
          <w:bCs/>
          <w:sz w:val="24"/>
          <w:szCs w:val="24"/>
        </w:rPr>
        <w:t xml:space="preserve">app.py: </w:t>
      </w:r>
      <w:r>
        <w:rPr>
          <w:sz w:val="24"/>
          <w:szCs w:val="24"/>
        </w:rPr>
        <w:t xml:space="preserve">Interfaz Streamlit que permite generar muestras aleatorias, introducir genotipos manualmente y visualizar predicciones con gráficos interactivos.</w:t>
      </w:r>
    </w:p>
    <w:p>
      <w:r>
        <w:br w:type="page"/>
      </w:r>
    </w:p>
    <w:p>
      <w:pPr>
        <w:pStyle w:val="Heading1"/>
      </w:pPr>
      <w:r>
        <w:t xml:space="preserve">8. Limitaciones y Consideraciones</w:t>
      </w:r>
    </w:p>
    <w:p>
      <w:pPr>
        <w:pStyle w:val="Heading2"/>
      </w:pPr>
      <w:r>
        <w:t xml:space="preserve">8.1 Limitaciones Técnicas</w:t>
      </w:r>
    </w:p>
    <w:p>
      <w:pPr>
        <w:spacing w:after="200" w:line="276"/>
        <w:jc w:val="both"/>
      </w:pPr>
      <w:r>
        <w:rPr>
          <w:b/>
          <w:bCs/>
          <w:sz w:val="24"/>
          <w:szCs w:val="24"/>
        </w:rPr>
        <w:t xml:space="preserve">Datos sintéticos: </w:t>
      </w:r>
      <w:r>
        <w:rPr>
          <w:sz w:val="24"/>
          <w:szCs w:val="24"/>
        </w:rPr>
        <w:t xml:space="preserve">El modelo se entrenó con datos generados, no con muestras reales. Aunque las frecuencias alélicas son reales, la simulación asume HWE perfecto, lo que puede no reflejar toda la variabilidad real.</w:t>
      </w:r>
    </w:p>
    <w:p>
      <w:pPr>
        <w:spacing w:after="200" w:line="276"/>
        <w:jc w:val="both"/>
      </w:pPr>
      <w:r>
        <w:rPr>
          <w:b/>
          <w:bCs/>
          <w:sz w:val="24"/>
          <w:szCs w:val="24"/>
        </w:rPr>
        <w:t xml:space="preserve">Panel reducido: </w:t>
      </w:r>
      <w:r>
        <w:rPr>
          <w:sz w:val="24"/>
          <w:szCs w:val="24"/>
        </w:rPr>
        <w:t xml:space="preserve">Con 30 marcadores, el sistema tiene menor resolución que paneles comerciales (50-200 AIMs). Para aplicación forense real se recomiendan paneles validados como MAPlex, VISAGE o Precision ID.</w:t>
      </w:r>
    </w:p>
    <w:p>
      <w:pPr>
        <w:spacing w:after="200" w:line="276"/>
        <w:jc w:val="both"/>
      </w:pPr>
      <w:r>
        <w:rPr>
          <w:b/>
          <w:bCs/>
          <w:sz w:val="24"/>
          <w:szCs w:val="24"/>
        </w:rPr>
        <w:t xml:space="preserve">Poblaciones discretas: </w:t>
      </w:r>
      <w:r>
        <w:rPr>
          <w:sz w:val="24"/>
          <w:szCs w:val="24"/>
        </w:rPr>
        <w:t xml:space="preserve">El modelo clasifica en 5 categorías continentales. No captura variación subcontinental ni admixture cuantitativo. Individuos mezclados recientes son difíciles de clasificar correctamente.</w:t>
      </w:r>
    </w:p>
    <w:p>
      <w:pPr>
        <w:pStyle w:val="Heading2"/>
      </w:pPr>
      <w:r>
        <w:t xml:space="preserve">8.2 Consideraciones Éticas</w:t>
      </w:r>
    </w:p>
    <w:p>
      <w:pPr>
        <w:spacing w:after="200" w:line="276"/>
        <w:jc w:val="both"/>
      </w:pPr>
      <w:r>
        <w:rPr>
          <w:b/>
          <w:bCs/>
          <w:sz w:val="24"/>
          <w:szCs w:val="24"/>
        </w:rPr>
        <w:t xml:space="preserve">Ancestralidad ≠ Etnia/Nacionalidad: </w:t>
      </w:r>
      <w:r>
        <w:rPr>
          <w:sz w:val="24"/>
          <w:szCs w:val="24"/>
        </w:rPr>
        <w:t xml:space="preserve">La ancestralidad genética es una estimación probabilística basada en frecuencias alélicas. No equivale a identidad cultural, étnica o nacional. Un resultado de ancestralidad europea no implica nacionalidad de ningún país europeo.</w:t>
      </w:r>
    </w:p>
    <w:p>
      <w:pPr>
        <w:spacing w:after="200" w:line="276"/>
        <w:jc w:val="both"/>
      </w:pPr>
      <w:r>
        <w:rPr>
          <w:b/>
          <w:bCs/>
          <w:sz w:val="24"/>
          <w:szCs w:val="24"/>
        </w:rPr>
        <w:t xml:space="preserve">No identificación individual: </w:t>
      </w:r>
      <w:r>
        <w:rPr>
          <w:sz w:val="24"/>
          <w:szCs w:val="24"/>
        </w:rPr>
        <w:t xml:space="preserve">Este sistema NO identifica personas. Solo estima probabilidades de pertenencia a grupos poblacionales amplios. No debe usarse como evidencia directa sino como herramienta de inteligencia investigativa.</w:t>
      </w:r>
    </w:p>
    <w:p>
      <w:pPr>
        <w:spacing w:after="200" w:line="276"/>
        <w:jc w:val="both"/>
      </w:pPr>
      <w:r>
        <w:rPr>
          <w:b/>
          <w:bCs/>
          <w:sz w:val="24"/>
          <w:szCs w:val="24"/>
        </w:rPr>
        <w:t xml:space="preserve">Sesgo poblacional: </w:t>
      </w:r>
      <w:r>
        <w:rPr>
          <w:sz w:val="24"/>
          <w:szCs w:val="24"/>
        </w:rPr>
        <w:t xml:space="preserve">Los AIMs se desarrollaron principalmente con datos de poblaciones bien estudiadas. Poblaciones subrepresentadas en estudios genómicos pueden tener menor precisión de predicción.</w:t>
      </w:r>
    </w:p>
    <w:p>
      <w:pPr>
        <w:pStyle w:val="Heading2"/>
      </w:pPr>
      <w:r>
        <w:t xml:space="preserve">8.3 Uso Apropiado</w:t>
      </w:r>
    </w:p>
    <w:p>
      <w:pPr>
        <w:spacing w:after="200" w:line="276"/>
        <w:jc w:val="both"/>
      </w:pPr>
      <w:r>
        <w:rPr>
          <w:sz w:val="24"/>
          <w:szCs w:val="24"/>
        </w:rPr>
        <w:t xml:space="preserve">Este sistema está diseñado para:</w:t>
      </w:r>
    </w:p>
    <w:p>
      <w:pPr>
        <w:spacing w:after="200" w:line="276"/>
        <w:jc w:val="both"/>
      </w:pPr>
      <w:r>
        <w:rPr>
          <w:sz w:val="24"/>
          <w:szCs w:val="24"/>
        </w:rPr>
        <w:t xml:space="preserve">• Formación y educación en genética forense</w:t>
      </w:r>
    </w:p>
    <w:p>
      <w:pPr>
        <w:spacing w:after="200" w:line="276"/>
        <w:jc w:val="both"/>
      </w:pPr>
      <w:r>
        <w:rPr>
          <w:sz w:val="24"/>
          <w:szCs w:val="24"/>
        </w:rPr>
        <w:t xml:space="preserve">• Demostración de conceptos de ML aplicados a genética</w:t>
      </w:r>
    </w:p>
    <w:p>
      <w:pPr>
        <w:spacing w:after="200" w:line="276"/>
        <w:jc w:val="both"/>
      </w:pPr>
      <w:r>
        <w:rPr>
          <w:sz w:val="24"/>
          <w:szCs w:val="24"/>
        </w:rPr>
        <w:t xml:space="preserve">• Prototipado y pruebas de concepto</w:t>
      </w:r>
    </w:p>
    <w:p>
      <w:pPr>
        <w:spacing w:after="200" w:line="276"/>
        <w:jc w:val="both"/>
      </w:pPr>
      <w:r>
        <w:rPr>
          <w:sz w:val="24"/>
          <w:szCs w:val="24"/>
        </w:rPr>
        <w:t xml:space="preserve">Este sistema NO está validado para:</w:t>
      </w:r>
    </w:p>
    <w:p>
      <w:pPr>
        <w:spacing w:after="200" w:line="276"/>
        <w:jc w:val="both"/>
      </w:pPr>
      <w:r>
        <w:rPr>
          <w:sz w:val="24"/>
          <w:szCs w:val="24"/>
        </w:rPr>
        <w:t xml:space="preserve">• Uso en investigaciones criminales reales</w:t>
      </w:r>
    </w:p>
    <w:p>
      <w:pPr>
        <w:spacing w:after="200" w:line="276"/>
        <w:jc w:val="both"/>
      </w:pPr>
      <w:r>
        <w:rPr>
          <w:sz w:val="24"/>
          <w:szCs w:val="24"/>
        </w:rPr>
        <w:t xml:space="preserve">• Emisión de informes periciales</w:t>
      </w:r>
    </w:p>
    <w:p>
      <w:pPr>
        <w:spacing w:after="200" w:line="276"/>
        <w:jc w:val="both"/>
      </w:pPr>
      <w:r>
        <w:rPr>
          <w:sz w:val="24"/>
          <w:szCs w:val="24"/>
        </w:rPr>
        <w:t xml:space="preserve">• Toma de decisiones que afecten a personas</w:t>
      </w:r>
    </w:p>
    <w:p>
      <w:r>
        <w:br w:type="page"/>
      </w:r>
    </w:p>
    <w:p>
      <w:pPr>
        <w:pStyle w:val="Heading1"/>
      </w:pPr>
      <w:r>
        <w:t xml:space="preserve">9. Conclusiones</w:t>
      </w:r>
    </w:p>
    <w:p>
      <w:pPr>
        <w:spacing w:after="200" w:line="276"/>
        <w:jc w:val="both"/>
      </w:pPr>
      <w:r>
        <w:rPr>
          <w:sz w:val="24"/>
          <w:szCs w:val="24"/>
        </w:rPr>
        <w:t xml:space="preserve">Se ha desarrollado exitosamente un prototipo de predictor de ancestralidad biogeográfica con las siguientes características:</w:t>
      </w:r>
    </w:p>
    <w:p>
      <w:pPr>
        <w:spacing w:after="200" w:line="276"/>
        <w:jc w:val="both"/>
      </w:pPr>
      <w:r>
        <w:rPr>
          <w:sz w:val="24"/>
          <w:szCs w:val="24"/>
        </w:rPr>
        <w:t xml:space="preserve">• Precisión del 96.6% en clasificación de 5 grupos poblacionales continentales</w:t>
      </w:r>
    </w:p>
    <w:p>
      <w:pPr>
        <w:spacing w:after="200" w:line="276"/>
        <w:jc w:val="both"/>
      </w:pPr>
      <w:r>
        <w:rPr>
          <w:sz w:val="24"/>
          <w:szCs w:val="24"/>
        </w:rPr>
        <w:t xml:space="preserve">• Basado en 30 marcadores AIMs con frecuencias alélicas reales del 1000 Genomes Project</w:t>
      </w:r>
    </w:p>
    <w:p>
      <w:pPr>
        <w:spacing w:after="200" w:line="276"/>
        <w:jc w:val="both"/>
      </w:pPr>
      <w:r>
        <w:rPr>
          <w:sz w:val="24"/>
          <w:szCs w:val="24"/>
        </w:rPr>
        <w:t xml:space="preserve">• Implementación reproducible en Python con interfaz web interactiva</w:t>
      </w:r>
    </w:p>
    <w:p>
      <w:pPr>
        <w:spacing w:after="200" w:line="276"/>
        <w:jc w:val="both"/>
      </w:pPr>
      <w:r>
        <w:rPr>
          <w:sz w:val="24"/>
          <w:szCs w:val="24"/>
        </w:rPr>
        <w:t xml:space="preserve">• Documentación completa de la metodología</w:t>
      </w:r>
    </w:p>
    <w:p>
      <w:pPr>
        <w:spacing w:after="200" w:line="276"/>
        <w:jc w:val="both"/>
      </w:pPr>
      <w:r>
        <w:rPr>
          <w:sz w:val="24"/>
          <w:szCs w:val="24"/>
        </w:rPr>
        <w:t xml:space="preserve">El sistema demuestra la viabilidad de aplicar técnicas de aprendizaje automático a la predicción de ancestralidad genética. Los resultados son consistentes con la literatura publicada y el modelo puede servir como herramienta educativa efectiva.</w:t>
      </w:r>
    </w:p>
    <w:p>
      <w:pPr>
        <w:spacing w:after="200" w:line="276"/>
        <w:jc w:val="both"/>
      </w:pPr>
      <w:r>
        <w:rPr>
          <w:sz w:val="24"/>
          <w:szCs w:val="24"/>
        </w:rPr>
        <w:t xml:space="preserve">Para aplicación en contextos forenses reales, se recomienda:</w:t>
      </w:r>
    </w:p>
    <w:p>
      <w:pPr>
        <w:spacing w:after="200" w:line="276"/>
        <w:jc w:val="both"/>
      </w:pPr>
      <w:r>
        <w:rPr>
          <w:sz w:val="24"/>
          <w:szCs w:val="24"/>
        </w:rPr>
        <w:t xml:space="preserve">• Validación con muestras reales de poblaciones de interés</w:t>
      </w:r>
    </w:p>
    <w:p>
      <w:pPr>
        <w:spacing w:after="200" w:line="276"/>
        <w:jc w:val="both"/>
      </w:pPr>
      <w:r>
        <w:rPr>
          <w:sz w:val="24"/>
          <w:szCs w:val="24"/>
        </w:rPr>
        <w:t xml:space="preserve">• Ampliación del panel de marcadores (50-200 AIMs)</w:t>
      </w:r>
    </w:p>
    <w:p>
      <w:pPr>
        <w:spacing w:after="200" w:line="276"/>
        <w:jc w:val="both"/>
      </w:pPr>
      <w:r>
        <w:rPr>
          <w:sz w:val="24"/>
          <w:szCs w:val="24"/>
        </w:rPr>
        <w:t xml:space="preserve">• Inclusión de estimación cuantitativa de admixture</w:t>
      </w:r>
    </w:p>
    <w:p>
      <w:pPr>
        <w:spacing w:after="200" w:line="276"/>
        <w:jc w:val="both"/>
      </w:pPr>
      <w:r>
        <w:rPr>
          <w:sz w:val="24"/>
          <w:szCs w:val="24"/>
        </w:rPr>
        <w:t xml:space="preserve">• Cumplimiento de estándares de acreditación de laboratorios forenses</w:t>
      </w:r>
    </w:p>
    <w:p>
      <w:pPr>
        <w:pStyle w:val="Heading1"/>
      </w:pPr>
      <w:r>
        <w:t xml:space="preserve">10. Referencias</w:t>
      </w:r>
    </w:p>
    <w:p>
      <w:pPr>
        <w:spacing w:after="200" w:line="276"/>
        <w:jc w:val="both"/>
      </w:pPr>
      <w:r>
        <w:rPr>
          <w:sz w:val="24"/>
          <w:szCs w:val="24"/>
        </w:rPr>
        <w:t xml:space="preserve">1000 Genomes Project Consortium. (2015). A global reference for human genetic variation. Nature, 526(7571), 68-74.</w:t>
      </w:r>
    </w:p>
    <w:p>
      <w:pPr>
        <w:spacing w:after="200" w:line="276"/>
        <w:jc w:val="both"/>
      </w:pPr>
      <w:r>
        <w:rPr>
          <w:sz w:val="24"/>
          <w:szCs w:val="24"/>
        </w:rPr>
        <w:t xml:space="preserve">Kidd, K. K., et al. (2014). Progress toward an efficient panel of SNPs for ancestry inference. Forensic Science International: Genetics, 10, 23-32.</w:t>
      </w:r>
    </w:p>
    <w:p>
      <w:pPr>
        <w:spacing w:after="200" w:line="276"/>
        <w:jc w:val="both"/>
      </w:pPr>
      <w:r>
        <w:rPr>
          <w:sz w:val="24"/>
          <w:szCs w:val="24"/>
        </w:rPr>
        <w:t xml:space="preserve">Phillips, C., et al. (2007). Inferring ancestral origin using a single multiplex assay of ancestry-informative marker SNPs. Forensic Science International: Genetics, 1(3-4), 273-280.</w:t>
      </w:r>
    </w:p>
    <w:p>
      <w:pPr>
        <w:spacing w:after="200" w:line="276"/>
        <w:jc w:val="both"/>
      </w:pPr>
      <w:r>
        <w:rPr>
          <w:sz w:val="24"/>
          <w:szCs w:val="24"/>
        </w:rPr>
        <w:t xml:space="preserve">Seldin, M. F., et al. (2006). Application of ancestry informative markers to association studies in European Americans. PLoS Genetics, 2(12), e137.</w:t>
      </w:r>
    </w:p>
    <w:p>
      <w:pPr>
        <w:spacing w:after="200" w:line="276"/>
        <w:jc w:val="both"/>
      </w:pPr>
      <w:r>
        <w:rPr>
          <w:sz w:val="24"/>
          <w:szCs w:val="24"/>
        </w:rPr>
        <w:t xml:space="preserve">Bodner, M., et al. (2016). Recommendations of the DNA Commission of the ISFG on quality control of autosomal Short Tandem Repeat allele frequency databasing (STRidER). Forensic Science International: Genetics, 24, 97-102.</w:t>
      </w:r>
    </w:p>
    <w:p>
      <w:pPr>
        <w:spacing w:after="200" w:line="276"/>
        <w:jc w:val="both"/>
      </w:pPr>
      <w:r>
        <w:rPr>
          <w:sz w:val="24"/>
          <w:szCs w:val="24"/>
        </w:rPr>
        <w:t xml:space="preserve">Pedregosa, F., et al. (2011). Scikit-learn: Machine Learning in Python. Journal of Machine Learning Research, 12, 2825-2830.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Informe Metodológico - Predictor BGA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60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2026-01-24T11:59:02.300Z</dcterms:created>
  <dcterms:modified xsi:type="dcterms:W3CDTF">2026-01-24T11:59:02.300Z</dcterms:modified>
</cp:coreProperties>
</file>

<file path=docProps/custom.xml><?xml version="1.0" encoding="utf-8"?>
<Properties xmlns="http://schemas.openxmlformats.org/officeDocument/2006/custom-properties" xmlns:vt="http://schemas.openxmlformats.org/officeDocument/2006/docPropsVTypes"/>
</file>