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DCE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</w:t>
      </w:r>
    </w:p>
    <w:p w14:paraId="6AB2E02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General.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6B4D847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basic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element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criteria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known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EPNL,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single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human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beings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EPNL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consists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“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”,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7DFBCB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A36.4.1.2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Three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basic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physical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properties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distribution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variation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determine EPNL,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0.5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D56CF0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A36.4.1.3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uses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physical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derive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EPNL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response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consists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0652367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The 24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method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described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A36.4.2.1 (a).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combined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PNL(k). </w:t>
      </w:r>
    </w:p>
    <w:p w14:paraId="1B010A3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account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response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presence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1F0B6C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one-half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5AA15E0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PNLT(k) = PNL(k) + C(k) </w:t>
      </w:r>
    </w:p>
    <w:p w14:paraId="7BA18CB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derived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PNLTM,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FA0DFB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D,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computed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integration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curve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versus time. </w:t>
      </w:r>
    </w:p>
    <w:p w14:paraId="59B42E9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(e)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EPNL,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algebraic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sum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706C94C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EPNL = PNLTM + D </w:t>
      </w:r>
    </w:p>
    <w:p w14:paraId="1095418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A36.4.2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4900D0B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A36.4.2.1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PNL(k),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instantaneous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as follows: </w:t>
      </w:r>
    </w:p>
    <w:p w14:paraId="3F538DB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(a)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1: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50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10,000 Hz,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n(i,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mathematical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A36.4.7. </w:t>
      </w:r>
    </w:p>
    <w:p w14:paraId="037076C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2: Combine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formula: </w:t>
      </w:r>
    </w:p>
    <w:p w14:paraId="0C898D35" w14:textId="648F4280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drawing>
          <wp:inline distT="0" distB="0" distL="0" distR="0" wp14:anchorId="6C408D85" wp14:editId="6240A1E2">
            <wp:extent cx="3619500" cy="1495425"/>
            <wp:effectExtent l="0" t="0" r="0" b="9525"/>
            <wp:docPr id="12" name="Imagem 1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AE6B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total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B72111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Convert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total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N(k),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formula: </w:t>
      </w:r>
    </w:p>
    <w:p w14:paraId="02065695" w14:textId="2CD42A09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drawing>
          <wp:inline distT="0" distB="0" distL="0" distR="0" wp14:anchorId="0382274C" wp14:editId="323816EC">
            <wp:extent cx="2924175" cy="581025"/>
            <wp:effectExtent l="0" t="0" r="9525" b="9525"/>
            <wp:docPr id="11" name="Imagem 11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4096" w14:textId="7777777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Note:</w:t>
      </w:r>
    </w:p>
    <w:p w14:paraId="179E85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PNL(k)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plotted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current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advisory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circular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part.</w:t>
      </w:r>
    </w:p>
    <w:p w14:paraId="377A02E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A36.4.3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5ECE2A5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A36.4.3.1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pronounced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example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discrete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components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tones)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adjusted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follows: </w:t>
      </w:r>
    </w:p>
    <w:p w14:paraId="263B1DF4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applying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specified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A36.3.9, start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80 Hz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(band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“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”)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remainder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as follows: </w:t>
      </w:r>
    </w:p>
    <w:p w14:paraId="44F8E50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B76C05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)−SPL(3,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35BCB28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231A9DD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4F2734E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2E2540E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• </w:t>
      </w:r>
    </w:p>
    <w:p w14:paraId="6638E17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2F2DBD5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08C56DC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absolute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191217F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|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Δ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)| = |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)|&gt;5 </w:t>
      </w:r>
    </w:p>
    <w:p w14:paraId="662ECF1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3: </w:t>
      </w:r>
    </w:p>
    <w:p w14:paraId="2CCBE6E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algebraically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s(i−1,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SPL(i, k). </w:t>
      </w:r>
    </w:p>
    <w:p w14:paraId="2565BFD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zero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negative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s(i−1,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positive,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SPL(i−1, k). </w:t>
      </w:r>
    </w:p>
    <w:p w14:paraId="4B7DCDC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cases,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44D603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4: Compute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adjusted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as follows: </w:t>
      </w:r>
    </w:p>
    <w:p w14:paraId="17709B3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(1) For non-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set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original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SPL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 = SPL(i, k). </w:t>
      </w:r>
    </w:p>
    <w:p w14:paraId="55FF24C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bands 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23 inclusive, set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arithmetic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preceding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shown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below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3833E9E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1⁄2[SPL(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+ SPL(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)] </w:t>
      </w:r>
    </w:p>
    <w:p w14:paraId="3AA0E81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highest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(i = 24)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encircled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set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49F44B1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3BF0920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(e)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Recompute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i, 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imaginary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25th band, as follows: </w:t>
      </w:r>
    </w:p>
    <w:p w14:paraId="17201CD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45FF6AA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SPL′(4,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)−SPL′(3,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72AC516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57BACA9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33FB8A8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SPL′(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)−SPL′(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−1,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53FE3E4D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• </w:t>
      </w:r>
    </w:p>
    <w:p w14:paraId="5BA8E0F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78CB717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SPL′(24,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)−SPL′(23,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2FCDE21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25,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086754D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(f)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6: For i,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23, compute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arithmetic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three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adjacent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follows: </w:t>
      </w:r>
    </w:p>
    <w:p w14:paraId="7F2D7BD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1⁄3[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′(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+ 2,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)] </w:t>
      </w:r>
    </w:p>
    <w:p w14:paraId="0EF4BD8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(g)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7: Compute final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-band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SPL′ 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beginning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proceeding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 as follows: </w:t>
      </w:r>
    </w:p>
    <w:p w14:paraId="5E169B9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SPL(3,k) </w:t>
      </w:r>
    </w:p>
    <w:p w14:paraId="245C8DC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SPL′(3,k)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(3,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0DB810E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696CCF7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0E611EB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SPL′(i−1,k)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(i−1,k) </w:t>
      </w:r>
    </w:p>
    <w:p w14:paraId="3EE43BA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54D25CF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• </w:t>
      </w:r>
    </w:p>
    <w:p w14:paraId="2544AED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SPL′(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24,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= SPL′(23,k)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s̄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(23,k) </w:t>
      </w:r>
    </w:p>
    <w:p w14:paraId="56F462C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(h)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Setp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differences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F 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original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final background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follows: </w:t>
      </w:r>
    </w:p>
    <w:p w14:paraId="787DF24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F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SPL(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)-SPL′(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i,k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12C4C8B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note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1.5. </w:t>
      </w:r>
    </w:p>
    <w:p w14:paraId="2255DBF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9: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relevant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 (3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24), determine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differences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 (i, 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A36-2. </w:t>
      </w:r>
    </w:p>
    <w:p w14:paraId="52E5773D" w14:textId="342E0F54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332A4B61" wp14:editId="42182AC8">
            <wp:extent cx="5394325" cy="8892540"/>
            <wp:effectExtent l="0" t="0" r="0" b="3810"/>
            <wp:docPr id="10" name="Imagem 10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325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C427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(j)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10: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Designate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Step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9, as C(k).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example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current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advisory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circular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part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PNLT(k)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7F2DB66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PNLT(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) = PNL(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+ 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C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k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</w:p>
    <w:p w14:paraId="17BA6C1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k-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increment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time,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suspected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result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something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addition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actual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additional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analysis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filter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bandwidth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narrower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narrow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analysis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corroborates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suspicions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revised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background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SPL′(</w:t>
      </w:r>
      <w:proofErr w:type="spellStart"/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i,k</w:t>
      </w:r>
      <w:proofErr w:type="spellEnd"/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narrow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analysis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compute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revised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particular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band. Other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methods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rejecting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spurious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65D1D23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A36.4.3.2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will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underestimate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EPNL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important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adjacent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applicant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demonstrate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either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3D7AB81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important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tones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adjacent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bands;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27F4121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important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occurred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adjusted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would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fully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a single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band. </w:t>
      </w:r>
    </w:p>
    <w:p w14:paraId="59677CE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722FCE1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A36.4.4.1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PNLTM,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PNLT(k). It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A36.4.3.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satisfactory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history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0.5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2F01FADC" w14:textId="7777777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Note 1:</w:t>
      </w:r>
    </w:p>
    <w:p w14:paraId="7A018DE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Figure A36-2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example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history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clearly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indicated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</w:p>
    <w:p w14:paraId="28ACE747" w14:textId="7777777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Note 2:</w:t>
      </w:r>
    </w:p>
    <w:p w14:paraId="0C31500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absence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would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PNLM.</w:t>
      </w:r>
    </w:p>
    <w:p w14:paraId="5AD90AF1" w14:textId="4299856A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789A87A0" wp14:editId="63760B39">
            <wp:extent cx="5400040" cy="4153535"/>
            <wp:effectExtent l="0" t="0" r="0" b="0"/>
            <wp:docPr id="9" name="Imagem 9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5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5A1E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A36.4.4.2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frequency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identified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preceding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succeeding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500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samples.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performed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order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identity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possibility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suppression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sharing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for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consecutive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C(k)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compute a new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PNLTM.</w:t>
      </w:r>
      <w:r w:rsidRPr="00B776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A2144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CEFF7E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factor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integration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technique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expression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6D0711AB" w14:textId="3D701C29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052979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red"/>
          <w:lang w:eastAsia="pt-BR"/>
        </w:rPr>
        <w:drawing>
          <wp:inline distT="0" distB="0" distL="0" distR="0" wp14:anchorId="5B51F897" wp14:editId="07254FB9">
            <wp:extent cx="4286250" cy="847725"/>
            <wp:effectExtent l="0" t="0" r="0" b="9525"/>
            <wp:docPr id="8" name="Imagem 8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DAD6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normalizing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constant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PNLT,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t(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1)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first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becomes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t(2)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after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constantly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</w:t>
      </w:r>
    </w:p>
    <w:p w14:paraId="303231F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A36.4.5.2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Since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(SPL),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no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obvious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PNLT as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function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Consequently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rewritten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summation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instead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integral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follows: </w:t>
      </w:r>
    </w:p>
    <w:p w14:paraId="10B4B47E" w14:textId="54A8ABD7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052979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red"/>
          <w:lang w:eastAsia="pt-BR"/>
        </w:rPr>
        <w:lastRenderedPageBreak/>
        <w:drawing>
          <wp:inline distT="0" distB="0" distL="0" distR="0" wp14:anchorId="72BA8F3F" wp14:editId="47C7BCF4">
            <wp:extent cx="4686300" cy="714375"/>
            <wp:effectExtent l="0" t="0" r="0" b="9525"/>
            <wp:docPr id="7" name="Imagem 7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D09B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increments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nearest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0.5s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greater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</w:t>
      </w:r>
    </w:p>
    <w:p w14:paraId="7AEB417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satisfactory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history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use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2E3B803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(a) Half-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Second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3BB2C64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shorter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constants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46D54C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A36.4.5.4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A36.4.5.2: </w:t>
      </w:r>
    </w:p>
    <w:p w14:paraId="015A3EF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T = 10 s,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7E2E806A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0.5s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sampling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). </w:t>
      </w:r>
    </w:p>
    <w:p w14:paraId="590157E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becomes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2396D007" w14:textId="799C036D" w:rsidR="00B7766A" w:rsidRPr="00B7766A" w:rsidRDefault="00B7766A" w:rsidP="00B7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052979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red"/>
          <w:lang w:eastAsia="pt-BR"/>
        </w:rPr>
        <w:drawing>
          <wp:inline distT="0" distB="0" distL="0" distR="0" wp14:anchorId="7A164E48" wp14:editId="44047226">
            <wp:extent cx="4352925" cy="714375"/>
            <wp:effectExtent l="0" t="0" r="9525" b="9525"/>
            <wp:docPr id="6" name="Imagem 6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B7677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corresponding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</w:t>
      </w:r>
    </w:p>
    <w:p w14:paraId="7609590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A36.4.5.5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A36.4.5.2,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fall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usual case),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chosen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closest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PNLTM-10.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cases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more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peak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PNLT(k),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applicable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chosen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yield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largest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possible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time. </w:t>
      </w:r>
    </w:p>
    <w:p w14:paraId="5FA889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A36.4.6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5FB5A31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The total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subjective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airplane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event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designated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effective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EPNL,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sum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tone-corrected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PNLTM,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563F420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EPNL = PNLTM + D </w:t>
      </w:r>
    </w:p>
    <w:p w14:paraId="53D53D7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 are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given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A36.4.2, A36.4.3, A36.4.4.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A36.4.5.</w:t>
      </w:r>
      <w:r w:rsidRPr="00B7766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6A300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A36.4.7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Mathematical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formulation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tables</w:t>
      </w:r>
      <w:proofErr w:type="spellEnd"/>
      <w:r w:rsidRPr="00B7766A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.</w:t>
      </w: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265CD006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A36.4.7.1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relationship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(SPL)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 Figure</w:t>
      </w:r>
      <w:proofErr w:type="gram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A36-3. </w:t>
      </w:r>
    </w:p>
    <w:p w14:paraId="51A5495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A36.4.7.2 The bases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mathematical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formulation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are: </w:t>
      </w:r>
    </w:p>
    <w:p w14:paraId="4CFBCCF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(M(b), M(c), M(d)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M(e))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straight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72F4418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intercepts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(SPL(b)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SPL(c))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axis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F82D1A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The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coordinates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discontinuities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SPL(a)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log n(a); SPL(d)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log n = −1.0;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SPL(e)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log n = log (0.3). </w:t>
      </w:r>
    </w:p>
    <w:p w14:paraId="78B1C603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equations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570652D4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</w:t>
      </w:r>
    </w:p>
    <w:p w14:paraId="28A48508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 ≥SPL (a) </w:t>
      </w:r>
    </w:p>
    <w:p w14:paraId="4A903A9B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{(c)[SPL−SPL(c)]} </w:t>
      </w:r>
    </w:p>
    <w:p w14:paraId="1A2516B7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</w:p>
    <w:p w14:paraId="1BE52C1F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SPL(b) ≤SPL &lt;SPL(a) </w:t>
      </w:r>
    </w:p>
    <w:p w14:paraId="41DA593C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{M(b)[SPL−SPL(b)]} </w:t>
      </w:r>
    </w:p>
    <w:p w14:paraId="709E2092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</w:p>
    <w:p w14:paraId="7D546FB4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SPL(e) ≤SPL &lt;SPL(b) </w:t>
      </w:r>
    </w:p>
    <w:p w14:paraId="2B4E5789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0.3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{M(e)[SPL−SPL(e)]} </w:t>
      </w:r>
    </w:p>
    <w:p w14:paraId="7780E215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</w:p>
    <w:p w14:paraId="266E2C21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SPL(d) ≤SPL &lt;SPL(e) </w:t>
      </w:r>
    </w:p>
    <w:p w14:paraId="6B9FA210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n = 0.1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antilog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{M(d)[SPL−SPL(d)]} </w:t>
      </w:r>
    </w:p>
    <w:p w14:paraId="661922DE" w14:textId="77777777" w:rsidR="00B7766A" w:rsidRP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A36.4.7.4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A36-3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lists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necessary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noisiness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a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function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B7766A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4EDA92A1" w14:textId="52821006" w:rsidR="00B7766A" w:rsidRDefault="00B7766A" w:rsidP="00B7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44C61DA9" wp14:editId="6693E341">
            <wp:extent cx="5286375" cy="7372350"/>
            <wp:effectExtent l="0" t="0" r="9525" b="0"/>
            <wp:docPr id="5" name="Imagem 5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737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42AF">
        <w:rPr>
          <w:rFonts w:ascii="Times New Roman" w:eastAsia="Times New Roman" w:hAnsi="Times New Roman" w:cs="Times New Roman"/>
          <w:noProof/>
          <w:color w:val="0000FF"/>
          <w:sz w:val="24"/>
          <w:szCs w:val="24"/>
          <w:highlight w:val="green"/>
          <w:lang w:eastAsia="pt-BR"/>
        </w:rPr>
        <w:lastRenderedPageBreak/>
        <w:drawing>
          <wp:inline distT="0" distB="0" distL="0" distR="0" wp14:anchorId="7F6CBFD2" wp14:editId="5AE2009F">
            <wp:extent cx="5400040" cy="5406390"/>
            <wp:effectExtent l="0" t="0" r="0" b="3810"/>
            <wp:docPr id="4" name="Imagem 4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497C0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CA3C699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4BB954F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758284C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A4FC5C4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3E2B134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DC3C0E9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7F78437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EBF3560" w14:textId="77777777" w:rsidR="00B7766A" w:rsidRDefault="00B7766A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4D14F2" w14:textId="6D981735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7295458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green"/>
          <w:lang w:eastAsia="pt-BR"/>
        </w:rPr>
        <w:t xml:space="preserve"> H36.1 General.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prescribes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specified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22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279571F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Part H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23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36.801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2B40BFF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The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24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36.803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quantity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designated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(EPNL);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6E11D81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25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§ 36.805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D9B2D37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Test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522686E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(a)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position, performance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assumed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surface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altitude: </w:t>
      </w:r>
    </w:p>
    <w:p w14:paraId="140D0873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Sea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2,116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psf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(1,013.25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hPa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). </w:t>
      </w:r>
    </w:p>
    <w:p w14:paraId="5309D80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degrees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 (25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degrees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C). </w:t>
      </w:r>
    </w:p>
    <w:p w14:paraId="3BB068FE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9B8AED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(4) Zero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D1759E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site.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site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flat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line-of-sight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obstructions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across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encompasses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points.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E09B9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1ABE54FD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2CF32E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a straight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segment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starting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point (1,640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(500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center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β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performance.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β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derived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manufacturer's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data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FAA)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define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β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drawn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continues, crossing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1E1466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beginning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(Figure H2).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492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either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;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;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+ 120km/h);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+ 65kts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+ 120 km/h),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four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speeds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crosses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directly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overhead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proceeds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J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2A55A50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(e)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purposes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specified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torque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continuous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available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sea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2,116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psf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(1,013.25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hPa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77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°F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(25 °C)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relevant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never-exceed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listed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Rotorcraft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Manual. </w:t>
      </w:r>
    </w:p>
    <w:p w14:paraId="32A889F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(f)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Approach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06C241DF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6565B9C3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beginning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E. The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sufficient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(EK)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entire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(PNLTM).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terms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torque, rpm,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indicated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resulting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a 6°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0A945F0F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η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passing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directly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K,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terminates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η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5.5°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6.5°. </w:t>
      </w:r>
    </w:p>
    <w:p w14:paraId="790F8788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6°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crosses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proceeds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crossing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until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reaches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K.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63CF5860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 xml:space="preserve"> H36.5 </w:t>
      </w:r>
      <w:proofErr w:type="spellStart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Symbols</w:t>
      </w:r>
      <w:proofErr w:type="spellEnd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cya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symbols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have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meanings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. </w:t>
      </w:r>
    </w:p>
    <w:p w14:paraId="247E5157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Identification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Positions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"/>
        <w:gridCol w:w="7602"/>
      </w:tblGrid>
      <w:tr w:rsidR="007A6574" w:rsidRPr="007A6574" w14:paraId="1887E8A2" w14:textId="77777777" w:rsidTr="007A6574">
        <w:trPr>
          <w:tblHeader/>
          <w:tblCellSpacing w:w="15" w:type="dxa"/>
        </w:trPr>
        <w:tc>
          <w:tcPr>
            <w:tcW w:w="0" w:type="auto"/>
            <w:shd w:val="clear" w:color="auto" w:fill="ECECEC"/>
            <w:vAlign w:val="center"/>
            <w:hideMark/>
          </w:tcPr>
          <w:p w14:paraId="1D0330C1" w14:textId="77777777" w:rsidR="007A6574" w:rsidRPr="007A6574" w:rsidRDefault="007A6574" w:rsidP="007A6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 xml:space="preserve">Position 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1E720DCB" w14:textId="77777777" w:rsidR="007A6574" w:rsidRPr="007A6574" w:rsidRDefault="007A6574" w:rsidP="007A6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>Description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</w:tr>
      <w:tr w:rsidR="007A6574" w:rsidRPr="007A6574" w14:paraId="2704991F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580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8E2FCA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Location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point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-track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vertically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below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(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,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,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approach)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7D22D7B6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73020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14:paraId="35223A4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275BFCD4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A4F1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279D7E3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340AC3A8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FF10E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</w:t>
            </w:r>
          </w:p>
        </w:tc>
        <w:tc>
          <w:tcPr>
            <w:tcW w:w="0" w:type="auto"/>
            <w:vAlign w:val="center"/>
            <w:hideMark/>
          </w:tcPr>
          <w:p w14:paraId="6A3951F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04B30820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0C3B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46152D1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2641EA1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B7230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14:paraId="60688EF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32AC2E3B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EED1E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lastRenderedPageBreak/>
              <w:t>E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C9B738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Start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133365D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650A6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14:paraId="6000A12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77C20B10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752BC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8DB76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15669061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F4F6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3407417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39B8FC06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BD842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G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38468E5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1E4C3CFB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93C23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</w:t>
            </w:r>
          </w:p>
        </w:tc>
        <w:tc>
          <w:tcPr>
            <w:tcW w:w="0" w:type="auto"/>
            <w:vAlign w:val="center"/>
            <w:hideMark/>
          </w:tcPr>
          <w:p w14:paraId="5F74C8E7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31A1998B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C34B5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4E0F078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directly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above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17C2CEA2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8C43D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14:paraId="63142B0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28E947F8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7DEDB3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I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514C57E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1B81F619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7ABCB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J</w:t>
            </w:r>
          </w:p>
        </w:tc>
        <w:tc>
          <w:tcPr>
            <w:tcW w:w="0" w:type="auto"/>
            <w:vAlign w:val="center"/>
            <w:hideMark/>
          </w:tcPr>
          <w:p w14:paraId="37A6F7EC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53658A00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CADCFE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J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88CFA26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220FD9E7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C0820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K</w:t>
            </w:r>
          </w:p>
        </w:tc>
        <w:tc>
          <w:tcPr>
            <w:tcW w:w="0" w:type="auto"/>
            <w:vAlign w:val="center"/>
            <w:hideMark/>
          </w:tcPr>
          <w:p w14:paraId="4080A391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3E837C1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73FC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K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DC73685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type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certification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0FDD45C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184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</w:t>
            </w:r>
          </w:p>
        </w:tc>
        <w:tc>
          <w:tcPr>
            <w:tcW w:w="0" w:type="auto"/>
            <w:vAlign w:val="center"/>
            <w:hideMark/>
          </w:tcPr>
          <w:p w14:paraId="23DA7C3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5B306F68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B4C7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0417BA0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2D37FD81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ED127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14:paraId="5B1AC65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60239A0D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5080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4126117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4C567733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D9D7B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5036408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3AFAF0E2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B88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ADF7E3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corresponding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PNLTM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29C2B90F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F7D835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</w:t>
            </w:r>
          </w:p>
        </w:tc>
        <w:tc>
          <w:tcPr>
            <w:tcW w:w="0" w:type="auto"/>
            <w:vAlign w:val="center"/>
            <w:hideMark/>
          </w:tcPr>
          <w:p w14:paraId="0A2E356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Sideline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(note: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subscript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denotes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aircraft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orientation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relative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direction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).</w:t>
            </w:r>
          </w:p>
        </w:tc>
      </w:tr>
    </w:tbl>
    <w:p w14:paraId="2E4240BA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>Distances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cyan"/>
          <w:lang w:eastAsia="pt-BR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514"/>
        <w:gridCol w:w="7035"/>
      </w:tblGrid>
      <w:tr w:rsidR="007A6574" w:rsidRPr="007A6574" w14:paraId="407DB966" w14:textId="77777777" w:rsidTr="007A6574">
        <w:trPr>
          <w:tblHeader/>
          <w:tblCellSpacing w:w="15" w:type="dxa"/>
        </w:trPr>
        <w:tc>
          <w:tcPr>
            <w:tcW w:w="0" w:type="auto"/>
            <w:shd w:val="clear" w:color="auto" w:fill="ECECEC"/>
            <w:vAlign w:val="center"/>
            <w:hideMark/>
          </w:tcPr>
          <w:p w14:paraId="3EB9F5F7" w14:textId="77777777" w:rsidR="007A6574" w:rsidRPr="007A6574" w:rsidRDefault="007A6574" w:rsidP="007A6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7F1DC8C3" w14:textId="77777777" w:rsidR="007A6574" w:rsidRPr="007A6574" w:rsidRDefault="007A6574" w:rsidP="007A6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 xml:space="preserve">Unit 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14:paraId="34ABDE59" w14:textId="77777777" w:rsidR="007A6574" w:rsidRPr="007A6574" w:rsidRDefault="007A6574" w:rsidP="007A657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>Meaning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</w:tr>
      <w:tr w:rsidR="007A6574" w:rsidRPr="007A6574" w14:paraId="7278CEE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E595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AF</w:t>
            </w:r>
          </w:p>
        </w:tc>
        <w:tc>
          <w:tcPr>
            <w:tcW w:w="0" w:type="auto"/>
            <w:vAlign w:val="center"/>
            <w:hideMark/>
          </w:tcPr>
          <w:p w14:paraId="1CF55B6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C07C9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Height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vertical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between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4463B7A9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72FA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AG</w:t>
            </w:r>
          </w:p>
        </w:tc>
        <w:tc>
          <w:tcPr>
            <w:tcW w:w="0" w:type="auto"/>
            <w:vAlign w:val="center"/>
            <w:hideMark/>
          </w:tcPr>
          <w:p w14:paraId="6BDC7761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DCB04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Height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vertical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between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409C2E86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9B1C0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AH</w:t>
            </w:r>
          </w:p>
        </w:tc>
        <w:tc>
          <w:tcPr>
            <w:tcW w:w="0" w:type="auto"/>
            <w:vAlign w:val="center"/>
            <w:hideMark/>
          </w:tcPr>
          <w:p w14:paraId="7D74E70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D0781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Height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vertical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between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A. </w:t>
            </w:r>
          </w:p>
        </w:tc>
      </w:tr>
      <w:tr w:rsidR="007A6574" w:rsidRPr="007A6574" w14:paraId="16EC4791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1A38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</w:t>
            </w:r>
          </w:p>
        </w:tc>
        <w:tc>
          <w:tcPr>
            <w:tcW w:w="0" w:type="auto"/>
            <w:vAlign w:val="center"/>
            <w:hideMark/>
          </w:tcPr>
          <w:p w14:paraId="33DBF5AC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6C89B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L. </w:t>
            </w:r>
          </w:p>
        </w:tc>
      </w:tr>
      <w:tr w:rsidR="007A6574" w:rsidRPr="007A6574" w14:paraId="63FBFADA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2327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AL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AD78A5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9E3673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L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. </w:t>
            </w:r>
          </w:p>
        </w:tc>
      </w:tr>
      <w:tr w:rsidR="007A6574" w:rsidRPr="007A6574" w14:paraId="60105746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D374C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AM</w:t>
            </w:r>
          </w:p>
        </w:tc>
        <w:tc>
          <w:tcPr>
            <w:tcW w:w="0" w:type="auto"/>
            <w:vAlign w:val="center"/>
            <w:hideMark/>
          </w:tcPr>
          <w:p w14:paraId="4F33F29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EEBE8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M. </w:t>
            </w:r>
          </w:p>
        </w:tc>
      </w:tr>
      <w:tr w:rsidR="007A6574" w:rsidRPr="007A6574" w14:paraId="63F4227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0F989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lastRenderedPageBreak/>
              <w:t>AM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0A1E631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8D584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path. </w:t>
            </w:r>
          </w:p>
        </w:tc>
      </w:tr>
      <w:tr w:rsidR="007A6574" w:rsidRPr="007A6574" w14:paraId="28E6C0E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BE0DD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</w:t>
            </w:r>
          </w:p>
        </w:tc>
        <w:tc>
          <w:tcPr>
            <w:tcW w:w="0" w:type="auto"/>
            <w:vAlign w:val="center"/>
            <w:hideMark/>
          </w:tcPr>
          <w:p w14:paraId="394E54C1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163B1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measured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N. </w:t>
            </w:r>
          </w:p>
        </w:tc>
      </w:tr>
      <w:tr w:rsidR="007A6574" w:rsidRPr="007A6574" w14:paraId="120DDC6C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83DB1A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879453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6147D7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Noise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reference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vertAlign w:val="subscript"/>
                <w:lang w:eastAsia="pt-BR"/>
              </w:rPr>
              <w:t>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. </w:t>
            </w:r>
          </w:p>
        </w:tc>
      </w:tr>
      <w:tr w:rsidR="007A6574" w:rsidRPr="007A6574" w14:paraId="0A652AB0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DE27E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CI</w:t>
            </w:r>
          </w:p>
        </w:tc>
        <w:tc>
          <w:tcPr>
            <w:tcW w:w="0" w:type="auto"/>
            <w:vAlign w:val="center"/>
            <w:hideMark/>
          </w:tcPr>
          <w:p w14:paraId="4D76CBA6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6F6AE8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C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establishes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constant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climb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angle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takeoff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passing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over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continuing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I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need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no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longer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recorded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. </w:t>
            </w:r>
          </w:p>
        </w:tc>
      </w:tr>
      <w:tr w:rsidR="007A6574" w:rsidRPr="007A6574" w14:paraId="6EC6A01B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364B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DJ</w:t>
            </w:r>
          </w:p>
        </w:tc>
        <w:tc>
          <w:tcPr>
            <w:tcW w:w="0" w:type="auto"/>
            <w:vAlign w:val="center"/>
            <w:hideMark/>
          </w:tcPr>
          <w:p w14:paraId="76DAFACB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D440CC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D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is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established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flyover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passing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over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continuing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J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need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no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longer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recorded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. </w:t>
            </w:r>
          </w:p>
        </w:tc>
      </w:tr>
      <w:tr w:rsidR="007A6574" w:rsidRPr="007A6574" w14:paraId="285088EF" w14:textId="77777777" w:rsidTr="007A657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92F62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EK</w:t>
            </w:r>
          </w:p>
        </w:tc>
        <w:tc>
          <w:tcPr>
            <w:tcW w:w="0" w:type="auto"/>
            <w:vAlign w:val="center"/>
            <w:hideMark/>
          </w:tcPr>
          <w:p w14:paraId="769B9AF0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</w:pP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3EF4F" w14:textId="77777777" w:rsidR="007A6574" w:rsidRPr="007A6574" w:rsidRDefault="007A6574" w:rsidP="007A6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highlight w:val="cyan"/>
                <w:lang w:eastAsia="pt-BR"/>
              </w:rPr>
              <w:t>.</w:t>
            </w:r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The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distance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from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E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establishes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constant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angle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approach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flight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path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passing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over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station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A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and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continuing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to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K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at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which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position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of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the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helicopter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need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no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longer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be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 xml:space="preserve"> </w:t>
            </w:r>
            <w:proofErr w:type="spellStart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recorded</w:t>
            </w:r>
            <w:proofErr w:type="spellEnd"/>
            <w:r w:rsidRPr="007A6574">
              <w:rPr>
                <w:rFonts w:ascii="Times New Roman" w:eastAsia="Times New Roman" w:hAnsi="Times New Roman" w:cs="Times New Roman"/>
                <w:sz w:val="24"/>
                <w:szCs w:val="24"/>
                <w:highlight w:val="cyan"/>
                <w:lang w:eastAsia="pt-BR"/>
              </w:rPr>
              <w:t>.</w:t>
            </w:r>
          </w:p>
        </w:tc>
      </w:tr>
    </w:tbl>
    <w:p w14:paraId="34A20D7F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26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§ 36.801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7EC7E5A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6B82BE5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General.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test. </w:t>
      </w:r>
    </w:p>
    <w:p w14:paraId="7278CAED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Test site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1F0DE50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established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series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located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73180BF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includes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simultaneous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vertically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below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two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492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(150m)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perpendicular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7C90EFE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elevation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either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F51639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surrounded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terrain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having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excessive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characteristics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thick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matted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shrubs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wooded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areas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066618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 xml:space="preserve">(5)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/time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indicates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PNLTM,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obstruction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significantly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influences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field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- </w:t>
      </w:r>
    </w:p>
    <w:p w14:paraId="02B7A746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space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vertically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below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cone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axis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half-angle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80°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axis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5A98E33F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3652D84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(6)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series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requested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additional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23401E5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6DD7F34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+ 5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−10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09D9DB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(7)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6.0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degree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±0.5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degree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H36.107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part. </w:t>
      </w:r>
    </w:p>
    <w:p w14:paraId="09B7B5D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(8)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series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landing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requested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additional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67C8D751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landing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EF93E2E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+ 5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−10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AD338EF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(c)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Weather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restrictions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743C1AF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rain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precipitation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40E25B8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14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°F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95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°F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(−10 °C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35 °C),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inclusively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point 33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point 33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46DE2B13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point 33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centered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8 kHz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12 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 xml:space="preserve">dB/100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95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inclusively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4275A5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Wind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velocity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does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(19 km/h)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crosswind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does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(9 km/h).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continuous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thirty-second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spanning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04C248D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(5)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anomalous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turbulence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significantly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affect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C70927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(6)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velocity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vicinity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representative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existing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near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surface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geographical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area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In some cases,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fixed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airports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facilities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75B04BA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(7)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30 minutes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test. </w:t>
      </w:r>
    </w:p>
    <w:p w14:paraId="07523C41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(d)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testing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procedures.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78DE384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processed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manner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yields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evaluation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designated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(EPNL)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hyperlink r:id="rId27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Appendix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A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of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this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part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0022754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lateral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passes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through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method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make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independent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instrumentation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Applicable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independent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systems are radar tracking,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theodolite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triangulation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laser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trajectography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photo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scaling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differential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global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positioning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system. </w:t>
      </w:r>
    </w:p>
    <w:p w14:paraId="44FB061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synchronized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signals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sampling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entire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sampling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before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6D2517D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performance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sufficient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make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sampling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30F7A07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43C934EF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lastRenderedPageBreak/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addition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applicable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H36.205(b)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Part 36. </w:t>
      </w:r>
    </w:p>
    <w:p w14:paraId="19009F3A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(b)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series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simultaneous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as follows: </w:t>
      </w:r>
    </w:p>
    <w:p w14:paraId="47E924D9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either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established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56377C3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(2) The horizontal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portion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altitude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29A411BC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Upon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reaching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point 1,640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(500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corresponds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installed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(s)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specification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available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gearbox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torque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16491A0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(4)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25 °C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0D78A2B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(5)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RPM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6806F8F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(6)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±10°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vertical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10dB-down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6E8A9F5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(7)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configuration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selected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landing gear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airworthiness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establishing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rate-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57104EA8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27A672C0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addition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applicable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H36.205(c)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Part 36. </w:t>
      </w:r>
    </w:p>
    <w:p w14:paraId="378D02EC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(b)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series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headwind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equal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tailwind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simultaneous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- </w:t>
      </w:r>
    </w:p>
    <w:p w14:paraId="37B5E30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cruise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configuration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</w:p>
    <w:p w14:paraId="57D3BF2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lastRenderedPageBreak/>
        <w:t xml:space="preserve">(2) At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492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±30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(150 ±9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</w:p>
    <w:p w14:paraId="7159818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±10°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vertical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11CA0423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- </w:t>
      </w:r>
    </w:p>
    <w:p w14:paraId="0E0D774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At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; 0.9V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;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+ 120 km/h);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(0.45V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NE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+ 120 km/h),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portion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</w:p>
    <w:p w14:paraId="35A599F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(2)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RPM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2D11456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PNLTM. </w:t>
      </w:r>
    </w:p>
    <w:p w14:paraId="0AA0F0CB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(d)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(9 km/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). </w:t>
      </w:r>
    </w:p>
    <w:p w14:paraId="5B4243D5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H36.107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. </w:t>
      </w:r>
    </w:p>
    <w:p w14:paraId="1831230A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addition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H36.101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H36.205(d)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conducted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Part 36. </w:t>
      </w:r>
    </w:p>
    <w:p w14:paraId="3019F640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(b)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series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consist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-track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simultaneous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- </w:t>
      </w:r>
    </w:p>
    <w:p w14:paraId="6F08B0E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6° ±0.5°; </w:t>
      </w:r>
    </w:p>
    <w:p w14:paraId="3B770B2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(2) At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394 ±33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(120 ±10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</w:t>
      </w:r>
    </w:p>
    <w:p w14:paraId="60F36F1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±10°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) lateral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deviation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tolerance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vertical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</w:p>
    <w:p w14:paraId="75F8DD3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(4)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equal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for approach,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power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point,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continued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 normal touchdown;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</w:p>
    <w:p w14:paraId="674B01A9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(5) At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rotor RPM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±1.0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</w:p>
    <w:p w14:paraId="438B8E4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lastRenderedPageBreak/>
        <w:t xml:space="preserve">(6)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configuration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airworthiness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landing gear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extended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,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maintained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procedure. </w:t>
      </w:r>
    </w:p>
    <w:p w14:paraId="5BDE2A7C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(c)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vary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 xml:space="preserve"> (±9 km/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hr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yellow"/>
          <w:lang w:eastAsia="pt-BR"/>
        </w:rPr>
        <w:t>).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7510B813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H36.109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D72B9B9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calibration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general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analysis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provided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part.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54BBBC2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H36.111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</w:p>
    <w:p w14:paraId="556EDB3D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General.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representing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physical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response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deviations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permanent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subject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estimate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individual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error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inherent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operations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employed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final data. </w:t>
      </w:r>
    </w:p>
    <w:p w14:paraId="18DDA43B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Data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reporting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9F2229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standards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H36.109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9257BF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equipment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analysis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acoustic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performance,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E121B7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environmental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demonstrate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period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37B4381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local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topography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cover,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events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interfere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7D88301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(5)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information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68267D2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model,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serial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engines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rotors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79B249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Gross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dimensions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engines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05D6B6C1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run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92DC90E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iv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configuration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landing gear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0C86E7BE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(v)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E752CB5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(vi)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performance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instruments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manufacturer's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</w:p>
    <w:p w14:paraId="6040D69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method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independent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normal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instrumentation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radar tracking,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theodolite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triangulation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laser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trajectography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photographic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scaling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techniques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32748F6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(6)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performance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parameters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sampling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sufficient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Lateral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-track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3CAF5A7C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(c)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Data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2E2F13A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position, performance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F10AD0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amount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applicant's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predicted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Necessary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performance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derived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together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appropriate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allowances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(EPNL)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2.0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except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4.0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arithmetic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sum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1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H36.205(f)(1))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−7.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5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(AL/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H36.205(g)(1)(i))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2.0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combination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1DCABF76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passing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vertically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061FC426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actual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track;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BB494B7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Detailed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9B9D8B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 dB-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background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B36.3.9.11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3 dB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method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9BBD313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(d)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Validity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results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159D5DA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results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produce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90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confidence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consisting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arithmetic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valid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runs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90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confidence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separately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approach. </w:t>
      </w:r>
    </w:p>
    <w:p w14:paraId="511E18F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sample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size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acceptable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approach,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samples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large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enough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establish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statistically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90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confidence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does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±1.5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result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omitted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process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unless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otherwise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specified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FAA. </w:t>
      </w:r>
    </w:p>
    <w:p w14:paraId="0AB0CB5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minimum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approaches,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counted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toward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event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validly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3B76B6D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H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profiles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451C400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H36.113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FD92909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spectra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H36.3(a).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account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test-day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reference-day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Unless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meteorological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window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acceptable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90833D5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rates.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The procedure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accordance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SAE ARP 866A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Incorporated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§ 36.6).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equations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provided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International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English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part. </w:t>
      </w:r>
    </w:p>
    <w:p w14:paraId="3AB94BFE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71A5326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whenever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- </w:t>
      </w:r>
    </w:p>
    <w:p w14:paraId="698B7F2B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77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°F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70%,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279A883D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paths. </w:t>
      </w:r>
    </w:p>
    <w:p w14:paraId="6E694A0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33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84AAFE9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 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complete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computed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50 Hz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10,000 Hz.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rates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computing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H36.111(d)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44B59BB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28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§ 36.803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9BE3DD7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H36.201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25731F4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(EPNL),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decibels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evaluating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29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§ 36.803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of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this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part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Except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provided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hyperlink r:id="rId30" w:anchor="p-Appendix-H-to-Part-36(b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(b)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procedures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Part 36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computing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EPNL.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includes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governing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: </w:t>
      </w:r>
    </w:p>
    <w:p w14:paraId="5624371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4662DC01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599ED9FE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3E1DD7F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(4)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19F3E24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(5)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3C3C575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(6)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Mathematical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tables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1EFA27B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Notwithstanding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provisions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A36.4.3.1(a),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spectral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irregularities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start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50 Hz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band.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1394EE2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E93F3DD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demonstrate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H36.305,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simultaneously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points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arithmetically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single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6CFF553A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series,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i.e.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numerical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separate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90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confidence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valid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runs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H36.111(d)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separately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series.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1A757A26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H36.205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Detailed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procedures. </w:t>
      </w:r>
    </w:p>
    <w:p w14:paraId="27DBC2D2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General.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H36.305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34CDC2EA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appropriate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result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include: </w:t>
      </w:r>
    </w:p>
    <w:p w14:paraId="54BB4F91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30E84F3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</w:t>
      </w:r>
    </w:p>
    <w:p w14:paraId="5B34774E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produce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more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possible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06D1C24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profiles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procedures require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recording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synchronized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delineated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derived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manufacturer's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</w:p>
    <w:p w14:paraId="3816061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profiles. The SPL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spectrum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- </w:t>
      </w:r>
    </w:p>
    <w:p w14:paraId="3FF37478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; </w:t>
      </w:r>
    </w:p>
    <w:p w14:paraId="79C80591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(B)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linear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two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98A940D" w14:textId="77777777" w:rsidR="007A6574" w:rsidRPr="007A6574" w:rsidRDefault="007A6574" w:rsidP="007A657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Inverse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square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law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converted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subtracted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resulting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</w:p>
    <w:p w14:paraId="245E5A51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therefore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ratio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determine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factor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EPNL,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sum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(PNLTM)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factor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2BB939E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iv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alternative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source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require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account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changes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11AE51A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b)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7FD3BB9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8D12D1B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H36.3(c). </w:t>
      </w:r>
    </w:p>
    <w:p w14:paraId="0BBC5DA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parameters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functions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performance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velocity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5462428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actual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C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feet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(20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above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track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>either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lowest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climb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whichever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589E69D0" w14:textId="18C7D744" w:rsidR="007A6574" w:rsidRPr="007A6574" w:rsidRDefault="002F1050" w:rsidP="007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2F1050">
        <w:rPr>
          <w:rFonts w:ascii="Times New Roman" w:eastAsia="Times New Roman" w:hAnsi="Times New Roman" w:cs="Times New Roman"/>
          <w:sz w:val="24"/>
          <w:szCs w:val="24"/>
          <w:lang w:eastAsia="pt-BR"/>
        </w:rPr>
        <w:drawing>
          <wp:inline distT="0" distB="0" distL="0" distR="0" wp14:anchorId="459A094B" wp14:editId="344AB811">
            <wp:extent cx="5400040" cy="385635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42A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Figure H1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significant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geometrical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relationships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influencing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Position 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 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θ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theta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their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respective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paths. </w:t>
      </w:r>
    </w:p>
    <w:p w14:paraId="6560D930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(c)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profiles.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4F78E752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 Figure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H2.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stabilized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±5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knots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procedures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H36.3(d).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headwind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equal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tailwind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component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6C4F094E" w14:textId="3059B402" w:rsidR="007A6574" w:rsidRPr="007A6574" w:rsidRDefault="002F1050" w:rsidP="007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2F10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drawing>
          <wp:inline distT="0" distB="0" distL="0" distR="0" wp14:anchorId="7C5B78E1" wp14:editId="6EB70EC6">
            <wp:extent cx="5400040" cy="298894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F15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Figure H2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comparative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(DJ)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sufficient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recording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entire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 dB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PNLTM,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profile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AG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function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operating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controlled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pilot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Position 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path. </w:t>
      </w:r>
    </w:p>
    <w:p w14:paraId="374B881F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(d)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Approach profiles.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67B1EE38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Figure H3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profile,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00CB5D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approaches position 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along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6° (±0.5°)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throughout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10dB-down time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interval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Deviation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6°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average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slope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before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72A87DE6" w14:textId="3DD52A0E" w:rsidR="007A6574" w:rsidRPr="007A6574" w:rsidRDefault="002F1050" w:rsidP="007A6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2F1050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drawing>
          <wp:inline distT="0" distB="0" distL="0" distR="0" wp14:anchorId="35BB21BF" wp14:editId="7BBE80B8">
            <wp:extent cx="5400040" cy="357886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2D25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Figure H3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illustrates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portions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including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significant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geometrical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relationships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influencing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segment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EK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allowable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θ.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positions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K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define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idealized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6°. Position 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position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 are AN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both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θ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vertAlign w:val="subscript"/>
          <w:lang w:eastAsia="pt-BR"/>
        </w:rPr>
        <w:t>APP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corresponding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their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paths.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327D5D0E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(e)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source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during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E67B41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overflight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combination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factors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deviations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deviations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deviations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results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parameter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deviates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parameter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source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manufacturer's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FAA. </w:t>
      </w:r>
    </w:p>
    <w:p w14:paraId="3B737259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(2) Off-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tip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based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upon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sensitivity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curve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versus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advancing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blade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tip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overflights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performed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airspeeds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surrounding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attain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extrapolation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sensitivity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curve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permitted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cover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least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range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0.03 Mach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advancing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blade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tip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computed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true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onboard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outside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rotor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separate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versus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advancing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blade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tip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number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function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derived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three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locations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i.e.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centerline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defined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run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>adjustments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datum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appropriate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function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6F6A46F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(f)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PNLT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ambient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temperature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humidity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(77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degrees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percent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hyperlink r:id="rId34" w:anchor="p-Appendix-H-to-Part-36(a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(a)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follows: </w:t>
      </w:r>
    </w:p>
    <w:p w14:paraId="4F0F29F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 Figure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H1,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spectrum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aircraft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position 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decomposed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its individual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3C8C07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Step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1. A set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computed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follows: </w:t>
      </w:r>
    </w:p>
    <w:p w14:paraId="178B8A3E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[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−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]AL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(AL −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20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(AL/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5F43222C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pressure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first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absorption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α(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α(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coefficients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-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one-third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octave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band,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conversion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factor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0.001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English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0.01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International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System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second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atmospheric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attenuation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third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known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“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inverse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square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”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law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effect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difference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2D82CDE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Step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2.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converted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PNLT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follows: </w:t>
      </w:r>
    </w:p>
    <w:p w14:paraId="0E22ABB5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1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PNLT − PNLTM </w:t>
      </w:r>
    </w:p>
    <w:p w14:paraId="6321F17B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</w:p>
    <w:p w14:paraId="2839D467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4D96294A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hyperlink r:id="rId35" w:anchor="p-Appendix-H-to-Part-36(f)(1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also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Figure H2 as follows: </w:t>
      </w:r>
    </w:p>
    <w:p w14:paraId="14BAECBA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[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−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]AM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(AM −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20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(AM/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6218642D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lines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5CC7EC8F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hyperlink r:id="rId36" w:anchor="p-Appendix-H-to-Part-36(f)(1)(ii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(f)(1)(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ii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regarding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</w:t>
      </w:r>
    </w:p>
    <w:p w14:paraId="7CCB1E76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 xml:space="preserve">(3)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Approach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175C8004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hyperlink r:id="rId37" w:anchor="p-Appendix-H-to-Part-36(f)(1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also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Figure H3 as follows: </w:t>
      </w:r>
    </w:p>
    <w:p w14:paraId="52A7E9B3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[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−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]AN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(AN −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20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(AN/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0EBD667A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lines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</w:t>
      </w:r>
    </w:p>
    <w:p w14:paraId="1310FFC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hyperlink r:id="rId38" w:anchor="p-Appendix-H-to-Part-36(f)(1)(ii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(f)(1)(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ii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regarding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</w:t>
      </w:r>
    </w:p>
    <w:p w14:paraId="0E307A1D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(4)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microphones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74C96CB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The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hyperlink r:id="rId39" w:anchor="p-Appendix-H-to-Part-36(f)(1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also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locations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relating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sound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Figure H3 as follows: </w:t>
      </w:r>
    </w:p>
    <w:p w14:paraId="6E5BD169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SPL(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[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−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]SX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+ 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C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α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r w:rsidRPr="007A6574">
        <w:rPr>
          <w:rFonts w:ascii="Times New Roman" w:eastAsia="Times New Roman" w:hAnsi="Times New Roman" w:cs="Times New Roman"/>
          <w:i/>
          <w:iCs/>
          <w:sz w:val="24"/>
          <w:szCs w:val="24"/>
          <w:highlight w:val="red"/>
          <w:lang w:eastAsia="pt-BR"/>
        </w:rPr>
        <w:t>i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o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(SX −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+ 20 log (SX/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537DA6F3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based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upon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X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correspond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167A9138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L,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7721DC1F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M,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690675BD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approach </w:t>
      </w:r>
    </w:p>
    <w:p w14:paraId="37DFC3D4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remainder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hyperlink r:id="rId40" w:anchor="p-Appendix-H-to-Part-36(f)(1)(ii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 xml:space="preserve"> (f)(1)(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ii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red"/>
            <w:u w:val="single"/>
            <w:lang w:eastAsia="pt-BR"/>
          </w:rPr>
          <w:t>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regarding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paths. </w:t>
      </w:r>
    </w:p>
    <w:p w14:paraId="1E6872A3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(g)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280289C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conform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those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A36.5(d)(2) it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will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necessary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values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Such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as follows: </w:t>
      </w:r>
    </w:p>
    <w:p w14:paraId="046CFB87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(i)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 Figure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H1,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formula - </w:t>
      </w:r>
    </w:p>
    <w:p w14:paraId="63FA2828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−7.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5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(AL/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+ 10 log (V/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0EE376A1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represents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algebraically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lengths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lastRenderedPageBreak/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respectively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A negative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sign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indicates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particular case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duration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EPNL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altitude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</w:t>
      </w:r>
    </w:p>
    <w:p w14:paraId="474AA7C6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paths.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level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formula - </w:t>
      </w:r>
    </w:p>
    <w:p w14:paraId="161333FE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−7.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5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(AM/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+ 10 log (V/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79BE61AD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path. </w:t>
      </w:r>
    </w:p>
    <w:p w14:paraId="17B611DA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Approach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path.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path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in Figure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H3,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formula - </w:t>
      </w:r>
    </w:p>
    <w:p w14:paraId="3ED7902B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−7.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5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(AN/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+ 10 log (V/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6EC28F65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distance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path. </w:t>
      </w:r>
    </w:p>
    <w:p w14:paraId="3904045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iv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microphones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red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term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formula - </w:t>
      </w:r>
    </w:p>
    <w:p w14:paraId="6A282233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Δ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−7.</w:t>
      </w:r>
      <w:proofErr w:type="gram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5 log</w:t>
      </w:r>
      <w:proofErr w:type="gram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(SX/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) + 10 log (V/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) </w:t>
      </w:r>
    </w:p>
    <w:p w14:paraId="20B4E422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where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based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upon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condition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positions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X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correspond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: </w:t>
      </w:r>
    </w:p>
    <w:p w14:paraId="56A0AB84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L,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6CE0C583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M,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</w:p>
    <w:p w14:paraId="06061546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X = 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X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=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vertAlign w:val="subscript"/>
          <w:lang w:eastAsia="pt-BR"/>
        </w:rPr>
        <w:t>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approach </w:t>
      </w:r>
    </w:p>
    <w:p w14:paraId="326ADA73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(2)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adjustment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sideline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microphones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take-off,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overflight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approach cases.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Although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emission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strongly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dependent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directivity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pattern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variable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from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propagation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θ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same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reference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paths.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elevation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angle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ψ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constrained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but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reported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.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certification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authority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specify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acceptable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limitations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ψ.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Corrections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data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obtained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when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these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exceeded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shall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applied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using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FAA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>approved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red"/>
          <w:lang w:eastAsia="pt-BR"/>
        </w:rPr>
        <w:t xml:space="preserve"> procedures.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484B3436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 -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41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§ 36.805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081ECB92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H36.301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measurement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20744C40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part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must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shown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measured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evaluated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Parts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14:paraId="289DED2C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H36.303 [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Reserved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] </w:t>
      </w:r>
    </w:p>
    <w:p w14:paraId="4DA0741F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H36.305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F939983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(a)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compliance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applicant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must show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test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measuring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points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H36.305(a)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following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,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appropriate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interpolation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between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): </w:t>
      </w:r>
    </w:p>
    <w:p w14:paraId="7C74FEAB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1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acoustical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as follows: </w:t>
      </w:r>
    </w:p>
    <w:p w14:paraId="2F5ADC49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plus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design,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created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prior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design. </w:t>
      </w:r>
    </w:p>
    <w:p w14:paraId="4BC1A13A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each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plus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change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type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design,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plus 2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5E531D9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2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as follows: </w:t>
      </w:r>
    </w:p>
    <w:p w14:paraId="35A201F1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For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- 109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23315238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For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- 108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88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62BF5C0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For approach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- 110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3.01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90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4F7FA48F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Stage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 xml:space="preserve"> 3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as follows: </w:t>
      </w:r>
    </w:p>
    <w:p w14:paraId="6ED8EBAC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(i)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decreases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linearly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86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12D60AA4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For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-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104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decreases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linearly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lastRenderedPageBreak/>
        <w:t xml:space="preserve">3.0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84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3862F172" w14:textId="77777777" w:rsidR="007A6574" w:rsidRPr="007A6574" w:rsidRDefault="007A6574" w:rsidP="007A6574">
      <w:pPr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iii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For approach - For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maximum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certificated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176,370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pounds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(80,000 kg)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more,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109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decreases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linearly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with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logarithm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helicopter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 rate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3.0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per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halving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weight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(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mass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)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down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89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after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which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constant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. </w:t>
      </w:r>
    </w:p>
    <w:p w14:paraId="46D58146" w14:textId="77777777" w:rsidR="007A6574" w:rsidRPr="007A6574" w:rsidRDefault="007A6574" w:rsidP="007A6574">
      <w:pPr>
        <w:spacing w:before="100" w:beforeAutospacing="1" w:after="100" w:afterAutospacing="1" w:line="240" w:lineRule="auto"/>
        <w:ind w:left="18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(b) </w:t>
      </w:r>
      <w:proofErr w:type="spellStart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Tradeoffs</w:t>
      </w:r>
      <w:proofErr w:type="spellEnd"/>
      <w:r w:rsidRPr="007A657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Except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extent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hyperlink r:id="rId42" w:anchor="p-36.11(b)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§ 36.11(b)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of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this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</w:t>
        </w:r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part</w:t>
        </w:r>
        <w:proofErr w:type="spellEnd"/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limits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prescribed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hyperlink r:id="rId43" w:anchor="p-Appendix-H-to-Part-36(a)" w:history="1">
        <w:proofErr w:type="spellStart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>paragraph</w:t>
        </w:r>
        <w:proofErr w:type="spellEnd"/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highlight w:val="green"/>
            <w:u w:val="single"/>
            <w:lang w:eastAsia="pt-BR"/>
          </w:rPr>
          <w:t xml:space="preserve"> (a)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may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two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takeoff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flyover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approach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determined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under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section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H36.203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appendix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07CD32A0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(1) The sum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of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4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</w:p>
    <w:p w14:paraId="661BCF95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(2) No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exceedance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is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greater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than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3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EPNdB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and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</w:p>
    <w:p w14:paraId="53F76E74" w14:textId="77777777" w:rsidR="007A6574" w:rsidRPr="007A6574" w:rsidRDefault="007A6574" w:rsidP="007A657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(3) The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exceedances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are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completely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offset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by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reduction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in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the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other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required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calculated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noise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 xml:space="preserve">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levels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highlight w:val="green"/>
          <w:lang w:eastAsia="pt-BR"/>
        </w:rPr>
        <w:t>.</w:t>
      </w: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14:paraId="5655447C" w14:textId="77777777" w:rsidR="007A6574" w:rsidRPr="007A6574" w:rsidRDefault="007A6574" w:rsidP="007A65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[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36-14, </w:t>
      </w:r>
      <w:hyperlink r:id="rId44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53 FR 3541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Feb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5, 1988; </w:t>
      </w:r>
      <w:hyperlink r:id="rId45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53 FR 4099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Feb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11, 1988; </w:t>
      </w:r>
      <w:hyperlink r:id="rId46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53 FR 7728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Mar. 10, 1988, as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amended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by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36-54, </w:t>
      </w:r>
      <w:hyperlink r:id="rId47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67 FR 45237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July 8, 2002;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36-25, </w:t>
      </w:r>
      <w:hyperlink r:id="rId48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69 FR 31234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June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2, 2004;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36-25, </w:t>
      </w:r>
      <w:hyperlink r:id="rId49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69 FR 41573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July 9, 2004;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36-30, </w:t>
      </w:r>
      <w:hyperlink r:id="rId50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79 FR 12045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Mar. 4, 2014; FAA Doc. No. FAA-2015-3782,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Amdt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No. 36-31, </w:t>
      </w:r>
      <w:hyperlink r:id="rId51" w:history="1">
        <w:r w:rsidRPr="007A657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82 FR 46131</w:t>
        </w:r>
      </w:hyperlink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</w:t>
      </w:r>
      <w:proofErr w:type="spellStart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Oct</w:t>
      </w:r>
      <w:proofErr w:type="spellEnd"/>
      <w:r w:rsidRPr="007A6574">
        <w:rPr>
          <w:rFonts w:ascii="Times New Roman" w:eastAsia="Times New Roman" w:hAnsi="Times New Roman" w:cs="Times New Roman"/>
          <w:sz w:val="24"/>
          <w:szCs w:val="24"/>
          <w:lang w:eastAsia="pt-BR"/>
        </w:rPr>
        <w:t>. 4, 2017]</w:t>
      </w:r>
    </w:p>
    <w:p w14:paraId="7AC45023" w14:textId="77777777" w:rsidR="00A34D55" w:rsidRDefault="00A34D55"/>
    <w:sectPr w:rsidR="00A34D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74"/>
    <w:rsid w:val="00007430"/>
    <w:rsid w:val="00052979"/>
    <w:rsid w:val="001942AF"/>
    <w:rsid w:val="002F1050"/>
    <w:rsid w:val="007A6574"/>
    <w:rsid w:val="00A34D55"/>
    <w:rsid w:val="00B7766A"/>
    <w:rsid w:val="00F96BCC"/>
    <w:rsid w:val="00FD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F71E0"/>
  <w15:chartTrackingRefBased/>
  <w15:docId w15:val="{67321240-C4BE-4387-B9A1-3558ADFD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d2-paragraph">
    <w:name w:val="hd2-paragraph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7766A"/>
    <w:rPr>
      <w:i/>
      <w:iCs/>
    </w:rPr>
  </w:style>
  <w:style w:type="paragraph" w:customStyle="1" w:styleId="flush-paragraph-2">
    <w:name w:val="flush-paragraph-2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flush-paragraph">
    <w:name w:val="flush-paragraph"/>
    <w:basedOn w:val="Normal"/>
    <w:rsid w:val="00B77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raction">
    <w:name w:val="fraction"/>
    <w:basedOn w:val="Fontepargpadro"/>
    <w:rsid w:val="00B7766A"/>
  </w:style>
  <w:style w:type="character" w:customStyle="1" w:styleId="numerator">
    <w:name w:val="numerator"/>
    <w:basedOn w:val="Fontepargpadro"/>
    <w:rsid w:val="00B7766A"/>
  </w:style>
  <w:style w:type="character" w:customStyle="1" w:styleId="denominator">
    <w:name w:val="denominator"/>
    <w:basedOn w:val="Fontepargpadro"/>
    <w:rsid w:val="00B776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8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13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08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3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72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3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92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37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44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9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1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7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53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0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9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77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3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8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8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7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2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7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9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20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7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1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1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33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4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8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3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17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3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7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0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5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18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5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0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2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97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9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1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46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2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3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4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7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60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2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39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3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1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25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03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7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5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4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img.federalregister.gov/ER08JY02.008/ER08JY02.008_original_size.png" TargetMode="External"/><Relationship Id="rId26" Type="http://schemas.openxmlformats.org/officeDocument/2006/relationships/hyperlink" Target="https://www.ecfr.gov/current/title-14/section-36.801" TargetMode="External"/><Relationship Id="rId39" Type="http://schemas.openxmlformats.org/officeDocument/2006/relationships/hyperlink" Target="https://www.ecfr.gov/current/title-14/appendix-Appendix%20H%20to%20Part%2036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ecfr.gov/current/title-14/appendix-Appendix%20H%20to%20Part%2036" TargetMode="External"/><Relationship Id="rId42" Type="http://schemas.openxmlformats.org/officeDocument/2006/relationships/hyperlink" Target="https://www.ecfr.gov/current/title-14/part-36/section-36.11" TargetMode="External"/><Relationship Id="rId47" Type="http://schemas.openxmlformats.org/officeDocument/2006/relationships/hyperlink" Target="https://www.federalregister.gov/citation/67-FR-45237" TargetMode="External"/><Relationship Id="rId50" Type="http://schemas.openxmlformats.org/officeDocument/2006/relationships/hyperlink" Target="https://www.federalregister.gov/citation/79-FR-12045" TargetMode="Externa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hyperlink" Target="https://img.federalregister.gov/ER08JY02.007/ER08JY02.007_original_size.png" TargetMode="External"/><Relationship Id="rId29" Type="http://schemas.openxmlformats.org/officeDocument/2006/relationships/hyperlink" Target="https://www.ecfr.gov/current/title-14/part-36/section-36.803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ecfr.gov/current/title-14/section-36.803" TargetMode="External"/><Relationship Id="rId32" Type="http://schemas.openxmlformats.org/officeDocument/2006/relationships/image" Target="media/image11.png"/><Relationship Id="rId37" Type="http://schemas.openxmlformats.org/officeDocument/2006/relationships/hyperlink" Target="https://www.ecfr.gov/current/title-14/appendix-Appendix%20H%20to%20Part%2036" TargetMode="External"/><Relationship Id="rId40" Type="http://schemas.openxmlformats.org/officeDocument/2006/relationships/hyperlink" Target="https://www.ecfr.gov/current/title-14/appendix-Appendix%20H%20to%20Part%2036" TargetMode="External"/><Relationship Id="rId45" Type="http://schemas.openxmlformats.org/officeDocument/2006/relationships/hyperlink" Target="https://www.federalregister.gov/citation/53-FR-4099" TargetMode="External"/><Relationship Id="rId53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hyperlink" Target="https://img.federalregister.gov/ER08JY02.004/ER08JY02.004_original_size.png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0.png"/><Relationship Id="rId44" Type="http://schemas.openxmlformats.org/officeDocument/2006/relationships/hyperlink" Target="https://www.federalregister.gov/citation/53-FR-3541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img.federalregister.gov/ER08JY02.001/ER08JY02.001_original_size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img.federalregister.gov/ER08JY02.006/ER08JY02.006_original_size.png" TargetMode="External"/><Relationship Id="rId22" Type="http://schemas.openxmlformats.org/officeDocument/2006/relationships/hyperlink" Target="https://www.ecfr.gov/current/title-14/section-36.1" TargetMode="External"/><Relationship Id="rId27" Type="http://schemas.openxmlformats.org/officeDocument/2006/relationships/hyperlink" Target="https://www.ecfr.gov/current/title-14/part-36/appendix-Appendix%20A%20to%20Part%2036" TargetMode="External"/><Relationship Id="rId30" Type="http://schemas.openxmlformats.org/officeDocument/2006/relationships/hyperlink" Target="https://www.ecfr.gov/current/title-14/appendix-Appendix%20H%20to%20Part%2036" TargetMode="External"/><Relationship Id="rId35" Type="http://schemas.openxmlformats.org/officeDocument/2006/relationships/hyperlink" Target="https://www.ecfr.gov/current/title-14/appendix-Appendix%20H%20to%20Part%2036" TargetMode="External"/><Relationship Id="rId43" Type="http://schemas.openxmlformats.org/officeDocument/2006/relationships/hyperlink" Target="https://www.ecfr.gov/current/title-14/appendix-Appendix%20H%20to%20Part%2036" TargetMode="External"/><Relationship Id="rId48" Type="http://schemas.openxmlformats.org/officeDocument/2006/relationships/hyperlink" Target="https://www.federalregister.gov/citation/69-FR-31234" TargetMode="External"/><Relationship Id="rId8" Type="http://schemas.openxmlformats.org/officeDocument/2006/relationships/hyperlink" Target="https://img.federalregister.gov/ER08JY02.003/ER08JY02.003_original_size.png" TargetMode="External"/><Relationship Id="rId51" Type="http://schemas.openxmlformats.org/officeDocument/2006/relationships/hyperlink" Target="https://www.federalregister.gov/citation/82-FR-46131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img.federalregister.gov/ER08JY02.005/ER08JY02.005_original_size.png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s://www.ecfr.gov/current/title-14/section-36.805" TargetMode="External"/><Relationship Id="rId33" Type="http://schemas.openxmlformats.org/officeDocument/2006/relationships/image" Target="media/image12.png"/><Relationship Id="rId38" Type="http://schemas.openxmlformats.org/officeDocument/2006/relationships/hyperlink" Target="https://www.ecfr.gov/current/title-14/appendix-Appendix%20H%20to%20Part%2036" TargetMode="External"/><Relationship Id="rId46" Type="http://schemas.openxmlformats.org/officeDocument/2006/relationships/hyperlink" Target="https://www.federalregister.gov/citation/53-FR-7728" TargetMode="External"/><Relationship Id="rId20" Type="http://schemas.openxmlformats.org/officeDocument/2006/relationships/hyperlink" Target="https://img.federalregister.gov/ER08JY02.009/ER08JY02.009_original_size.png" TargetMode="External"/><Relationship Id="rId41" Type="http://schemas.openxmlformats.org/officeDocument/2006/relationships/hyperlink" Target="https://www.ecfr.gov/current/title-14/section-36.805" TargetMode="External"/><Relationship Id="rId1" Type="http://schemas.openxmlformats.org/officeDocument/2006/relationships/styles" Target="styles.xml"/><Relationship Id="rId6" Type="http://schemas.openxmlformats.org/officeDocument/2006/relationships/hyperlink" Target="https://img.federalregister.gov/ER08JY02.002/ER08JY02.002_original_size.png" TargetMode="External"/><Relationship Id="rId15" Type="http://schemas.openxmlformats.org/officeDocument/2006/relationships/image" Target="media/image6.png"/><Relationship Id="rId23" Type="http://schemas.openxmlformats.org/officeDocument/2006/relationships/hyperlink" Target="https://www.ecfr.gov/current/title-14/section-36.801" TargetMode="External"/><Relationship Id="rId28" Type="http://schemas.openxmlformats.org/officeDocument/2006/relationships/hyperlink" Target="https://www.ecfr.gov/current/title-14/section-36.803" TargetMode="External"/><Relationship Id="rId36" Type="http://schemas.openxmlformats.org/officeDocument/2006/relationships/hyperlink" Target="https://www.ecfr.gov/current/title-14/appendix-Appendix%20H%20to%20Part%2036" TargetMode="External"/><Relationship Id="rId49" Type="http://schemas.openxmlformats.org/officeDocument/2006/relationships/hyperlink" Target="https://www.federalregister.gov/citation/69-FR-41573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32</Pages>
  <Words>9297</Words>
  <Characters>50208</Characters>
  <Application>Microsoft Office Word</Application>
  <DocSecurity>0</DocSecurity>
  <Lines>418</Lines>
  <Paragraphs>118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Steganha Luta</dc:creator>
  <cp:keywords/>
  <dc:description/>
  <cp:lastModifiedBy>Pedro Henrique Steganha Luta</cp:lastModifiedBy>
  <cp:revision>2</cp:revision>
  <dcterms:created xsi:type="dcterms:W3CDTF">2023-04-03T20:05:00Z</dcterms:created>
  <dcterms:modified xsi:type="dcterms:W3CDTF">2023-04-05T19:56:00Z</dcterms:modified>
</cp:coreProperties>
</file>