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D14F2" w14:textId="6D981735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part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-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17295458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 xml:space="preserve"> H36.1 General.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prescribes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requirements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specified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hyperlink r:id="rId4" w:history="1"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>§ 36.1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including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: </w:t>
      </w:r>
    </w:p>
    <w:p w14:paraId="279571F0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(a)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tests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Part H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conducted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procedures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hyperlink r:id="rId5" w:history="1"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>§ 36.801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; </w:t>
      </w:r>
    </w:p>
    <w:p w14:paraId="2B40BFFB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(b) The procedures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hyperlink r:id="rId6" w:history="1"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>§ 36.803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data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evaluation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quantity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designated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Effective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(EPNL);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6E11D812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(c)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compliance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shown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hyperlink r:id="rId7" w:history="1"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>§ 36.805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3D9B2D37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H36.3</w:t>
      </w: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Test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522686E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(a)</w:t>
      </w: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Meteorological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position, performance data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following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atmospheric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shall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assumed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exist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surface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altitude: </w:t>
      </w:r>
    </w:p>
    <w:p w14:paraId="140D0873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(1) Sea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2,116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psf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(1,013.25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hPa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). </w:t>
      </w:r>
    </w:p>
    <w:p w14:paraId="5309D800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(2)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Ambient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temperature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77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degrees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 (25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degrees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C). </w:t>
      </w:r>
    </w:p>
    <w:p w14:paraId="3BB068FE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(3)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Relative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humidity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70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79B8AED0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(4) Zero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3E09B9B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(c)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profile.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1ABE54FD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(1) Figure H1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illustrates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typical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profile,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including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12CF32EC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(2)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defined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as a straight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segment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inclined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starting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point (1,640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(500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center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microphone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location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65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(20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ground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constant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climb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angle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β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defined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certificated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rate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climb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minimum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engine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performance.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constant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climb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angle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β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derived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manufacturer's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data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FAA)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define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profile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constant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climb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angle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β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drawn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through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r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continues, crossing over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position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corresponding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type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represented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position 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r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31E14660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(d)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profile.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beginning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profile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represented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position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(Figure H2).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approaches position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492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ground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airspeed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either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0.9V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H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; 0.9V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NE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; 0.45V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H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+ 65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kts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(0.45V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H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+ 120km/h);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0.45V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NE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+ 65kts (0.45V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NE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+ 120 km/h),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whichever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lastRenderedPageBreak/>
        <w:t xml:space="preserve">four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speeds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least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crosses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directly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overhead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proceeds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position J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r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2A55A505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(e)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purposes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, 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H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defined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airspeed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obtained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using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minimum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specified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engine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torque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corresponding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continuous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power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available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sea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2,116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psf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(1,013.25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hPa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77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°F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(25 °C)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ambient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relevant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certificated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NE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never-exceed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airspeed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H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NE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listed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Rotorcraft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Manual. </w:t>
      </w:r>
    </w:p>
    <w:p w14:paraId="32A889FB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(f) </w:t>
      </w:r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Approach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profile.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06C241DF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(1) Figure H3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illustrates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profile,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including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6565B9C3" w14:textId="77777777" w:rsidR="007A6574" w:rsidRPr="007A6574" w:rsidRDefault="007A6574" w:rsidP="007A65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(i)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beginning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profile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represented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position E. The position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recorded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sufficient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distance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(EK)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ensure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recording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entire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interval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within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10 dB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(PNLTM).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path,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r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K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represents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stable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terms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torque, rpm,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indicated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airspeed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rate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descent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resulting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a 6°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angle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0A945F0F" w14:textId="77777777" w:rsidR="007A6574" w:rsidRPr="007A6574" w:rsidRDefault="007A6574" w:rsidP="007A65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profile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defined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angle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η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passing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directly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over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AH,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position K,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terminates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profile.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angle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η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between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5.5°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6.5°. </w:t>
      </w:r>
    </w:p>
    <w:p w14:paraId="790F8788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(2)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approaches position 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along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constant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6°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slope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throughout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10 dB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time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period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crosses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position 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proceeds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along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slope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crossing over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until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reaches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position K.</w:t>
      </w: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30F7A07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H36.103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. </w:t>
      </w:r>
    </w:p>
    <w:p w14:paraId="43C934EF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(a)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addition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applicable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requirements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sections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H36.101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H36.205(b)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applies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tests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conducted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show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compliance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Part 36. </w:t>
      </w:r>
    </w:p>
    <w:p w14:paraId="19009F3A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(b)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series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consist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least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flights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over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-track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simultaneous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measurements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three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stations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) as follows: </w:t>
      </w:r>
    </w:p>
    <w:p w14:paraId="47E924D9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(1)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airspeed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either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  <w:lang w:eastAsia="pt-BR"/>
        </w:rPr>
        <w:t>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±5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knots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lowest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±5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knots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climb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after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whichever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greater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established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maintained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throughout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10 dB-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time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interval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. </w:t>
      </w:r>
    </w:p>
    <w:p w14:paraId="56377C30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(2) The horizontal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portion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conducted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altitude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65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(20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ground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-track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. </w:t>
      </w:r>
    </w:p>
    <w:p w14:paraId="29A411BC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lastRenderedPageBreak/>
        <w:t xml:space="preserve">(3)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Upon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reaching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a point 1,640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(500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stabilized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power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corresponds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minimum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installed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engine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(s)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specification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power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available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ambient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gearbox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torque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limit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whichever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lower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. </w:t>
      </w:r>
    </w:p>
    <w:p w14:paraId="16491A0A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(4)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maintained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throughout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10 dB-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time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interval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rate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climb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  <w:lang w:eastAsia="pt-BR"/>
        </w:rPr>
        <w:t>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±5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knots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lowest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climb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after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whichever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greater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ambient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temperature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25 °C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sea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. </w:t>
      </w:r>
    </w:p>
    <w:p w14:paraId="0D78A2B7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(5)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average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rotor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vary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normal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operating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rotor RPM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more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±1.0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percent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during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10 dB-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time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interval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. </w:t>
      </w:r>
    </w:p>
    <w:p w14:paraId="6806F8FB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(6)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stay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within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±10°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±65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(±20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),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whichever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greater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vertical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track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throughout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10dB-down time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interval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. </w:t>
      </w:r>
    </w:p>
    <w:p w14:paraId="6E8A9F5B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(7)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constant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configuration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selected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applicant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maintained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throughout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procedure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landing gear position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consistent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airworthiness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tests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establishing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rate-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-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climb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  <w:lang w:eastAsia="pt-BR"/>
        </w:rPr>
        <w:t>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. </w:t>
      </w:r>
    </w:p>
    <w:p w14:paraId="57104EA8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H36.105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. </w:t>
      </w:r>
    </w:p>
    <w:p w14:paraId="27A672C0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(a)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addition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applicable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requirements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sections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H36.101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H36.205(c)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applies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tests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conducted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show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compliance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Part 36. </w:t>
      </w:r>
    </w:p>
    <w:p w14:paraId="378D02EC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(b)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series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consists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least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flights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number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flights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made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headwind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component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equal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number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flights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made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tailwind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component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simultaneous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measurements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three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stations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- </w:t>
      </w:r>
    </w:p>
    <w:p w14:paraId="37B5E30A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(1)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cruise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configuration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; </w:t>
      </w:r>
    </w:p>
    <w:p w14:paraId="57D3BF2A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(2) At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height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492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±30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(150 ±9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ground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-track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;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</w:p>
    <w:p w14:paraId="71598180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(3)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within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±10°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±65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(±20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),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whichever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greater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vertical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track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throughout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10 dB-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time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interval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. </w:t>
      </w:r>
    </w:p>
    <w:p w14:paraId="11CA0423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(c)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conducted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- </w:t>
      </w:r>
    </w:p>
    <w:p w14:paraId="0E0D7747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(1) At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0.9V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  <w:lang w:eastAsia="pt-BR"/>
        </w:rPr>
        <w:t>H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; 0.9V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  <w:lang w:eastAsia="pt-BR"/>
        </w:rPr>
        <w:t>NE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; 0.45V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  <w:lang w:eastAsia="pt-BR"/>
        </w:rPr>
        <w:t>H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+ 65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kts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(0.45V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  <w:lang w:eastAsia="pt-BR"/>
        </w:rPr>
        <w:t>H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+ 120 km/h);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0.45V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  <w:lang w:eastAsia="pt-BR"/>
        </w:rPr>
        <w:t>NE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+ 65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kts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(0.45V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  <w:lang w:eastAsia="pt-BR"/>
        </w:rPr>
        <w:t>NE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+ 120 km/h),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whichever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least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maintained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throughout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portion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; </w:t>
      </w:r>
    </w:p>
    <w:p w14:paraId="35A599FD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(2) At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average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rotor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vary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normal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operating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rotor RPM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more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±1.0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percent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during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10 dB-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time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interval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. </w:t>
      </w:r>
    </w:p>
    <w:p w14:paraId="2D11456B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lastRenderedPageBreak/>
        <w:t xml:space="preserve">(3)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power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stabilized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during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period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when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within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10 dB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PNLTM. </w:t>
      </w:r>
    </w:p>
    <w:p w14:paraId="0AA0F0CB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(d)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airspeed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shall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vary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airspeed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more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±5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knots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(9 km/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hr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). </w:t>
      </w:r>
    </w:p>
    <w:p w14:paraId="5B4243D5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H36.107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. </w:t>
      </w:r>
    </w:p>
    <w:p w14:paraId="1831230A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(a)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addition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requirements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sections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H36.101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H36.205(d)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applies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tests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conducted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show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compliance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Part 36. </w:t>
      </w:r>
    </w:p>
    <w:p w14:paraId="3019F640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(b)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series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consist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least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flights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over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-track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simultaneous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measurements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three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stations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) - </w:t>
      </w:r>
    </w:p>
    <w:p w14:paraId="6F08B0E4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(1)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slope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6° ±0.5°; </w:t>
      </w:r>
    </w:p>
    <w:p w14:paraId="3B770B25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(2) At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height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394 ±33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(120 ±10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) </w:t>
      </w:r>
    </w:p>
    <w:p w14:paraId="60F36F12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(3)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within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±10°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±65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(±20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) lateral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deviation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tolerance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whichever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greater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vertical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track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throughout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10 dB-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time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interval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; </w:t>
      </w:r>
    </w:p>
    <w:p w14:paraId="75F8DD34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(4) At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stabilized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airspeed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equal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certificated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rate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climb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  <w:lang w:eastAsia="pt-BR"/>
        </w:rPr>
        <w:t>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lowest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for approach,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whichever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greater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power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stabilized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during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over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point,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continued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a normal touchdown;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</w:p>
    <w:p w14:paraId="674B01A9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(5) At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average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rotor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may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vary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normal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operating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rotor RPM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more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±1.0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percent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during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10 dB-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time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interval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;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</w:p>
    <w:p w14:paraId="438B8E48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(6)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constant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configuration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used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airworthiness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tests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landing gear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extended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maintained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throughout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procedure. </w:t>
      </w:r>
    </w:p>
    <w:p w14:paraId="5BDE2A7C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(c)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airspeed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shall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vary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airspeed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more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±5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knots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(±9 km/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hr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).</w:t>
      </w: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11AE51A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b)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profiles.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7FD3BB9B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(1) Figure H1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illustrates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typical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profile,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including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78D12D1B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(i)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H36.3(c). </w:t>
      </w:r>
    </w:p>
    <w:p w14:paraId="0BBC5DAC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parameters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functions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helicopter's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performance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atmospheric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temperature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velocity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direction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54624282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lastRenderedPageBreak/>
        <w:t xml:space="preserve">(2)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actual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approaches position C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65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(20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ground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track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either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±5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knots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lowest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climb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after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whichever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greater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589E69D0" w14:textId="3D8529B0" w:rsidR="007A6574" w:rsidRPr="007A6574" w:rsidRDefault="00AE4B49" w:rsidP="007A6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2F1050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389D2B4A" wp14:editId="47490A49">
            <wp:extent cx="5400040" cy="385635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42AD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(3) Figure H1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illustrates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significant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geometrical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relationships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influencing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Position 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represents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location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PNLTM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observed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corresponding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position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path.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paths AL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AL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both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form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same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angle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θ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theta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relative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their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respective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paths. </w:t>
      </w:r>
    </w:p>
    <w:p w14:paraId="6560D930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(c)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profiles.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4F78E752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(1)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type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profile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shown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Figure H2.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Airspeed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stabilized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within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±5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knots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airspeed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determined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using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procedures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H36.3(d).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number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made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headwind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component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equal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number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made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tailwind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component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6C4F094E" w14:textId="233482F4" w:rsidR="007A6574" w:rsidRPr="007A6574" w:rsidRDefault="00AE4B49" w:rsidP="007A6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2F105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drawing>
          <wp:inline distT="0" distB="0" distL="0" distR="0" wp14:anchorId="3090981E" wp14:editId="07CD443C">
            <wp:extent cx="5400040" cy="2988945"/>
            <wp:effectExtent l="0" t="0" r="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F158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(2) Figure H2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illustrates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comparative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profiles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do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conform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The position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shall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recorded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distance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(DJ)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sufficient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ensure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recording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entire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interval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within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10 dB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PNLTM,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required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profile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defined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AG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function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operating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controlled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pilot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Position 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represents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location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path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PNLTM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observed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corresponding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position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path. </w:t>
      </w:r>
    </w:p>
    <w:p w14:paraId="374B881F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(d) </w:t>
      </w:r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Approach profiles.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67B1EE38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(1) Figure H3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illustrates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typical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profile,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including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300CB5D5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(2)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approaches position 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along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6° (±0.5°)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average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slope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throughout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10dB-down time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interval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Deviation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6°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average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slope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FAA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before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testing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72A87DE6" w14:textId="76D3AA15" w:rsidR="007A6574" w:rsidRPr="007A6574" w:rsidRDefault="00AE4B49" w:rsidP="007A6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2F105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drawing>
          <wp:inline distT="0" distB="0" distL="0" distR="0" wp14:anchorId="3130E117" wp14:editId="0268DFAA">
            <wp:extent cx="5400040" cy="35788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D25F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(3) Figure H3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illustrates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portions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paths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including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significant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geometrical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relationships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influencing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represented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segment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EK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allowable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angle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θ.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positions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K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r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define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idealized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angle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6°. Position 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represents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location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path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PNLTM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observed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corresponding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position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path.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paths are AN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respectively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both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form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same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angle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θ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APP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corresponding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PNLTM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relative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their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paths.</w:t>
      </w: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84B3436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part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 -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limits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11" w:history="1"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§ 36.805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81ECB92" w14:textId="77777777" w:rsidR="007A6574" w:rsidRPr="00AE4B49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proofErr w:type="spellStart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Section</w:t>
      </w:r>
      <w:proofErr w:type="spellEnd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H36.301 </w:t>
      </w:r>
      <w:proofErr w:type="spellStart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Noise</w:t>
      </w:r>
      <w:proofErr w:type="spellEnd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measurement</w:t>
      </w:r>
      <w:proofErr w:type="spellEnd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evaluation</w:t>
      </w:r>
      <w:proofErr w:type="spellEnd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and</w:t>
      </w:r>
      <w:proofErr w:type="spellEnd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calculation</w:t>
      </w:r>
      <w:proofErr w:type="spellEnd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. </w:t>
      </w:r>
    </w:p>
    <w:p w14:paraId="20744C40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Compliance</w:t>
      </w:r>
      <w:proofErr w:type="spellEnd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</w:t>
      </w:r>
      <w:proofErr w:type="spellEnd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this</w:t>
      </w:r>
      <w:proofErr w:type="spellEnd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part</w:t>
      </w:r>
      <w:proofErr w:type="spellEnd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this</w:t>
      </w:r>
      <w:proofErr w:type="spellEnd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appendix</w:t>
      </w:r>
      <w:proofErr w:type="spellEnd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must </w:t>
      </w:r>
      <w:proofErr w:type="spellStart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be</w:t>
      </w:r>
      <w:proofErr w:type="spellEnd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shown</w:t>
      </w:r>
      <w:proofErr w:type="spellEnd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</w:t>
      </w:r>
      <w:proofErr w:type="spellEnd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noise</w:t>
      </w:r>
      <w:proofErr w:type="spellEnd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levels</w:t>
      </w:r>
      <w:proofErr w:type="spellEnd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measured</w:t>
      </w:r>
      <w:proofErr w:type="spellEnd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evaluated</w:t>
      </w:r>
      <w:proofErr w:type="spellEnd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and</w:t>
      </w:r>
      <w:proofErr w:type="spellEnd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calculated</w:t>
      </w:r>
      <w:proofErr w:type="spellEnd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as </w:t>
      </w:r>
      <w:proofErr w:type="spellStart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prescribed</w:t>
      </w:r>
      <w:proofErr w:type="spellEnd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under</w:t>
      </w:r>
      <w:proofErr w:type="spellEnd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Parts</w:t>
      </w:r>
      <w:proofErr w:type="spellEnd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B </w:t>
      </w:r>
      <w:proofErr w:type="spellStart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and</w:t>
      </w:r>
      <w:proofErr w:type="spellEnd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C </w:t>
      </w:r>
      <w:proofErr w:type="spellStart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this</w:t>
      </w:r>
      <w:proofErr w:type="spellEnd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appendix</w:t>
      </w:r>
      <w:proofErr w:type="spellEnd"/>
      <w:r w:rsidRPr="00AE4B4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DA0741F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H36.305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1F939983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(a)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Limits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compliance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applicant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must show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points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H36.305(a)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do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exceed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following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,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appropriate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interpolation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between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): </w:t>
      </w:r>
    </w:p>
    <w:p w14:paraId="7C74FEAB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(1)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Stage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1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acoustical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changes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are as follows: </w:t>
      </w:r>
    </w:p>
    <w:p w14:paraId="2F5ADC49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(i)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exceed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2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plus 2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lastRenderedPageBreak/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after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change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type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design,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exceed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created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prior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change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type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design. </w:t>
      </w:r>
    </w:p>
    <w:p w14:paraId="4BC1A13A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do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exceed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2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plus 2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after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change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type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design,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exceed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2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plus 2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5E531D90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(2)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Stage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2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are as follows: </w:t>
      </w:r>
    </w:p>
    <w:p w14:paraId="35A201F1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(i) </w:t>
      </w:r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For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- 109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176,370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pounds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(80,000 kg)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more,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reduced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3.01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halving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89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after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constant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23315238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For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- 108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176,370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pounds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(80,000 kg)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more,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reduced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3.01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halving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88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after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constant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362BF5C0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For approach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- 110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176,370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pounds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(80,000 kg)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more,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reduced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3.01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halving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90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after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constant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4F7FA48F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(3)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Stage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3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are as follows: </w:t>
      </w:r>
    </w:p>
    <w:p w14:paraId="6ED8EBAC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(i)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- For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having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certificated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176,370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pounds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(80,000 kg)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more,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106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decreases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linearly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logarithm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mass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rate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3.0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halving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mass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86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after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constant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12D60AA4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- For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having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certificated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176,370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pounds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(80,000 kg)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more,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104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decreases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linearly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logarithm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mass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rate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3.0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halving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mass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84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after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constant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3862F172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For approach - For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having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certificated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176,370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pounds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(80,000 kg)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more,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109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decreases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linearly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logarithm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mass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rate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3.0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halving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mass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89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after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constant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46D58146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(b)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Tradeoffs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Except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extent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hyperlink r:id="rId12" w:anchor="p-36.11(b)" w:history="1"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 xml:space="preserve">§ 36.11(b) </w:t>
        </w:r>
        <w:proofErr w:type="spellStart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>of</w:t>
        </w:r>
        <w:proofErr w:type="spellEnd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 xml:space="preserve"> </w:t>
        </w:r>
        <w:proofErr w:type="spellStart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>this</w:t>
        </w:r>
        <w:proofErr w:type="spellEnd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 xml:space="preserve"> </w:t>
        </w:r>
        <w:proofErr w:type="spellStart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>part</w:t>
        </w:r>
        <w:proofErr w:type="spellEnd"/>
      </w:hyperlink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hyperlink r:id="rId13" w:anchor="p-Appendix-H-to-Part-36(a)" w:history="1">
        <w:proofErr w:type="spellStart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>paragraph</w:t>
        </w:r>
        <w:proofErr w:type="spellEnd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 xml:space="preserve"> (a)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exceeded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two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determined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H36.203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07CD32A0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(1) The sum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exceedances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greater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4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; </w:t>
      </w:r>
    </w:p>
    <w:p w14:paraId="661BCF95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(2) No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exceedance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greater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3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;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7AC45023" w14:textId="0C5932DC" w:rsidR="00A34D55" w:rsidRPr="00AE4B49" w:rsidRDefault="007A6574" w:rsidP="00AE4B4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lastRenderedPageBreak/>
        <w:t xml:space="preserve">(3)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exceedances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completely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offset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reduction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other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required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sectPr w:rsidR="00A34D55" w:rsidRPr="00AE4B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74"/>
    <w:rsid w:val="00007430"/>
    <w:rsid w:val="00052979"/>
    <w:rsid w:val="001942AF"/>
    <w:rsid w:val="007A6574"/>
    <w:rsid w:val="00A34D55"/>
    <w:rsid w:val="00AE4B49"/>
    <w:rsid w:val="00B7766A"/>
    <w:rsid w:val="00FD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F71E0"/>
  <w15:chartTrackingRefBased/>
  <w15:docId w15:val="{67321240-C4BE-4387-B9A1-3558ADFD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d2-paragraph">
    <w:name w:val="hd2-paragraph"/>
    <w:basedOn w:val="Normal"/>
    <w:rsid w:val="00B77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77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7766A"/>
    <w:rPr>
      <w:i/>
      <w:iCs/>
    </w:rPr>
  </w:style>
  <w:style w:type="paragraph" w:customStyle="1" w:styleId="flush-paragraph-2">
    <w:name w:val="flush-paragraph-2"/>
    <w:basedOn w:val="Normal"/>
    <w:rsid w:val="00B77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lush-paragraph">
    <w:name w:val="flush-paragraph"/>
    <w:basedOn w:val="Normal"/>
    <w:rsid w:val="00B77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raction">
    <w:name w:val="fraction"/>
    <w:basedOn w:val="Fontepargpadro"/>
    <w:rsid w:val="00B7766A"/>
  </w:style>
  <w:style w:type="character" w:customStyle="1" w:styleId="numerator">
    <w:name w:val="numerator"/>
    <w:basedOn w:val="Fontepargpadro"/>
    <w:rsid w:val="00B7766A"/>
  </w:style>
  <w:style w:type="character" w:customStyle="1" w:styleId="denominator">
    <w:name w:val="denominator"/>
    <w:basedOn w:val="Fontepargpadro"/>
    <w:rsid w:val="00B77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9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1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3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8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3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2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37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4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7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3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9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77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7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2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8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5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1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0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0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2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6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7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3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17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8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8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5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0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9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2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7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4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8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7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0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7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9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8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2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1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5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3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0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1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11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6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5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4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ecfr.gov/current/title-14/appendix-Appendix%20H%20to%20Part%20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cfr.gov/current/title-14/section-36.805" TargetMode="External"/><Relationship Id="rId12" Type="http://schemas.openxmlformats.org/officeDocument/2006/relationships/hyperlink" Target="https://www.ecfr.gov/current/title-14/part-36/section-36.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cfr.gov/current/title-14/section-36.803" TargetMode="External"/><Relationship Id="rId11" Type="http://schemas.openxmlformats.org/officeDocument/2006/relationships/hyperlink" Target="https://www.ecfr.gov/current/title-14/section-36.805" TargetMode="External"/><Relationship Id="rId5" Type="http://schemas.openxmlformats.org/officeDocument/2006/relationships/hyperlink" Target="https://www.ecfr.gov/current/title-14/section-36.80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hyperlink" Target="https://www.ecfr.gov/current/title-14/section-36.1" TargetMode="Externa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2491</Words>
  <Characters>13457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Steganha Luta</dc:creator>
  <cp:keywords/>
  <dc:description/>
  <cp:lastModifiedBy>Pedro Henrique Steganha Luta</cp:lastModifiedBy>
  <cp:revision>2</cp:revision>
  <dcterms:created xsi:type="dcterms:W3CDTF">2023-04-03T20:05:00Z</dcterms:created>
  <dcterms:modified xsi:type="dcterms:W3CDTF">2023-04-05T19:56:00Z</dcterms:modified>
</cp:coreProperties>
</file>