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Relatório de Qualidade - Release 1</w:t>
      </w:r>
    </w:p>
    <w:p>
      <w:pPr>
        <w:jc w:val="center"/>
      </w:pPr>
      <w:r>
        <w:t>Projeto GameKeys · Gerência de Projeto · UEPB · 2026.2</w:t>
      </w:r>
    </w:p>
    <w:p>
      <w:pPr>
        <w:jc w:val="center"/>
      </w:pPr>
      <w:r>
        <w:t>Equipe: Pedro Lucas Vaz de Andrade (PO e DevOps), Wagner Tiburcio da Silva Junior (QA) e Rodrigo Almeida Gomes (SM)</w:t>
      </w:r>
    </w:p>
    <w:p>
      <w:pPr>
        <w:jc w:val="center"/>
      </w:pPr>
      <w:r>
        <w:t>Responsável: QA - Wagner Tiburcio da Silva Junior · Modelo - preencher até a Review de 29/10/2026</w:t>
      </w:r>
    </w:p>
    <w:p>
      <w:r>
        <w:t>Resultado da qualidade na Release 1, com as métricas do Plano de Qualidade e a execução do Plano de Teste. Os valores medidos também vão para a coluna Resultado R1 da planilha do Plano de Qualidade.</w:t>
      </w:r>
    </w:p>
    <w:p>
      <w:pPr>
        <w:pStyle w:val="Heading2"/>
      </w:pPr>
      <w:r>
        <w:t>1. Resumo</w:t>
      </w:r>
    </w:p>
    <w:p>
      <w:r>
        <w:t>A release está apta para apresentação? ( ) Sim ( ) Com ressalvas ( ) Não. Comentário: ______________________________</w:t>
      </w:r>
    </w:p>
    <w:p>
      <w:pPr>
        <w:pStyle w:val="Heading2"/>
      </w:pPr>
      <w:r>
        <w:t>2. Métricas do Plano de Qualidade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 w:val="true"/>
        </w:trP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Meta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Resultado R1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Atendeu?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Q-01</w:t>
            </w:r>
          </w:p>
        </w:tc>
        <w:tc>
          <w:tcPr>
            <w:tcW w:type="dxa" w:w="1728"/>
          </w:tcPr>
          <w:p>
            <w:r>
              <w:t>Senhas protegidas (Segurança)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Regressão backend 87/87; hash bcrypt coberto. QA formal pendente.</w:t>
            </w:r>
          </w:p>
        </w:tc>
        <w:tc>
          <w:tcPr>
            <w:tcW w:type="dxa" w:w="1728"/>
          </w:tcPr>
          <w:p>
            <w:r/>
          </w:p>
        </w:tc>
      </w:tr>
      <w:tr>
        <w:trPr>
          <w:cantSplit/>
        </w:trPr>
        <w:tc>
          <w:tcPr>
            <w:tcW w:type="dxa" w:w="1728"/>
          </w:tcPr>
          <w:p>
            <w:r>
              <w:t>Q-02</w:t>
            </w:r>
          </w:p>
        </w:tc>
        <w:tc>
          <w:tcPr>
            <w:tcW w:type="dxa" w:w="1728"/>
          </w:tcPr>
          <w:p>
            <w:r>
              <w:t>Controle de acesso por perfil (Segurança)</w:t>
            </w:r>
          </w:p>
        </w:tc>
        <w:tc>
          <w:tcPr>
            <w:tcW w:type="dxa" w:w="1728"/>
          </w:tcPr>
          <w:p>
            <w:r>
              <w:t>100% das rotas</w:t>
            </w:r>
          </w:p>
        </w:tc>
        <w:tc>
          <w:tcPr>
            <w:tcW w:type="dxa" w:w="1728"/>
          </w:tcPr>
          <w:p>
            <w:r>
              <w:t>JWT ausente, inválido e expirado cobertos. QA formal pendente.</w:t>
            </w:r>
          </w:p>
        </w:tc>
        <w:tc>
          <w:tcPr>
            <w:tcW w:type="dxa" w:w="1728"/>
          </w:tcPr>
          <w:p>
            <w:r/>
          </w:p>
        </w:tc>
      </w:tr>
      <w:tr>
        <w:trPr>
          <w:cantSplit/>
        </w:trPr>
        <w:tc>
          <w:tcPr>
            <w:tcW w:type="dxa" w:w="1728"/>
          </w:tcPr>
          <w:p>
            <w:r>
              <w:t>Q-03</w:t>
            </w:r>
          </w:p>
        </w:tc>
        <w:tc>
          <w:tcPr>
            <w:tcW w:type="dxa" w:w="1728"/>
          </w:tcPr>
          <w:p>
            <w:r>
              <w:t>Chave única por pedido (Confiabilidade)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N/A na Release 1 (compra e chaves começam na Release 2).</w:t>
            </w:r>
          </w:p>
        </w:tc>
        <w:tc>
          <w:tcPr>
            <w:tcW w:type="dxa" w:w="1728"/>
          </w:tcPr>
          <w:p>
            <w:r/>
          </w:p>
        </w:tc>
      </w:tr>
      <w:tr>
        <w:trPr>
          <w:cantSplit/>
        </w:trPr>
        <w:tc>
          <w:tcPr>
            <w:tcW w:type="dxa" w:w="1728"/>
          </w:tcPr>
          <w:p>
            <w:r>
              <w:t>Q-04</w:t>
            </w:r>
          </w:p>
        </w:tc>
        <w:tc>
          <w:tcPr>
            <w:tcW w:type="dxa" w:w="1728"/>
          </w:tcPr>
          <w:p>
            <w:r>
              <w:t>Tratamento de erros (Confiabilidade)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87/87 backend, 27/27 E2E e 9/9 integração aprovados; QA pendente.</w:t>
            </w:r>
          </w:p>
        </w:tc>
        <w:tc>
          <w:tcPr>
            <w:tcW w:type="dxa" w:w="1728"/>
          </w:tcPr>
          <w:p>
            <w:r/>
          </w:p>
        </w:tc>
      </w:tr>
      <w:tr>
        <w:trPr>
          <w:cantSplit/>
        </w:trPr>
        <w:tc>
          <w:tcPr>
            <w:tcW w:type="dxa" w:w="1728"/>
          </w:tcPr>
          <w:p>
            <w:r>
              <w:t>Q-05</w:t>
            </w:r>
          </w:p>
        </w:tc>
        <w:tc>
          <w:tcPr>
            <w:tcW w:type="dxa" w:w="1728"/>
          </w:tcPr>
          <w:p>
            <w:r>
              <w:t>Facilidade de uso (Usabilidade)</w:t>
            </w:r>
          </w:p>
        </w:tc>
        <w:tc>
          <w:tcPr>
            <w:tcW w:type="dxa" w:w="1728"/>
          </w:tcPr>
          <w:p>
            <w:r>
              <w:t>≥ 4 de 5 (mínimo aceitável 3 de 5)</w:t>
            </w:r>
          </w:p>
        </w:tc>
        <w:tc>
          <w:tcPr>
            <w:tcW w:type="dxa" w:w="1728"/>
          </w:tcPr>
          <w:p>
            <w:r>
              <w:t>N/A na Release 1; teste de usabilidade previsto a partir da Release 2.</w:t>
            </w:r>
          </w:p>
        </w:tc>
        <w:tc>
          <w:tcPr>
            <w:tcW w:type="dxa" w:w="1728"/>
          </w:tcPr>
          <w:p>
            <w:r/>
          </w:p>
        </w:tc>
      </w:tr>
      <w:tr>
        <w:trPr>
          <w:cantSplit/>
        </w:trPr>
        <w:tc>
          <w:tcPr>
            <w:tcW w:type="dxa" w:w="1728"/>
          </w:tcPr>
          <w:p>
            <w:r>
              <w:t>Q-06</w:t>
            </w:r>
          </w:p>
        </w:tc>
        <w:tc>
          <w:tcPr>
            <w:tcW w:type="dxa" w:w="1728"/>
          </w:tcPr>
          <w:p>
            <w:r>
              <w:t>Mensagens de erro claras (Usabilidade)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Cenários automatizados de cadastro/login aprovados; checklist do QA pendente.</w:t>
            </w:r>
          </w:p>
        </w:tc>
        <w:tc>
          <w:tcPr>
            <w:tcW w:type="dxa" w:w="1728"/>
          </w:tcPr>
          <w:p>
            <w:r/>
          </w:p>
        </w:tc>
      </w:tr>
      <w:tr>
        <w:trPr>
          <w:cantSplit/>
        </w:trPr>
        <w:tc>
          <w:tcPr>
            <w:tcW w:type="dxa" w:w="1728"/>
          </w:tcPr>
          <w:p>
            <w:r>
              <w:t>Q-07</w:t>
            </w:r>
          </w:p>
        </w:tc>
        <w:tc>
          <w:tcPr>
            <w:tcW w:type="dxa" w:w="1728"/>
          </w:tcPr>
          <w:p>
            <w:r>
              <w:t>Bugs críticos e altos em aberto</w:t>
            </w:r>
          </w:p>
        </w:tc>
        <w:tc>
          <w:tcPr>
            <w:tcW w:type="dxa" w:w="1728"/>
          </w:tcPr>
          <w:p>
            <w:r>
              <w:t>0 no fechamento da release</w:t>
            </w:r>
          </w:p>
        </w:tc>
        <w:tc>
          <w:tcPr>
            <w:tcW w:type="dxa" w:w="1728"/>
          </w:tcPr>
          <w:p>
            <w:r>
              <w:t>1 bug Alto aberto: GK-106, com tratamento no PR #13 e CI verde.</w:t>
            </w:r>
          </w:p>
        </w:tc>
        <w:tc>
          <w:tcPr>
            <w:tcW w:type="dxa" w:w="1728"/>
          </w:tcPr>
          <w:p>
            <w:r/>
          </w:p>
        </w:tc>
      </w:tr>
      <w:tr>
        <w:trPr>
          <w:cantSplit/>
        </w:trPr>
        <w:tc>
          <w:tcPr>
            <w:tcW w:type="dxa" w:w="1728"/>
          </w:tcPr>
          <w:p>
            <w:r>
              <w:t>Q-08</w:t>
            </w:r>
          </w:p>
        </w:tc>
        <w:tc>
          <w:tcPr>
            <w:tcW w:type="dxa" w:w="1728"/>
          </w:tcPr>
          <w:p>
            <w:r>
              <w:t>Execução dos casos de teste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Regressão automatizada: 87 backend, 27 E2E e 9 integrações; execução formal do QA pendente.</w:t>
            </w:r>
          </w:p>
        </w:tc>
        <w:tc>
          <w:tcPr>
            <w:tcW w:type="dxa" w:w="1728"/>
          </w:tcPr>
          <w:p>
            <w:r/>
          </w:p>
        </w:tc>
      </w:tr>
      <w:tr>
        <w:trPr>
          <w:cantSplit/>
        </w:trPr>
        <w:tc>
          <w:tcPr>
            <w:tcW w:type="dxa" w:w="1728"/>
          </w:tcPr>
          <w:p>
            <w:r>
              <w:t>Q-09</w:t>
            </w:r>
          </w:p>
        </w:tc>
        <w:tc>
          <w:tcPr>
            <w:tcW w:type="dxa" w:w="1728"/>
          </w:tcPr>
          <w:p>
            <w:r>
              <w:t>Qualidade dos critérios de aceite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Critérios registrados no Jira; conferência final do PO/QA pendente.</w:t>
            </w:r>
          </w:p>
        </w:tc>
        <w:tc>
          <w:tcPr>
            <w:tcW w:type="dxa" w:w="1728"/>
          </w:tcPr>
          <w:p>
            <w:r/>
          </w:p>
        </w:tc>
      </w:tr>
      <w:tr>
        <w:trPr>
          <w:cantSplit/>
        </w:trPr>
        <w:tc>
          <w:tcPr>
            <w:tcW w:type="dxa" w:w="1728"/>
          </w:tcPr>
          <w:p>
            <w:r>
              <w:t>Q-10</w:t>
            </w:r>
          </w:p>
        </w:tc>
        <w:tc>
          <w:tcPr>
            <w:tcW w:type="dxa" w:w="1728"/>
          </w:tcPr>
          <w:p>
            <w:r>
              <w:t>Estabilidade do escopo</w:t>
            </w:r>
          </w:p>
        </w:tc>
        <w:tc>
          <w:tcPr>
            <w:tcW w:type="dxa" w:w="1728"/>
          </w:tcPr>
          <w:p>
            <w:r>
              <w:t>≤ 20%</w:t>
            </w:r>
          </w:p>
        </w:tc>
        <w:tc>
          <w:tcPr>
            <w:tcW w:type="dxa" w:w="1728"/>
          </w:tcPr>
          <w:p>
            <w:r>
              <w:t>Alterações de escopo devem ser confirmadas no relatório final da Sprint.</w:t>
            </w:r>
          </w:p>
        </w:tc>
        <w:tc>
          <w:tcPr>
            <w:tcW w:type="dxa" w:w="1728"/>
          </w:tcPr>
          <w:p>
            <w:r/>
          </w:p>
        </w:tc>
      </w:tr>
      <w:tr>
        <w:trPr>
          <w:cantSplit/>
        </w:trPr>
        <w:tc>
          <w:tcPr>
            <w:tcW w:type="dxa" w:w="1728"/>
          </w:tcPr>
          <w:p>
            <w:r>
              <w:t>Q-11</w:t>
            </w:r>
          </w:p>
        </w:tc>
        <w:tc>
          <w:tcPr>
            <w:tcW w:type="dxa" w:w="1728"/>
          </w:tcPr>
          <w:p>
            <w:r>
              <w:t>Revisão de código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0/10 PRs mesclados com review registrada; não conformidade histórica.</w:t>
            </w:r>
          </w:p>
        </w:tc>
        <w:tc>
          <w:tcPr>
            <w:tcW w:type="dxa" w:w="1728"/>
          </w:tcPr>
          <w:p>
            <w:r/>
          </w:p>
        </w:tc>
      </w:tr>
      <w:tr>
        <w:trPr>
          <w:cantSplit/>
        </w:trPr>
        <w:tc>
          <w:tcPr>
            <w:tcW w:type="dxa" w:w="1728"/>
          </w:tcPr>
          <w:p>
            <w:r>
              <w:t>Q-12</w:t>
            </w:r>
          </w:p>
        </w:tc>
        <w:tc>
          <w:tcPr>
            <w:tcW w:type="dxa" w:w="1728"/>
          </w:tcPr>
          <w:p>
            <w:r>
              <w:t>Estabilidade do pipeline</w:t>
            </w:r>
          </w:p>
        </w:tc>
        <w:tc>
          <w:tcPr>
            <w:tcW w:type="dxa" w:w="1728"/>
          </w:tcPr>
          <w:p>
            <w:r>
              <w:t>≥ 90%</w:t>
            </w:r>
          </w:p>
        </w:tc>
        <w:tc>
          <w:tcPr>
            <w:tcW w:type="dxa" w:w="1728"/>
          </w:tcPr>
          <w:p>
            <w:r>
              <w:t>Main 29/29 execuções verdes; PR #13 também verde.</w:t>
            </w:r>
          </w:p>
        </w:tc>
        <w:tc>
          <w:tcPr>
            <w:tcW w:type="dxa" w:w="1728"/>
          </w:tcPr>
          <w:p>
            <w:r/>
          </w:p>
        </w:tc>
      </w:tr>
      <w:tr>
        <w:trPr>
          <w:cantSplit/>
        </w:trPr>
        <w:tc>
          <w:tcPr>
            <w:tcW w:type="dxa" w:w="1728"/>
          </w:tcPr>
          <w:p>
            <w:r>
              <w:t>Q-13</w:t>
            </w:r>
          </w:p>
        </w:tc>
        <w:tc>
          <w:tcPr>
            <w:tcW w:type="dxa" w:w="1728"/>
          </w:tcPr>
          <w:p>
            <w:r>
              <w:t>Previsibilidade</w:t>
            </w:r>
          </w:p>
        </w:tc>
        <w:tc>
          <w:tcPr>
            <w:tcW w:type="dxa" w:w="1728"/>
          </w:tcPr>
          <w:p>
            <w:r>
              <w:t>≤ 20%</w:t>
            </w:r>
          </w:p>
        </w:tc>
        <w:tc>
          <w:tcPr>
            <w:tcW w:type="dxa" w:w="1728"/>
          </w:tcPr>
          <w:p>
            <w:r>
              <w:t>18/28 pontos concluídos no Jira; 26/28 tecnicamente implementados; aceite final pendente.</w:t>
            </w:r>
          </w:p>
        </w:tc>
        <w:tc>
          <w:tcPr>
            <w:tcW w:type="dxa" w:w="1728"/>
          </w:tcPr>
          <w:p>
            <w:r/>
          </w:p>
        </w:tc>
      </w:tr>
      <w:tr>
        <w:trPr>
          <w:cantSplit/>
        </w:trPr>
        <w:tc>
          <w:tcPr>
            <w:tcW w:type="dxa" w:w="1728"/>
          </w:tcPr>
          <w:p>
            <w:r>
              <w:t>Q-14</w:t>
            </w:r>
          </w:p>
        </w:tc>
        <w:tc>
          <w:tcPr>
            <w:tcW w:type="dxa" w:w="1728"/>
          </w:tcPr>
          <w:p>
            <w:r>
              <w:t>Análise estática do código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Ruff sem erros localmente e no CI; backend 87/87.</w:t>
            </w:r>
          </w:p>
        </w:tc>
        <w:tc>
          <w:tcPr>
            <w:tcW w:type="dxa" w:w="1728"/>
          </w:tcPr>
          <w:p>
            <w:r/>
          </w:p>
        </w:tc>
      </w:tr>
      <w:tr>
        <w:trPr>
          <w:cantSplit/>
        </w:trPr>
        <w:tc>
          <w:tcPr>
            <w:tcW w:type="dxa" w:w="1728"/>
          </w:tcPr>
          <w:p>
            <w:r>
              <w:t>Q-15</w:t>
            </w:r>
          </w:p>
        </w:tc>
        <w:tc>
          <w:tcPr>
            <w:tcW w:type="dxa" w:w="1728"/>
          </w:tcPr>
          <w:p>
            <w:r>
              <w:t>README e documentação</w:t>
            </w:r>
          </w:p>
        </w:tc>
        <w:tc>
          <w:tcPr>
            <w:tcW w:type="dxa" w:w="1728"/>
          </w:tcPr>
          <w:p>
            <w:r>
              <w:t>100% a cada release</w:t>
            </w:r>
          </w:p>
        </w:tc>
        <w:tc>
          <w:tcPr>
            <w:tcW w:type="dxa" w:w="1728"/>
          </w:tcPr>
          <w:p>
            <w:r>
              <w:t>README atualizado com PostgreSQL local isolado e bloqueio de banco remoto.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3. Execução dos casos de teste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Valor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Casos planejados (Plano de Teste)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Casos executados</w:t>
            </w:r>
          </w:p>
        </w:tc>
        <w:tc>
          <w:tcPr>
            <w:tcW w:type="dxa" w:w="4320"/>
          </w:tcPr>
          <w:p>
            <w:r>
              <w:t>PENDENTE — execução formal por Wagner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Passaram</w:t>
            </w:r>
          </w:p>
        </w:tc>
        <w:tc>
          <w:tcPr>
            <w:tcW w:type="dxa" w:w="4320"/>
          </w:tcPr>
          <w:p>
            <w:r>
              <w:t>PENDENTE — execução formal por Wagner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Falharam</w:t>
            </w:r>
          </w:p>
        </w:tc>
        <w:tc>
          <w:tcPr>
            <w:tcW w:type="dxa" w:w="4320"/>
          </w:tcPr>
          <w:p>
            <w:r>
              <w:t>PENDENTE — execução formal por Wagner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% de aprovação</w:t>
            </w:r>
          </w:p>
        </w:tc>
        <w:tc>
          <w:tcPr>
            <w:tcW w:type="dxa" w:w="4320"/>
          </w:tcPr>
          <w:p>
            <w:r>
              <w:t>PENDENTE — calcular após execução formal</w:t>
            </w:r>
          </w:p>
        </w:tc>
      </w:tr>
    </w:tbl>
    <w:p/>
    <w:p>
      <w:pPr>
        <w:pStyle w:val="Heading2"/>
      </w:pPr>
      <w:r>
        <w:t>4. Bugs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Severidade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Encontrados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Corrigidos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Abertos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Crítica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 (GK-106; PR #13 aberto)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Média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Baixa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pPr>
        <w:pStyle w:val="Heading2"/>
      </w:pPr>
      <w:r>
        <w:t>5. DoD dos itens entregues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Chave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História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DoD completa?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Pendência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GK-7</w:t>
            </w:r>
          </w:p>
        </w:tc>
        <w:tc>
          <w:tcPr>
            <w:tcW w:type="dxa" w:w="2160"/>
          </w:tcPr>
          <w:p>
            <w:r>
              <w:t>Cadastro de cliente</w:t>
            </w:r>
          </w:p>
        </w:tc>
        <w:tc>
          <w:tcPr>
            <w:tcW w:type="dxa" w:w="2160"/>
          </w:tcPr>
          <w:p>
            <w:r>
              <w:t>Pendente de comprovação formal</w:t>
            </w:r>
          </w:p>
        </w:tc>
        <w:tc>
          <w:tcPr>
            <w:tcW w:type="dxa" w:w="2160"/>
          </w:tcPr>
          <w:p>
            <w:r>
              <w:t>GK-80/QA, revisão independente e aceite do PO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GK-8</w:t>
            </w:r>
          </w:p>
        </w:tc>
        <w:tc>
          <w:tcPr>
            <w:tcW w:type="dxa" w:w="2160"/>
          </w:tcPr>
          <w:p>
            <w:r>
              <w:t>Login</w:t>
            </w:r>
          </w:p>
        </w:tc>
        <w:tc>
          <w:tcPr>
            <w:tcW w:type="dxa" w:w="2160"/>
          </w:tcPr>
          <w:p>
            <w:r>
              <w:t>Pendente de comprovação formal</w:t>
            </w:r>
          </w:p>
        </w:tc>
        <w:tc>
          <w:tcPr>
            <w:tcW w:type="dxa" w:w="2160"/>
          </w:tcPr>
          <w:p>
            <w:r>
              <w:t>GK-83/QA, revisão independente e aceite do PO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GK-9</w:t>
            </w:r>
          </w:p>
        </w:tc>
        <w:tc>
          <w:tcPr>
            <w:tcW w:type="dxa" w:w="2160"/>
          </w:tcPr>
          <w:p>
            <w:r>
              <w:t>Listagem de jogos</w:t>
            </w:r>
          </w:p>
        </w:tc>
        <w:tc>
          <w:tcPr>
            <w:tcW w:type="dxa" w:w="2160"/>
          </w:tcPr>
          <w:p>
            <w:r>
              <w:t>Pendente de comprovação formal</w:t>
            </w:r>
          </w:p>
        </w:tc>
        <w:tc>
          <w:tcPr>
            <w:tcW w:type="dxa" w:w="2160"/>
          </w:tcPr>
          <w:p>
            <w:r>
              <w:t>Conferir QA, aceite e conformidade histórica na Review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GK-10</w:t>
            </w:r>
          </w:p>
        </w:tc>
        <w:tc>
          <w:tcPr>
            <w:tcW w:type="dxa" w:w="2160"/>
          </w:tcPr>
          <w:p>
            <w:r>
              <w:t>Detalhe do jogo</w:t>
            </w:r>
          </w:p>
        </w:tc>
        <w:tc>
          <w:tcPr>
            <w:tcW w:type="dxa" w:w="2160"/>
          </w:tcPr>
          <w:p>
            <w:r>
              <w:t>Pendente de comprovação formal</w:t>
            </w:r>
          </w:p>
        </w:tc>
        <w:tc>
          <w:tcPr>
            <w:tcW w:type="dxa" w:w="2160"/>
          </w:tcPr>
          <w:p>
            <w:r>
              <w:t>Conferir QA, aceite e conformidade histórica na Review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GK-57</w:t>
            </w:r>
          </w:p>
        </w:tc>
        <w:tc>
          <w:tcPr>
            <w:tcW w:type="dxa" w:w="2160"/>
          </w:tcPr>
          <w:p>
            <w:r>
              <w:t>Estruturação Banco de Dados</w:t>
            </w:r>
          </w:p>
        </w:tc>
        <w:tc>
          <w:tcPr>
            <w:tcW w:type="dxa" w:w="2160"/>
          </w:tcPr>
          <w:p>
            <w:r>
              <w:t>Pendente de comprovação formal</w:t>
            </w:r>
          </w:p>
        </w:tc>
        <w:tc>
          <w:tcPr>
            <w:tcW w:type="dxa" w:w="2160"/>
          </w:tcPr>
          <w:p>
            <w:r>
              <w:t>Conferir evidências finais e aceite na Review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GK-58</w:t>
            </w:r>
          </w:p>
        </w:tc>
        <w:tc>
          <w:tcPr>
            <w:tcW w:type="dxa" w:w="2160"/>
          </w:tcPr>
          <w:p>
            <w:r>
              <w:t>Estudo do Banco de Dados</w:t>
            </w:r>
          </w:p>
        </w:tc>
        <w:tc>
          <w:tcPr>
            <w:tcW w:type="dxa" w:w="2160"/>
          </w:tcPr>
          <w:p>
            <w:r>
              <w:t>Pendente de comprovação formal</w:t>
            </w:r>
          </w:p>
        </w:tc>
        <w:tc>
          <w:tcPr>
            <w:tcW w:type="dxa" w:w="2160"/>
          </w:tcPr>
          <w:p>
            <w:r>
              <w:t>Conferir evidências finais e aceite na Review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GK-60</w:t>
            </w:r>
          </w:p>
        </w:tc>
        <w:tc>
          <w:tcPr>
            <w:tcW w:type="dxa" w:w="2160"/>
          </w:tcPr>
          <w:p>
            <w:r>
              <w:t>Reunião da Equipe</w:t>
            </w:r>
          </w:p>
        </w:tc>
        <w:tc>
          <w:tcPr>
            <w:tcW w:type="dxa" w:w="2160"/>
          </w:tcPr>
          <w:p>
            <w:r>
              <w:t>Pendente de comprovação formal</w:t>
            </w:r>
          </w:p>
        </w:tc>
        <w:tc>
          <w:tcPr>
            <w:tcW w:type="dxa" w:w="2160"/>
          </w:tcPr>
          <w:p>
            <w:r>
              <w:t>Concluir registros reais das cerimônias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GK-61</w:t>
            </w:r>
          </w:p>
        </w:tc>
        <w:tc>
          <w:tcPr>
            <w:tcW w:type="dxa" w:w="2160"/>
          </w:tcPr>
          <w:p>
            <w:r>
              <w:t>Resultados da Sprint</w:t>
            </w:r>
          </w:p>
        </w:tc>
        <w:tc>
          <w:tcPr>
            <w:tcW w:type="dxa" w:w="2160"/>
          </w:tcPr>
          <w:p>
            <w:r>
              <w:t>Pendente de comprovação formal</w:t>
            </w:r>
          </w:p>
        </w:tc>
        <w:tc>
          <w:tcPr>
            <w:tcW w:type="dxa" w:w="2160"/>
          </w:tcPr>
          <w:p>
            <w:r>
              <w:t>Consolidar resultados após Review/Retrospectiva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GK-63</w:t>
            </w:r>
          </w:p>
        </w:tc>
        <w:tc>
          <w:tcPr>
            <w:tcW w:type="dxa" w:w="2160"/>
          </w:tcPr>
          <w:p>
            <w:r>
              <w:t>Estruturação do Back-End</w:t>
            </w:r>
          </w:p>
        </w:tc>
        <w:tc>
          <w:tcPr>
            <w:tcW w:type="dxa" w:w="2160"/>
          </w:tcPr>
          <w:p>
            <w:r>
              <w:t>Pendente de comprovação formal</w:t>
            </w:r>
          </w:p>
        </w:tc>
        <w:tc>
          <w:tcPr>
            <w:tcW w:type="dxa" w:w="2160"/>
          </w:tcPr>
          <w:p>
            <w:r>
              <w:t>Conferir evidências finais e aceite na Review</w:t>
            </w:r>
          </w:p>
        </w:tc>
      </w:tr>
    </w:tbl>
    <w:p/>
    <w:p>
      <w:pPr>
        <w:pStyle w:val="Heading2"/>
      </w:pPr>
      <w:r>
        <w:t>6. Regressão</w:t>
      </w:r>
    </w:p>
    <w:p>
      <w:r>
        <w:t>Regressão técnica em 27/10/2026: 87/87 testes backend, 27/27 cenários Cypress, 9/9 integrações com PostgreSQL local isolado, build aprovado e CI verde. A execução e a validação formal do QA permanecem pendentes.</w:t>
      </w:r>
    </w:p>
    <w:p>
      <w:pPr>
        <w:pStyle w:val="Heading2"/>
      </w:pPr>
      <w:r>
        <w:t>7. Ações de melhoria para a Release 2</w:t>
      </w:r>
    </w:p>
    <w:p>
      <w:r>
        <w:t>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