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120"/>
        <w:ind/>
        <w:jc w:val="center"/>
        <w:rPr>
          <w:b/>
          <w:bCs/>
          <w:color w:val="000000" w:themeColor="text1"/>
          <w:sz w:val="28"/>
          <w:szCs w:val="28"/>
        </w:rPr>
      </w:pPr>
      <w:r>
        <w:rPr>
          <w:b/>
          <w:bCs/>
          <w:color w:val="000000" w:themeColor="text1"/>
          <w:sz w:val="28"/>
          <w:szCs w:val="28"/>
          <w:rtl w:val="0"/>
        </w:rPr>
        <w:t xml:space="preserve">UNIVERSIDAD NACIONAL DE INGENIERÍA</w:t>
      </w:r>
      <w:r>
        <w:rPr>
          <w:b/>
          <w:bCs/>
          <w:color w:val="000000" w:themeColor="text1"/>
          <w:sz w:val="28"/>
          <w:szCs w:val="28"/>
        </w:rPr>
      </w:r>
    </w:p>
    <w:p w14:paraId="00000002">
      <w:pPr>
        <w:pBdr/>
        <w:spacing w:after="120"/>
        <w:ind/>
        <w:jc w:val="center"/>
        <w:rPr>
          <w:b/>
          <w:bCs/>
          <w:color w:val="000000" w:themeColor="text1"/>
          <w:sz w:val="28"/>
          <w:szCs w:val="28"/>
        </w:rPr>
      </w:pPr>
      <w:r>
        <w:rPr>
          <w:b/>
          <w:bCs/>
          <w:color w:val="000000" w:themeColor="text1"/>
          <w:sz w:val="28"/>
          <w:szCs w:val="28"/>
          <w:rtl w:val="0"/>
        </w:rPr>
        <w:t xml:space="preserve">ÁREA DACTIC</w:t>
      </w:r>
      <w:r>
        <w:rPr>
          <w:b/>
          <w:bCs/>
          <w:color w:val="000000" w:themeColor="text1"/>
          <w:sz w:val="28"/>
          <w:szCs w:val="28"/>
        </w:rPr>
      </w:r>
    </w:p>
    <w:p w14:paraId="00000003">
      <w:pPr>
        <w:pBdr/>
        <w:spacing w:after="120"/>
        <w:ind/>
        <w:jc w:val="center"/>
        <w:rPr>
          <w:b/>
          <w:bCs/>
          <w:color w:val="000000" w:themeColor="text1"/>
          <w:sz w:val="24"/>
          <w:szCs w:val="24"/>
          <w:highlight w:val="none"/>
        </w:rPr>
      </w:pPr>
      <w:r>
        <w:rPr>
          <w:b/>
          <w:bCs/>
          <w:color w:val="000000" w:themeColor="text1"/>
          <w:sz w:val="28"/>
          <w:szCs w:val="28"/>
          <w:rtl w:val="0"/>
        </w:rPr>
        <w:t xml:space="preserve">Programa Académico de Ingeniería en Computación </w:t>
      </w:r>
      <w:r>
        <w:rPr>
          <w:b/>
          <w:bCs/>
          <w:color w:val="000000" w:themeColor="text1"/>
          <w:sz w:val="24"/>
          <w:szCs w:val="24"/>
          <w:highlight w:val="none"/>
        </w:rPr>
      </w:r>
    </w:p>
    <w:p w14:paraId="32C1A485">
      <w:pPr>
        <w:pBdr/>
        <w:spacing w:after="120"/>
        <w:ind/>
        <w:jc w:val="center"/>
        <w:rPr>
          <w:b/>
          <w:bCs/>
          <w:color w:val="000000" w:themeColor="text1"/>
          <w:sz w:val="24"/>
          <w:szCs w:val="24"/>
        </w:rPr>
      </w:pPr>
      <w:r>
        <w:rPr>
          <w:b/>
          <w:bCs/>
          <w:color w:val="000000" w:themeColor="text1"/>
          <w:sz w:val="24"/>
          <w:szCs w:val="24"/>
          <w:highlight w:val="none"/>
        </w:rPr>
      </w:r>
      <w:r>
        <mc:AlternateContent>
          <mc:Choice Requires="wpg">
            <w:drawing>
              <wp:inline xmlns:wp="http://schemas.openxmlformats.org/drawingml/2006/wordprocessingDrawing" distT="0" distB="0" distL="0" distR="0">
                <wp:extent cx="2266122" cy="1398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29012" name="Imagen 1"/>
                        <pic:cNvPicPr>
                          <a:picLocks noChangeAspect="1"/>
                        </pic:cNvPicPr>
                        <pic:nvPr/>
                      </pic:nvPicPr>
                      <pic:blipFill rotWithShape="1">
                        <a:blip r:embed="rId12"/>
                        <a:stretch/>
                      </pic:blipFill>
                      <pic:spPr bwMode="auto">
                        <a:xfrm rot="0" flipH="0" flipV="0">
                          <a:off x="0" y="0"/>
                          <a:ext cx="2266121" cy="139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8.43pt;height:110.14pt;mso-wrap-distance-left:0.00pt;mso-wrap-distance-top:0.00pt;mso-wrap-distance-right:0.00pt;mso-wrap-distance-bottom:0.00pt;rotation:0;z-index:1;" stroked="false">
                <v:imagedata r:id="rId12" o:title=""/>
                <o:lock v:ext="edit" rotation="t"/>
              </v:shape>
            </w:pict>
          </mc:Fallback>
        </mc:AlternateContent>
      </w:r>
      <w:r>
        <w:rPr>
          <w:b/>
          <w:bCs/>
          <w:color w:val="000000" w:themeColor="text1"/>
          <w:sz w:val="24"/>
          <w:szCs w:val="24"/>
        </w:rPr>
      </w:r>
    </w:p>
    <w:p w14:paraId="00000004">
      <w:pPr>
        <w:pBdr/>
        <w:spacing w:after="600"/>
        <w:ind/>
        <w:jc w:val="center"/>
        <w:rPr>
          <w:b/>
          <w:bCs/>
          <w:color w:val="666666"/>
          <w:sz w:val="24"/>
          <w:szCs w:val="24"/>
        </w:rPr>
      </w:pPr>
      <w:r>
        <w:rPr>
          <w:b/>
          <w:bCs/>
          <w:color w:val="666666"/>
          <w:sz w:val="24"/>
          <w:szCs w:val="24"/>
          <w:rtl w:val="0"/>
        </w:rPr>
        <w:t xml:space="preserve">INGENIERÍA DE SOFTWARE I</w:t>
      </w:r>
      <w:r>
        <w:rPr>
          <w:b/>
          <w:bCs/>
          <w:color w:val="666666"/>
          <w:sz w:val="24"/>
          <w:szCs w:val="24"/>
        </w:rPr>
      </w:r>
    </w:p>
    <w:p w14:paraId="00000006">
      <w:pPr>
        <w:pBdr>
          <w:bottom w:val="single" w:color="1f3864" w:sz="10" w:space="12"/>
        </w:pBdr>
        <w:spacing w:after="200"/>
        <w:ind/>
        <w:jc w:val="center"/>
        <w:rPr>
          <w:color w:val="000000" w:themeColor="text1"/>
        </w:rPr>
      </w:pPr>
      <w:r>
        <w:rPr>
          <w:b/>
          <w:bCs/>
          <w:color w:val="000000" w:themeColor="text1"/>
          <w:sz w:val="40"/>
          <w:szCs w:val="40"/>
          <w:rtl w:val="0"/>
        </w:rPr>
        <w:t xml:space="preserve">DOCUMENTO DE LEVANTAMIENTO DE REQUERIMIENTOS</w:t>
      </w:r>
      <w:r>
        <w:rPr>
          <w:color w:val="000000" w:themeColor="text1"/>
        </w:rPr>
      </w:r>
    </w:p>
    <w:p w14:paraId="00000007">
      <w:pPr>
        <w:pBdr/>
        <w:spacing w:after="120" w:before="260"/>
        <w:ind/>
        <w:jc w:val="center"/>
        <w:rPr>
          <w:b w:val="0"/>
          <w:bCs w:val="0"/>
          <w:color w:val="000000" w:themeColor="text1"/>
          <w:sz w:val="28"/>
          <w:szCs w:val="28"/>
        </w:rPr>
      </w:pPr>
      <w:r>
        <w:rPr>
          <w:b w:val="0"/>
          <w:bCs w:val="0"/>
          <w:color w:val="000000" w:themeColor="text1"/>
          <w:sz w:val="28"/>
          <w:szCs w:val="28"/>
          <w:rtl w:val="0"/>
        </w:rPr>
        <w:t xml:space="preserve">Plataforma Web B2B de Emparejamiento Comercial «AbasteceNi»</w:t>
      </w:r>
      <w:r>
        <w:rPr>
          <w:b w:val="0"/>
          <w:bCs w:val="0"/>
          <w:color w:val="000000" w:themeColor="text1"/>
          <w:sz w:val="28"/>
          <w:szCs w:val="28"/>
        </w:rPr>
      </w:r>
    </w:p>
    <w:p w14:paraId="00000008">
      <w:pPr>
        <w:pBdr/>
        <w:spacing w:after="900"/>
        <w:ind/>
        <w:jc w:val="center"/>
        <w:rPr>
          <w:i/>
          <w:iCs/>
          <w:color w:val="666666"/>
          <w:sz w:val="28"/>
          <w:szCs w:val="28"/>
        </w:rPr>
      </w:pPr>
      <w:r>
        <w:rPr>
          <w:i/>
          <w:iCs/>
          <w:color w:val="666666"/>
          <w:sz w:val="28"/>
          <w:szCs w:val="28"/>
          <w:rtl w:val="0"/>
        </w:rPr>
        <w:t xml:space="preserve">Caso de estudio simulado — Sector minorista y productor departamental de Nicaragua</w:t>
      </w:r>
      <w:r>
        <w:rPr>
          <w:i/>
          <w:iCs/>
          <w:color w:val="666666"/>
          <w:sz w:val="28"/>
          <w:szCs w:val="28"/>
        </w:rPr>
      </w:r>
    </w:p>
    <w:p w14:paraId="00000009">
      <w:pPr>
        <w:pBdr/>
        <w:spacing w:after="900"/>
        <w:ind/>
        <w:jc w:val="center"/>
        <w:rPr>
          <w:b/>
          <w:bCs/>
          <w:sz w:val="24"/>
          <w:szCs w:val="24"/>
        </w:rPr>
      </w:pPr>
      <w:r>
        <w:rPr>
          <w:b/>
          <w:bCs/>
          <w:sz w:val="24"/>
          <w:szCs w:val="24"/>
          <w:rtl w:val="0"/>
        </w:rPr>
        <w:t xml:space="preserve">Normativa rectora</w:t>
      </w:r>
      <w:r>
        <w:rPr>
          <w:b/>
          <w:bCs/>
          <w:sz w:val="24"/>
          <w:szCs w:val="24"/>
        </w:rPr>
      </w:r>
    </w:p>
    <w:p w14:paraId="0000000A">
      <w:pPr>
        <w:pBdr/>
        <w:spacing w:after="60"/>
        <w:ind/>
        <w:jc w:val="center"/>
        <w:rPr>
          <w:sz w:val="24"/>
          <w:szCs w:val="24"/>
        </w:rPr>
      </w:pPr>
      <w:r>
        <w:rPr>
          <w:sz w:val="24"/>
          <w:szCs w:val="24"/>
          <w:rtl w:val="0"/>
        </w:rPr>
        <w:t xml:space="preserve">ISO/IEC/IEEE 29148:2011 — Ingeniería de Requisitos (Capítulo 5: Conceptos)</w:t>
      </w:r>
      <w:r>
        <w:rPr>
          <w:sz w:val="24"/>
          <w:szCs w:val="24"/>
        </w:rPr>
      </w:r>
    </w:p>
    <w:p w14:paraId="0000000B">
      <w:pPr>
        <w:pBdr/>
        <w:spacing w:after="900"/>
        <w:ind/>
        <w:jc w:val="center"/>
        <w:rPr>
          <w:sz w:val="24"/>
          <w:szCs w:val="24"/>
        </w:rPr>
      </w:pPr>
      <w:r>
        <w:rPr>
          <w:sz w:val="24"/>
          <w:szCs w:val="24"/>
          <w:rtl w:val="0"/>
        </w:rPr>
        <w:t xml:space="preserve">SWEBOK® Guide v4.0a — KA 01, Temas 2 (Elicitación) y 4 (Especificación)</w:t>
      </w:r>
      <w:r>
        <w:rPr>
          <w:sz w:val="24"/>
          <w:szCs w:val="24"/>
        </w:rPr>
      </w:r>
    </w:p>
    <w:p w14:paraId="0000000C">
      <w:pPr>
        <w:pBdr/>
        <w:spacing/>
        <w:ind/>
        <w:rPr>
          <w:sz w:val="28"/>
          <w:szCs w:val="28"/>
        </w:rPr>
      </w:pPr>
      <w:r>
        <w:rPr>
          <w:b/>
          <w:bCs/>
          <w:sz w:val="28"/>
          <w:szCs w:val="28"/>
          <w:rtl w:val="0"/>
        </w:rPr>
        <w:t xml:space="preserve">Integrantes:</w:t>
      </w:r>
      <w:r>
        <w:rPr>
          <w:sz w:val="28"/>
          <w:szCs w:val="28"/>
          <w:rtl w:val="0"/>
        </w:rPr>
        <w:t xml:space="preserve"> </w:t>
      </w:r>
      <w:r>
        <w:rPr>
          <w:sz w:val="28"/>
          <w:szCs w:val="28"/>
        </w:rPr>
      </w:r>
    </w:p>
    <w:p w14:paraId="0000000D">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Edith Yasohara Roda Hernández. 2023-0752U</w:t>
      </w:r>
      <w:r>
        <w:rPr>
          <w:rtl w:val="0"/>
        </w:rPr>
      </w:r>
      <w:r/>
    </w:p>
    <w:p w14:paraId="0000000E">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Pedro José Miranda Gómez. 2022-0288U</w:t>
      </w:r>
      <w:r>
        <w:rPr>
          <w:rtl w:val="0"/>
        </w:rPr>
      </w:r>
      <w:r/>
    </w:p>
    <w:p w14:paraId="0000000F">
      <w:pPr>
        <w:pBdr/>
        <w:spacing/>
        <w:ind/>
        <w:rPr/>
      </w:pPr>
      <w:r>
        <w:rPr>
          <w:rtl w:val="0"/>
        </w:rPr>
      </w:r>
      <w:r/>
    </w:p>
    <w:p w14:paraId="00000010">
      <w:pPr>
        <w:pBdr/>
        <w:spacing/>
        <w:ind/>
        <w:rPr>
          <w:b w:val="0"/>
          <w:bCs w:val="0"/>
          <w:sz w:val="24"/>
          <w:szCs w:val="24"/>
        </w:rPr>
      </w:pPr>
      <w:r>
        <w:rPr>
          <w:b/>
          <w:bCs/>
          <w:sz w:val="24"/>
          <w:szCs w:val="24"/>
          <w:rtl w:val="0"/>
        </w:rPr>
        <w:t xml:space="preserve">Fecha de emisión original: </w:t>
      </w:r>
      <w:r>
        <w:rPr>
          <w:b w:val="0"/>
          <w:bCs w:val="0"/>
          <w:sz w:val="24"/>
          <w:szCs w:val="24"/>
          <w:rtl w:val="0"/>
        </w:rPr>
        <w:t xml:space="preserve">31 de agosto de 2026 · Versión: 1.1 (versión menor incremental sobre la 1.0) · Documento 2 de la serie</w:t>
      </w:r>
      <w:r>
        <w:rPr>
          <w:b w:val="0"/>
          <w:bCs w:val="0"/>
          <w:sz w:val="24"/>
          <w:szCs w:val="24"/>
        </w:rPr>
      </w:r>
    </w:p>
    <w:p w14:paraId="00000011">
      <w:pPr>
        <w:pBdr/>
        <w:spacing/>
        <w:ind/>
        <w:rPr>
          <w:b/>
          <w:bCs/>
          <w:sz w:val="28"/>
          <w:szCs w:val="28"/>
        </w:rPr>
      </w:pPr>
      <w:r>
        <w:rPr>
          <w:rtl w:val="0"/>
        </w:rPr>
      </w:r>
      <w:r>
        <w:rPr>
          <w:b/>
          <w:bCs/>
          <w:sz w:val="28"/>
          <w:szCs w:val="28"/>
        </w:rPr>
      </w:r>
    </w:p>
    <w:p w14:paraId="00000012">
      <w:pPr>
        <w:pBdr/>
        <w:spacing/>
        <w:ind/>
        <w:rPr>
          <w:b/>
          <w:bCs/>
          <w:sz w:val="28"/>
          <w:szCs w:val="28"/>
        </w:rPr>
      </w:pPr>
      <w:r>
        <w:rPr>
          <w:b/>
          <w:bCs/>
          <w:sz w:val="28"/>
          <w:szCs w:val="28"/>
          <w:rtl w:val="0"/>
        </w:rPr>
        <w:t xml:space="preserve">Grupo: </w:t>
      </w:r>
      <w:r>
        <w:rPr>
          <w:sz w:val="28"/>
          <w:szCs w:val="28"/>
          <w:rtl w:val="0"/>
        </w:rPr>
        <w:t xml:space="preserve">4S1-COM</w:t>
      </w:r>
      <w:r>
        <w:rPr>
          <w:b/>
          <w:bCs/>
          <w:sz w:val="28"/>
          <w:szCs w:val="28"/>
        </w:rPr>
      </w:r>
    </w:p>
    <w:p w14:paraId="00000013">
      <w:pPr>
        <w:pBdr/>
        <w:spacing/>
        <w:ind/>
        <w:jc w:val="center"/>
        <w:rPr/>
      </w:pPr>
      <w:r>
        <w:rPr>
          <w:rtl w:val="0"/>
        </w:rPr>
      </w:r>
      <w:r/>
    </w:p>
    <w:p w14:paraId="00000015">
      <w:pPr>
        <w:pBdr/>
        <w:spacing/>
        <w:ind/>
        <w:jc w:val="left"/>
        <w:rPr/>
      </w:pPr>
      <w:r>
        <w:rPr>
          <w:rtl w:val="0"/>
        </w:rPr>
      </w:r>
      <w:r>
        <w:rPr>
          <w:color w:val="000000" w:themeColor="text1"/>
        </w:rPr>
      </w:r>
      <w:bookmarkStart w:id="0" w:name="_iompv6lqrfcn"/>
      <w:r>
        <w:rPr>
          <w:color w:val="000000" w:themeColor="text1"/>
        </w:rPr>
      </w:r>
      <w:bookmarkEnd w:id="0"/>
      <w:r>
        <w:rPr>
          <w:b/>
          <w:bCs/>
          <w:color w:val="000000" w:themeColor="text1"/>
          <w:sz w:val="30"/>
          <w:szCs w:val="30"/>
          <w:rtl w:val="0"/>
        </w:rPr>
        <w:t xml:space="preserve">Tabla de Contenido</w:t>
      </w:r>
      <w:r>
        <w:rPr>
          <w:color w:val="000000" w:themeColor="text1"/>
        </w:rPr>
      </w:r>
      <w:r/>
    </w:p>
    <w:sdt>
      <w:sdtPr>
        <w15:appearance w15:val="boundingBox"/>
        <w:id w:val="201734571"/>
        <w:docPartObj>
          <w:docPartGallery w:val="Table of Contents"/>
          <w:docPartUnique w:val="true"/>
        </w:docPartObj>
        <w:rPr/>
      </w:sdtPr>
      <w:sdtContent>
        <w:p>
          <w:pPr>
            <w:pStyle w:val="924"/>
            <w:pBdr/>
            <w:tabs>
              <w:tab w:val="right" w:leader="none" w:pos="10080"/>
            </w:tabs>
            <w:spacing/>
            <w:ind/>
            <w:rPr/>
          </w:pPr>
          <w:r>
            <w:fldChar w:fldCharType="begin"/>
            <w:instrText xml:space="preserve"> TOC \h \u \z \t "Heading 1,1,Heading 2,2,Heading 3,3,"</w:instrText>
            <w:fldChar w:fldCharType="separate"/>
          </w:r>
          <w:hyperlink w:tooltip="#_Toc9001" w:anchor="_Toc9001" w:history="1">
            <w:r>
              <w:rPr>
                <w:rStyle w:val="922"/>
                <w:b/>
                <w:bCs/>
                <w:rtl w:val="0"/>
              </w:rPr>
              <w:t xml:space="preserve">1. Introducción</w:t>
            </w:r>
            <w:r>
              <w:tab/>
              <w:fldChar w:fldCharType="begin"/>
              <w:instrText xml:space="preserve">PAGEREF _Toc9001 \h</w:instrText>
              <w:fldChar w:fldCharType="separate"/>
              <w:t xml:space="preserve">3</w:t>
              <w:fldChar w:fldCharType="end"/>
            </w:r>
          </w:hyperlink>
        </w:p>
        <w:p w14:paraId="137BF637">
          <w:pPr>
            <w:pStyle w:val="925"/>
            <w:pBdr/>
            <w:tabs>
              <w:tab w:val="right" w:leader="none" w:pos="10080"/>
            </w:tabs>
            <w:spacing/>
            <w:ind/>
            <w:rPr/>
          </w:pPr>
          <w:hyperlink w:tooltip="#_Toc1" w:anchor="_Toc1" w:history="1">
            <w:r>
              <w:rPr>
                <w:rStyle w:val="922"/>
              </w:rPr>
            </w:r>
            <w:r>
              <w:rPr>
                <w:rStyle w:val="922"/>
                <w:b/>
                <w:bCs/>
                <w:rtl w:val="0"/>
              </w:rPr>
              <w:t xml:space="preserve">1.1 Propósito del documento</w:t>
            </w:r>
            <w:r>
              <w:rPr>
                <w:rStyle w:val="922"/>
              </w:rPr>
            </w:r>
            <w:r>
              <w:tab/>
              <w:fldChar w:fldCharType="begin"/>
              <w:instrText xml:space="preserve">PAGEREF _Toc1 \h</w:instrText>
              <w:fldChar w:fldCharType="separate"/>
              <w:t xml:space="preserve">3</w:t>
              <w:fldChar w:fldCharType="end"/>
            </w:r>
          </w:hyperlink>
          <w:r/>
        </w:p>
        <w:p w14:paraId="597A2CE2">
          <w:pPr>
            <w:pStyle w:val="925"/>
            <w:pBdr/>
            <w:tabs>
              <w:tab w:val="right" w:leader="none" w:pos="10080"/>
            </w:tabs>
            <w:spacing/>
            <w:ind/>
            <w:rPr/>
          </w:pPr>
          <w:hyperlink w:tooltip="#_Toc2" w:anchor="_Toc2" w:history="1">
            <w:r>
              <w:rPr>
                <w:rStyle w:val="922"/>
              </w:rPr>
            </w:r>
            <w:r>
              <w:rPr>
                <w:rStyle w:val="922"/>
                <w:b/>
                <w:bCs/>
                <w:rtl w:val="0"/>
              </w:rPr>
              <w:t xml:space="preserve">1.2 Naturaleza del caso de estudio</w:t>
            </w:r>
            <w:r>
              <w:rPr>
                <w:rStyle w:val="922"/>
              </w:rPr>
            </w:r>
            <w:r>
              <w:tab/>
              <w:fldChar w:fldCharType="begin"/>
              <w:instrText xml:space="preserve">PAGEREF _Toc2 \h</w:instrText>
              <w:fldChar w:fldCharType="separate"/>
              <w:t xml:space="preserve">3</w:t>
              <w:fldChar w:fldCharType="end"/>
            </w:r>
          </w:hyperlink>
          <w:r/>
        </w:p>
        <w:p w14:paraId="30F937F5">
          <w:pPr>
            <w:pStyle w:val="925"/>
            <w:pBdr/>
            <w:tabs>
              <w:tab w:val="right" w:leader="none" w:pos="10080"/>
            </w:tabs>
            <w:spacing/>
            <w:ind/>
            <w:rPr/>
          </w:pPr>
          <w:hyperlink w:tooltip="#_Toc3" w:anchor="_Toc3" w:history="1">
            <w:r>
              <w:rPr>
                <w:rStyle w:val="922"/>
              </w:rPr>
            </w:r>
            <w:r>
              <w:rPr>
                <w:rStyle w:val="922"/>
                <w:b/>
                <w:bCs/>
                <w:rtl w:val="0"/>
              </w:rPr>
              <w:t xml:space="preserve">1.3 Alcance del sistema</w:t>
            </w:r>
            <w:r>
              <w:rPr>
                <w:rStyle w:val="922"/>
              </w:rPr>
            </w:r>
            <w:r>
              <w:tab/>
              <w:fldChar w:fldCharType="begin"/>
              <w:instrText xml:space="preserve">PAGEREF _Toc3 \h</w:instrText>
              <w:fldChar w:fldCharType="separate"/>
              <w:t xml:space="preserve">4</w:t>
              <w:fldChar w:fldCharType="end"/>
            </w:r>
          </w:hyperlink>
          <w:r/>
        </w:p>
        <w:p w14:paraId="3B068AA5">
          <w:pPr>
            <w:pStyle w:val="926"/>
            <w:pBdr/>
            <w:tabs>
              <w:tab w:val="right" w:leader="none" w:pos="10080"/>
            </w:tabs>
            <w:spacing/>
            <w:ind/>
            <w:rPr/>
          </w:pPr>
          <w:hyperlink w:tooltip="#_Toc4" w:anchor="_Toc4" w:history="1">
            <w:r>
              <w:rPr>
                <w:rStyle w:val="922"/>
              </w:rPr>
            </w:r>
            <w:r>
              <w:rPr>
                <w:rStyle w:val="922"/>
                <w:b/>
                <w:bCs/>
                <w:rtl w:val="0"/>
              </w:rPr>
              <w:t xml:space="preserve">Dentro del alcance</w:t>
            </w:r>
            <w:r>
              <w:rPr>
                <w:rStyle w:val="922"/>
              </w:rPr>
            </w:r>
            <w:r>
              <w:tab/>
              <w:fldChar w:fldCharType="begin"/>
              <w:instrText xml:space="preserve">PAGEREF _Toc4 \h</w:instrText>
              <w:fldChar w:fldCharType="separate"/>
              <w:t xml:space="preserve">4</w:t>
              <w:fldChar w:fldCharType="end"/>
            </w:r>
          </w:hyperlink>
          <w:r/>
        </w:p>
        <w:p w14:paraId="6977E4C5">
          <w:pPr>
            <w:pStyle w:val="926"/>
            <w:pBdr/>
            <w:tabs>
              <w:tab w:val="right" w:leader="none" w:pos="10080"/>
            </w:tabs>
            <w:spacing/>
            <w:ind/>
            <w:rPr/>
          </w:pPr>
          <w:hyperlink w:tooltip="#_Toc5" w:anchor="_Toc5" w:history="1">
            <w:r>
              <w:rPr>
                <w:rStyle w:val="922"/>
              </w:rPr>
            </w:r>
            <w:r>
              <w:rPr>
                <w:rStyle w:val="922"/>
                <w:b/>
                <w:bCs/>
                <w:rtl w:val="0"/>
              </w:rPr>
              <w:t xml:space="preserve">Fuera del alcance de esta versión</w:t>
            </w:r>
            <w:r>
              <w:rPr>
                <w:rStyle w:val="922"/>
              </w:rPr>
            </w:r>
            <w:r>
              <w:tab/>
              <w:fldChar w:fldCharType="begin"/>
              <w:instrText xml:space="preserve">PAGEREF _Toc5 \h</w:instrText>
              <w:fldChar w:fldCharType="separate"/>
              <w:t xml:space="preserve">4</w:t>
              <w:fldChar w:fldCharType="end"/>
            </w:r>
          </w:hyperlink>
          <w:r/>
        </w:p>
        <w:p w14:paraId="6A605270">
          <w:pPr>
            <w:pStyle w:val="925"/>
            <w:pBdr/>
            <w:tabs>
              <w:tab w:val="right" w:leader="none" w:pos="10080"/>
            </w:tabs>
            <w:spacing/>
            <w:ind/>
            <w:rPr>
              <w:highlight w:val="none"/>
            </w:rPr>
          </w:pPr>
          <w:hyperlink w:tooltip="#_Toc6" w:anchor="_Toc6" w:history="1">
            <w:r>
              <w:rPr>
                <w:rStyle w:val="922"/>
              </w:rPr>
            </w:r>
            <w:r>
              <w:rPr>
                <w:rStyle w:val="922"/>
                <w:b/>
                <w:bCs/>
                <w:rtl w:val="0"/>
              </w:rPr>
              <w:t xml:space="preserve">1.4 Definiciones y acrónimos</w:t>
            </w:r>
            <w:r>
              <w:rPr>
                <w:rStyle w:val="922"/>
                <w:highlight w:val="none"/>
              </w:rPr>
            </w:r>
            <w:r>
              <w:tab/>
              <w:fldChar w:fldCharType="begin"/>
              <w:instrText xml:space="preserve">PAGEREF _Toc6 \h</w:instrText>
              <w:fldChar w:fldCharType="separate"/>
              <w:t xml:space="preserve">5</w:t>
              <w:fldChar w:fldCharType="end"/>
            </w:r>
          </w:hyperlink>
          <w:r>
            <w:rPr>
              <w:highlight w:val="none"/>
            </w:rPr>
          </w:r>
        </w:p>
        <w:p w14:paraId="1705F528">
          <w:pPr>
            <w:pStyle w:val="924"/>
            <w:pBdr/>
            <w:tabs>
              <w:tab w:val="right" w:leader="none" w:pos="10080"/>
            </w:tabs>
            <w:spacing/>
            <w:ind/>
            <w:rPr/>
          </w:pPr>
          <w:hyperlink w:tooltip="#_Toc7" w:anchor="_Toc7" w:history="1">
            <w:r>
              <w:rPr>
                <w:rStyle w:val="922"/>
              </w:rPr>
            </w:r>
            <w:r>
              <w:rPr>
                <w:rStyle w:val="922"/>
                <w:b/>
                <w:bCs/>
                <w:rtl w:val="0"/>
              </w:rPr>
              <w:t xml:space="preserve">2. Desarrollo</w:t>
            </w:r>
            <w:r>
              <w:rPr>
                <w:rStyle w:val="922"/>
              </w:rPr>
            </w:r>
            <w:r>
              <w:tab/>
              <w:fldChar w:fldCharType="begin"/>
              <w:instrText xml:space="preserve">PAGEREF _Toc7 \h</w:instrText>
              <w:fldChar w:fldCharType="separate"/>
              <w:t xml:space="preserve">6</w:t>
              <w:fldChar w:fldCharType="end"/>
            </w:r>
          </w:hyperlink>
          <w:r/>
        </w:p>
        <w:p w14:paraId="325F8B9E">
          <w:pPr>
            <w:pStyle w:val="925"/>
            <w:pBdr/>
            <w:tabs>
              <w:tab w:val="right" w:leader="none" w:pos="10080"/>
            </w:tabs>
            <w:spacing/>
            <w:ind/>
            <w:rPr/>
          </w:pPr>
          <w:hyperlink w:tooltip="#_Toc8" w:anchor="_Toc8" w:history="1">
            <w:r>
              <w:rPr>
                <w:rStyle w:val="922"/>
              </w:rPr>
            </w:r>
            <w:r>
              <w:rPr>
                <w:rStyle w:val="922"/>
                <w:b/>
                <w:bCs/>
                <w:rtl w:val="0"/>
              </w:rPr>
              <w:t xml:space="preserve">2.1 Marco metodológico aplicado</w:t>
            </w:r>
            <w:r>
              <w:rPr>
                <w:rStyle w:val="922"/>
              </w:rPr>
            </w:r>
            <w:r>
              <w:tab/>
              <w:fldChar w:fldCharType="begin"/>
              <w:instrText xml:space="preserve">PAGEREF _Toc8 \h</w:instrText>
              <w:fldChar w:fldCharType="separate"/>
              <w:t xml:space="preserve">6</w:t>
              <w:fldChar w:fldCharType="end"/>
            </w:r>
          </w:hyperlink>
          <w:r/>
        </w:p>
        <w:p w14:paraId="47F988C5">
          <w:pPr>
            <w:pStyle w:val="926"/>
            <w:pBdr/>
            <w:tabs>
              <w:tab w:val="right" w:leader="none" w:pos="10080"/>
            </w:tabs>
            <w:spacing/>
            <w:ind/>
            <w:rPr/>
          </w:pPr>
          <w:hyperlink w:tooltip="#_Toc9" w:anchor="_Toc9" w:history="1">
            <w:r>
              <w:rPr>
                <w:rStyle w:val="922"/>
              </w:rPr>
            </w:r>
            <w:r>
              <w:rPr>
                <w:rStyle w:val="922"/>
                <w:b/>
                <w:bCs/>
                <w:rtl w:val="0"/>
              </w:rPr>
              <w:t xml:space="preserve">Criterios de calidad verificados sobre cada requisito</w:t>
            </w:r>
            <w:r>
              <w:rPr>
                <w:rStyle w:val="922"/>
              </w:rPr>
            </w:r>
            <w:r>
              <w:tab/>
              <w:fldChar w:fldCharType="begin"/>
              <w:instrText xml:space="preserve">PAGEREF _Toc9 \h</w:instrText>
              <w:fldChar w:fldCharType="separate"/>
              <w:t xml:space="preserve">6</w:t>
              <w:fldChar w:fldCharType="end"/>
            </w:r>
          </w:hyperlink>
          <w:r/>
        </w:p>
        <w:p w14:paraId="5ED65856">
          <w:pPr>
            <w:pStyle w:val="925"/>
            <w:pBdr/>
            <w:tabs>
              <w:tab w:val="right" w:leader="none" w:pos="10080"/>
            </w:tabs>
            <w:spacing/>
            <w:ind/>
            <w:rPr/>
          </w:pPr>
          <w:hyperlink w:tooltip="#_Toc10" w:anchor="_Toc10" w:history="1">
            <w:r>
              <w:rPr>
                <w:rStyle w:val="922"/>
              </w:rPr>
            </w:r>
            <w:r>
              <w:rPr>
                <w:rStyle w:val="922"/>
                <w:b/>
                <w:bCs/>
                <w:rtl w:val="0"/>
              </w:rPr>
              <w:t xml:space="preserve">2.2 Partes interesadas</w:t>
            </w:r>
            <w:r>
              <w:rPr>
                <w:rStyle w:val="922"/>
              </w:rPr>
            </w:r>
            <w:r>
              <w:tab/>
              <w:fldChar w:fldCharType="begin"/>
              <w:instrText xml:space="preserve">PAGEREF _Toc10 \h</w:instrText>
              <w:fldChar w:fldCharType="separate"/>
              <w:t xml:space="preserve">6</w:t>
              <w:fldChar w:fldCharType="end"/>
            </w:r>
          </w:hyperlink>
          <w:r/>
        </w:p>
        <w:p w14:paraId="64EED6FB">
          <w:pPr>
            <w:pStyle w:val="925"/>
            <w:pBdr/>
            <w:tabs>
              <w:tab w:val="right" w:leader="none" w:pos="10080"/>
            </w:tabs>
            <w:spacing/>
            <w:ind/>
            <w:rPr/>
          </w:pPr>
          <w:hyperlink w:tooltip="#_Toc11" w:anchor="_Toc11" w:history="1">
            <w:r>
              <w:rPr>
                <w:rStyle w:val="922"/>
              </w:rPr>
            </w:r>
            <w:r>
              <w:rPr>
                <w:rStyle w:val="922"/>
                <w:b/>
                <w:bCs/>
                <w:rtl w:val="0"/>
              </w:rPr>
              <w:t xml:space="preserve">2.3 Objetivos de alto nivel de las partes interesadas (StRS)</w:t>
            </w:r>
            <w:r>
              <w:rPr>
                <w:rStyle w:val="922"/>
              </w:rPr>
            </w:r>
            <w:r>
              <w:tab/>
              <w:fldChar w:fldCharType="begin"/>
              <w:instrText xml:space="preserve">PAGEREF _Toc11 \h</w:instrText>
              <w:fldChar w:fldCharType="separate"/>
              <w:t xml:space="preserve">7</w:t>
              <w:fldChar w:fldCharType="end"/>
            </w:r>
          </w:hyperlink>
          <w:r/>
        </w:p>
        <w:p w14:paraId="1039C854">
          <w:pPr>
            <w:pStyle w:val="925"/>
            <w:pBdr/>
            <w:tabs>
              <w:tab w:val="right" w:leader="none" w:pos="10080"/>
            </w:tabs>
            <w:spacing/>
            <w:ind/>
            <w:rPr/>
          </w:pPr>
          <w:hyperlink w:tooltip="#_Toc12" w:anchor="_Toc12" w:history="1">
            <w:r>
              <w:rPr>
                <w:rStyle w:val="922"/>
              </w:rPr>
            </w:r>
            <w:r>
              <w:rPr>
                <w:rStyle w:val="922"/>
                <w:b/>
                <w:bCs/>
                <w:rtl w:val="0"/>
              </w:rPr>
              <w:t xml:space="preserve">2.4 Técnicas de elicitación aplicadas y su justificación</w:t>
            </w:r>
            <w:r>
              <w:rPr>
                <w:rStyle w:val="922"/>
              </w:rPr>
            </w:r>
            <w:r>
              <w:tab/>
              <w:fldChar w:fldCharType="begin"/>
              <w:instrText xml:space="preserve">PAGEREF _Toc12 \h</w:instrText>
              <w:fldChar w:fldCharType="separate"/>
              <w:t xml:space="preserve">8</w:t>
              <w:fldChar w:fldCharType="end"/>
            </w:r>
          </w:hyperlink>
          <w:r/>
        </w:p>
        <w:p w14:paraId="18393CD9">
          <w:pPr>
            <w:pStyle w:val="926"/>
            <w:pBdr/>
            <w:tabs>
              <w:tab w:val="right" w:leader="none" w:pos="10080"/>
            </w:tabs>
            <w:spacing/>
            <w:ind/>
            <w:rPr/>
          </w:pPr>
          <w:hyperlink w:tooltip="#_Toc13" w:anchor="_Toc13" w:history="1">
            <w:r>
              <w:rPr>
                <w:rStyle w:val="922"/>
              </w:rPr>
            </w:r>
            <w:r>
              <w:rPr>
                <w:rStyle w:val="922"/>
                <w:b/>
                <w:bCs/>
                <w:rtl w:val="0"/>
              </w:rPr>
              <w:t xml:space="preserve">Restricción metodológica declarada</w:t>
            </w:r>
            <w:r>
              <w:rPr>
                <w:rStyle w:val="922"/>
              </w:rPr>
            </w:r>
            <w:r>
              <w:tab/>
              <w:fldChar w:fldCharType="begin"/>
              <w:instrText xml:space="preserve">PAGEREF _Toc13 \h</w:instrText>
              <w:fldChar w:fldCharType="separate"/>
              <w:t xml:space="preserve">8</w:t>
              <w:fldChar w:fldCharType="end"/>
            </w:r>
          </w:hyperlink>
          <w:r/>
        </w:p>
        <w:p w14:paraId="07B1B61F">
          <w:pPr>
            <w:pStyle w:val="926"/>
            <w:pBdr/>
            <w:tabs>
              <w:tab w:val="right" w:leader="none" w:pos="10080"/>
            </w:tabs>
            <w:spacing/>
            <w:ind/>
            <w:rPr/>
          </w:pPr>
          <w:hyperlink w:tooltip="#_Toc14" w:anchor="_Toc14" w:history="1">
            <w:r>
              <w:rPr>
                <w:rStyle w:val="922"/>
              </w:rPr>
            </w:r>
            <w:r>
              <w:rPr>
                <w:rStyle w:val="922"/>
                <w:b/>
                <w:bCs/>
                <w:rtl w:val="0"/>
              </w:rPr>
              <w:t xml:space="preserve">2.4.1 Observación / Análisis contextual  —  Familia D — Contextuales</w:t>
            </w:r>
            <w:r>
              <w:rPr>
                <w:rStyle w:val="922"/>
              </w:rPr>
            </w:r>
            <w:r>
              <w:tab/>
              <w:fldChar w:fldCharType="begin"/>
              <w:instrText xml:space="preserve">PAGEREF _Toc14 \h</w:instrText>
              <w:fldChar w:fldCharType="separate"/>
              <w:t xml:space="preserve">8</w:t>
              <w:fldChar w:fldCharType="end"/>
            </w:r>
          </w:hyperlink>
          <w:r/>
        </w:p>
        <w:p w14:paraId="5B79ED89">
          <w:pPr>
            <w:pStyle w:val="926"/>
            <w:pBdr/>
            <w:tabs>
              <w:tab w:val="right" w:leader="none" w:pos="10080"/>
            </w:tabs>
            <w:spacing/>
            <w:ind/>
            <w:rPr/>
          </w:pPr>
          <w:hyperlink w:tooltip="#_Toc15" w:anchor="_Toc15" w:history="1">
            <w:r>
              <w:rPr>
                <w:rStyle w:val="922"/>
              </w:rPr>
            </w:r>
            <w:r>
              <w:rPr>
                <w:rStyle w:val="922"/>
                <w:b/>
                <w:bCs/>
                <w:rtl w:val="0"/>
              </w:rPr>
              <w:t xml:space="preserve">2.4.2 Entrevista semiestructurada  —  Familia A — Directas</w:t>
            </w:r>
            <w:r>
              <w:rPr>
                <w:rStyle w:val="922"/>
              </w:rPr>
            </w:r>
            <w:r>
              <w:tab/>
              <w:fldChar w:fldCharType="begin"/>
              <w:instrText xml:space="preserve">PAGEREF _Toc15 \h</w:instrText>
              <w:fldChar w:fldCharType="separate"/>
              <w:t xml:space="preserve">8</w:t>
              <w:fldChar w:fldCharType="end"/>
            </w:r>
          </w:hyperlink>
          <w:r/>
        </w:p>
        <w:p w14:paraId="61F0977A">
          <w:pPr>
            <w:pStyle w:val="926"/>
            <w:pBdr/>
            <w:tabs>
              <w:tab w:val="right" w:leader="none" w:pos="10080"/>
            </w:tabs>
            <w:spacing/>
            <w:ind/>
            <w:rPr/>
          </w:pPr>
          <w:hyperlink w:tooltip="#_Toc16" w:anchor="_Toc16" w:history="1">
            <w:r>
              <w:rPr>
                <w:rStyle w:val="922"/>
              </w:rPr>
            </w:r>
            <w:r>
              <w:rPr>
                <w:rStyle w:val="922"/>
                <w:b/>
                <w:bCs/>
                <w:rtl w:val="0"/>
              </w:rPr>
              <w:t xml:space="preserve">2.4.3 Descripción de escenarios de uso  —  Familia D — Contextuales</w:t>
            </w:r>
            <w:r>
              <w:rPr>
                <w:rStyle w:val="922"/>
              </w:rPr>
            </w:r>
            <w:r>
              <w:tab/>
              <w:fldChar w:fldCharType="begin"/>
              <w:instrText xml:space="preserve">PAGEREF _Toc16 \h</w:instrText>
              <w:fldChar w:fldCharType="separate"/>
              <w:t xml:space="preserve">9</w:t>
              <w:fldChar w:fldCharType="end"/>
            </w:r>
          </w:hyperlink>
          <w:r/>
        </w:p>
        <w:p w14:paraId="6F7F54AB">
          <w:pPr>
            <w:pStyle w:val="926"/>
            <w:pBdr/>
            <w:tabs>
              <w:tab w:val="right" w:leader="none" w:pos="10080"/>
            </w:tabs>
            <w:spacing/>
            <w:ind/>
            <w:rPr/>
          </w:pPr>
          <w:hyperlink w:tooltip="#_Toc17" w:anchor="_Toc17" w:history="1">
            <w:r>
              <w:rPr>
                <w:rStyle w:val="922"/>
              </w:rPr>
            </w:r>
            <w:r>
              <w:rPr>
                <w:rStyle w:val="922"/>
                <w:b/>
                <w:bCs/>
                <w:rtl w:val="0"/>
              </w:rPr>
              <w:t xml:space="preserve">2.4.4 Reuniones y lluvia de ideas  —  Familia A — Directas</w:t>
            </w:r>
            <w:r>
              <w:rPr>
                <w:rStyle w:val="922"/>
              </w:rPr>
            </w:r>
            <w:r>
              <w:tab/>
              <w:fldChar w:fldCharType="begin"/>
              <w:instrText xml:space="preserve">PAGEREF _Toc17 \h</w:instrText>
              <w:fldChar w:fldCharType="separate"/>
              <w:t xml:space="preserve">9</w:t>
              <w:fldChar w:fldCharType="end"/>
            </w:r>
          </w:hyperlink>
          <w:r/>
        </w:p>
        <w:p w14:paraId="028B8E0F">
          <w:pPr>
            <w:pStyle w:val="926"/>
            <w:pBdr/>
            <w:tabs>
              <w:tab w:val="right" w:leader="none" w:pos="10080"/>
            </w:tabs>
            <w:spacing/>
            <w:ind/>
            <w:rPr/>
          </w:pPr>
          <w:hyperlink w:tooltip="#_Toc18" w:anchor="_Toc18" w:history="1">
            <w:r>
              <w:rPr>
                <w:rStyle w:val="922"/>
              </w:rPr>
            </w:r>
            <w:r>
              <w:rPr>
                <w:rStyle w:val="922"/>
                <w:b/>
                <w:bCs/>
              </w:rPr>
              <w:t xml:space="preserve">2.4.</w:t>
            </w:r>
            <w:r>
              <w:rPr>
                <w:rStyle w:val="922"/>
                <w:b/>
                <w:bCs/>
                <w:rtl w:val="0"/>
              </w:rPr>
              <w:t xml:space="preserve">5 Descomposición jerárquica  —  Familia E — Estructuradas</w:t>
            </w:r>
            <w:r>
              <w:rPr>
                <w:rStyle w:val="922"/>
              </w:rPr>
            </w:r>
            <w:r>
              <w:tab/>
              <w:fldChar w:fldCharType="begin"/>
              <w:instrText xml:space="preserve">PAGEREF _Toc18 \h</w:instrText>
              <w:fldChar w:fldCharType="separate"/>
              <w:t xml:space="preserve">9</w:t>
              <w:fldChar w:fldCharType="end"/>
            </w:r>
          </w:hyperlink>
          <w:r/>
        </w:p>
        <w:p w14:paraId="542D0EDF">
          <w:pPr>
            <w:pStyle w:val="926"/>
            <w:pBdr/>
            <w:tabs>
              <w:tab w:val="right" w:leader="none" w:pos="10080"/>
            </w:tabs>
            <w:spacing/>
            <w:ind/>
            <w:rPr/>
          </w:pPr>
          <w:hyperlink w:tooltip="#_Toc19" w:anchor="_Toc19" w:history="1">
            <w:r>
              <w:rPr>
                <w:rStyle w:val="922"/>
              </w:rPr>
            </w:r>
            <w:r>
              <w:rPr>
                <w:rStyle w:val="922"/>
                <w:b/>
                <w:bCs/>
                <w:rtl w:val="0"/>
              </w:rPr>
              <w:t xml:space="preserve">2.4.6 Benchmarking competitivo  —  Familia E — Estructuradas</w:t>
            </w:r>
            <w:r>
              <w:rPr>
                <w:rStyle w:val="922"/>
              </w:rPr>
            </w:r>
            <w:r>
              <w:tab/>
              <w:fldChar w:fldCharType="begin"/>
              <w:instrText xml:space="preserve">PAGEREF _Toc19 \h</w:instrText>
              <w:fldChar w:fldCharType="separate"/>
              <w:t xml:space="preserve">9</w:t>
              <w:fldChar w:fldCharType="end"/>
            </w:r>
          </w:hyperlink>
          <w:r/>
        </w:p>
        <w:p w14:paraId="77C0BB42">
          <w:pPr>
            <w:pStyle w:val="926"/>
            <w:pBdr/>
            <w:tabs>
              <w:tab w:val="right" w:leader="none" w:pos="10080"/>
            </w:tabs>
            <w:spacing/>
            <w:ind/>
            <w:rPr/>
          </w:pPr>
          <w:hyperlink w:tooltip="#_Toc20" w:anchor="_Toc20" w:history="1">
            <w:r>
              <w:rPr>
                <w:rStyle w:val="922"/>
              </w:rPr>
            </w:r>
            <w:r>
              <w:rPr>
                <w:rStyle w:val="922"/>
                <w:b/>
                <w:bCs/>
                <w:rtl w:val="0"/>
              </w:rPr>
              <w:t xml:space="preserve">2.4.7 Análisis normativo y catálogo ISO/IEC 25010  —  Fuentes no humanas</w:t>
            </w:r>
            <w:r>
              <w:rPr>
                <w:rStyle w:val="922"/>
              </w:rPr>
            </w:r>
            <w:r>
              <w:tab/>
              <w:fldChar w:fldCharType="begin"/>
              <w:instrText xml:space="preserve">PAGEREF _Toc20 \h</w:instrText>
              <w:fldChar w:fldCharType="separate"/>
              <w:t xml:space="preserve">10</w:t>
              <w:fldChar w:fldCharType="end"/>
            </w:r>
          </w:hyperlink>
          <w:r/>
        </w:p>
        <w:p w14:paraId="7D2C3FBD">
          <w:pPr>
            <w:pStyle w:val="926"/>
            <w:pBdr/>
            <w:tabs>
              <w:tab w:val="right" w:leader="none" w:pos="10080"/>
            </w:tabs>
            <w:spacing/>
            <w:ind/>
            <w:rPr/>
          </w:pPr>
          <w:hyperlink w:tooltip="#_Toc21" w:anchor="_Toc21" w:history="1">
            <w:r>
              <w:rPr>
                <w:rStyle w:val="922"/>
              </w:rPr>
            </w:r>
            <w:r>
              <w:rPr>
                <w:rStyle w:val="922"/>
                <w:b/>
                <w:bCs/>
                <w:rtl w:val="0"/>
              </w:rPr>
              <w:t xml:space="preserve">Dificultades inherentes enfrentadas</w:t>
            </w:r>
            <w:r>
              <w:rPr>
                <w:rStyle w:val="922"/>
              </w:rPr>
            </w:r>
            <w:r>
              <w:tab/>
              <w:fldChar w:fldCharType="begin"/>
              <w:instrText xml:space="preserve">PAGEREF _Toc21 \h</w:instrText>
              <w:fldChar w:fldCharType="separate"/>
              <w:t xml:space="preserve">10</w:t>
              <w:fldChar w:fldCharType="end"/>
            </w:r>
          </w:hyperlink>
          <w:r/>
        </w:p>
        <w:p>
          <w:pPr>
            <w:pStyle w:val="925"/>
            <w:pBdr/>
            <w:tabs>
              <w:tab w:val="right" w:leader="none" w:pos="10080"/>
            </w:tabs>
            <w:spacing/>
            <w:ind/>
            <w:rPr/>
          </w:pPr>
          <w:hyperlink w:tooltip="#_Toc9002" w:anchor="_Toc9002" w:history="1">
            <w:r>
              <w:rPr>
                <w:rStyle w:val="922"/>
                <w:b/>
                <w:bCs/>
                <w:rtl w:val="0"/>
              </w:rPr>
              <w:t xml:space="preserve">2.5 Técnica de especificación de requisitos utilizada y su justificación</w:t>
            </w:r>
            <w:r>
              <w:tab/>
              <w:fldChar w:fldCharType="begin"/>
              <w:instrText xml:space="preserve">PAGEREF _Toc9002 \h</w:instrText>
              <w:fldChar w:fldCharType="separate"/>
              <w:t xml:space="preserve">11</w:t>
              <w:fldChar w:fldCharType="end"/>
            </w:r>
          </w:hyperlink>
        </w:p>
        <w:p w14:paraId="692360C7">
          <w:pPr>
            <w:pStyle w:val="926"/>
            <w:pBdr/>
            <w:tabs>
              <w:tab w:val="right" w:leader="none" w:pos="10080"/>
            </w:tabs>
            <w:spacing/>
            <w:ind/>
            <w:rPr/>
          </w:pPr>
          <w:hyperlink w:tooltip="#_Toc22" w:anchor="_Toc22" w:history="1">
            <w:r>
              <w:rPr>
                <w:rStyle w:val="922"/>
              </w:rPr>
            </w:r>
            <w:r>
              <w:rPr>
                <w:rStyle w:val="922"/>
                <w:b/>
                <w:bCs/>
                <w:rtl w:val="0"/>
              </w:rPr>
              <w:t xml:space="preserve">Técnica principal: lenguaje natural estructurado, formato actor-acción</w:t>
            </w:r>
            <w:r>
              <w:rPr>
                <w:rStyle w:val="922"/>
              </w:rPr>
            </w:r>
            <w:r>
              <w:tab/>
              <w:fldChar w:fldCharType="begin"/>
              <w:instrText xml:space="preserve">PAGEREF _Toc22 \h</w:instrText>
              <w:fldChar w:fldCharType="separate"/>
              <w:t xml:space="preserve">11</w:t>
              <w:fldChar w:fldCharType="end"/>
            </w:r>
          </w:hyperlink>
          <w:r/>
        </w:p>
        <w:p w14:paraId="1974D21A">
          <w:pPr>
            <w:pStyle w:val="926"/>
            <w:pBdr/>
            <w:tabs>
              <w:tab w:val="right" w:leader="none" w:pos="10080"/>
            </w:tabs>
            <w:spacing/>
            <w:ind/>
            <w:rPr/>
          </w:pPr>
          <w:hyperlink w:tooltip="#_Toc23" w:anchor="_Toc23" w:history="1">
            <w:r>
              <w:rPr>
                <w:rStyle w:val="922"/>
              </w:rPr>
            </w:r>
            <w:r>
              <w:rPr>
                <w:rStyle w:val="922"/>
                <w:b/>
                <w:bCs/>
                <w:rtl w:val="0"/>
              </w:rPr>
              <w:t xml:space="preserve">Justificación mediante los trece factores de decisión del SWEBOK</w:t>
            </w:r>
            <w:r>
              <w:rPr>
                <w:rStyle w:val="922"/>
              </w:rPr>
            </w:r>
            <w:r>
              <w:tab/>
              <w:fldChar w:fldCharType="begin"/>
              <w:instrText xml:space="preserve">PAGEREF _Toc23 \h</w:instrText>
              <w:fldChar w:fldCharType="separate"/>
              <w:t xml:space="preserve">11</w:t>
              <w:fldChar w:fldCharType="end"/>
            </w:r>
          </w:hyperlink>
          <w:r/>
        </w:p>
        <w:p w14:paraId="25E98AAB">
          <w:pPr>
            <w:pStyle w:val="926"/>
            <w:pBdr/>
            <w:tabs>
              <w:tab w:val="right" w:leader="none" w:pos="10080"/>
            </w:tabs>
            <w:spacing/>
            <w:ind/>
            <w:rPr/>
          </w:pPr>
          <w:hyperlink w:tooltip="#_Toc24" w:anchor="_Toc24" w:history="1">
            <w:r>
              <w:rPr>
                <w:rStyle w:val="922"/>
              </w:rPr>
            </w:r>
            <w:r>
              <w:rPr>
                <w:rStyle w:val="922"/>
                <w:b/>
                <w:bCs/>
                <w:rtl w:val="0"/>
              </w:rPr>
              <w:t xml:space="preserve">Técnica complementaria: atributos adicionales y Planguage</w:t>
            </w:r>
            <w:r>
              <w:rPr>
                <w:rStyle w:val="922"/>
              </w:rPr>
            </w:r>
            <w:r>
              <w:tab/>
              <w:fldChar w:fldCharType="begin"/>
              <w:instrText xml:space="preserve">PAGEREF _Toc24 \h</w:instrText>
              <w:fldChar w:fldCharType="separate"/>
              <w:t xml:space="preserve">12</w:t>
              <w:fldChar w:fldCharType="end"/>
            </w:r>
          </w:hyperlink>
          <w:r/>
        </w:p>
        <w:p w14:paraId="30118519">
          <w:pPr>
            <w:pStyle w:val="926"/>
            <w:pBdr/>
            <w:tabs>
              <w:tab w:val="right" w:leader="none" w:pos="10080"/>
            </w:tabs>
            <w:spacing/>
            <w:ind/>
            <w:rPr/>
          </w:pPr>
          <w:hyperlink w:tooltip="#_Toc25" w:anchor="_Toc25" w:history="1">
            <w:r>
              <w:rPr>
                <w:rStyle w:val="922"/>
              </w:rPr>
            </w:r>
            <w:r>
              <w:rPr>
                <w:rStyle w:val="922"/>
                <w:b/>
                <w:bCs/>
                <w:rtl w:val="0"/>
              </w:rPr>
              <w:t xml:space="preserve">Técnica complementaria: criterios de aceptación en formato BDD</w:t>
            </w:r>
            <w:r>
              <w:rPr>
                <w:rStyle w:val="922"/>
              </w:rPr>
            </w:r>
            <w:r>
              <w:tab/>
              <w:fldChar w:fldCharType="begin"/>
              <w:instrText xml:space="preserve">PAGEREF _Toc25 \h</w:instrText>
              <w:fldChar w:fldCharType="separate"/>
              <w:t xml:space="preserve">12</w:t>
              <w:fldChar w:fldCharType="end"/>
            </w:r>
          </w:hyperlink>
          <w:r/>
        </w:p>
        <w:p w14:paraId="674326E5">
          <w:pPr>
            <w:pStyle w:val="926"/>
            <w:pBdr/>
            <w:tabs>
              <w:tab w:val="right" w:leader="none" w:pos="10080"/>
            </w:tabs>
            <w:spacing/>
            <w:ind/>
            <w:rPr/>
          </w:pPr>
          <w:hyperlink w:tooltip="#_Toc26" w:anchor="_Toc26" w:history="1">
            <w:r>
              <w:rPr>
                <w:rStyle w:val="922"/>
              </w:rPr>
            </w:r>
            <w:r>
              <w:rPr>
                <w:rStyle w:val="922"/>
                <w:b/>
                <w:bCs/>
                <w:rtl w:val="0"/>
              </w:rPr>
              <w:t xml:space="preserve">Estrategia de documentación adoptada</w:t>
            </w:r>
            <w:r>
              <w:rPr>
                <w:rStyle w:val="922"/>
              </w:rPr>
            </w:r>
            <w:r>
              <w:tab/>
              <w:fldChar w:fldCharType="begin"/>
              <w:instrText xml:space="preserve">PAGEREF _Toc26 \h</w:instrText>
              <w:fldChar w:fldCharType="separate"/>
              <w:t xml:space="preserve">12</w:t>
              <w:fldChar w:fldCharType="end"/>
            </w:r>
          </w:hyperlink>
          <w:r/>
        </w:p>
        <w:p w14:paraId="2020D7EE">
          <w:pPr>
            <w:pStyle w:val="925"/>
            <w:pBdr/>
            <w:tabs>
              <w:tab w:val="right" w:leader="none" w:pos="10080"/>
            </w:tabs>
            <w:spacing/>
            <w:ind/>
            <w:rPr/>
          </w:pPr>
          <w:hyperlink w:tooltip="#_Toc27" w:anchor="_Toc27" w:history="1">
            <w:r>
              <w:rPr>
                <w:rStyle w:val="922"/>
              </w:rPr>
            </w:r>
            <w:r>
              <w:rPr>
                <w:rStyle w:val="922"/>
                <w:b/>
                <w:bCs/>
                <w:rtl w:val="0"/>
              </w:rPr>
              <w:t xml:space="preserve">2.6 Concepto operacional (OpsCon)</w:t>
            </w:r>
            <w:r>
              <w:rPr>
                <w:rStyle w:val="922"/>
              </w:rPr>
            </w:r>
            <w:r>
              <w:tab/>
              <w:fldChar w:fldCharType="begin"/>
              <w:instrText xml:space="preserve">PAGEREF _Toc27 \h</w:instrText>
              <w:fldChar w:fldCharType="separate"/>
              <w:t xml:space="preserve">13</w:t>
              <w:fldChar w:fldCharType="end"/>
            </w:r>
          </w:hyperlink>
          <w:r/>
        </w:p>
        <w:p w14:paraId="3853D8FE">
          <w:pPr>
            <w:pStyle w:val="926"/>
            <w:pBdr/>
            <w:tabs>
              <w:tab w:val="right" w:leader="none" w:pos="10080"/>
            </w:tabs>
            <w:spacing/>
            <w:ind/>
            <w:rPr/>
          </w:pPr>
          <w:hyperlink w:tooltip="#_Toc28" w:anchor="_Toc28" w:history="1">
            <w:r>
              <w:rPr>
                <w:rStyle w:val="922"/>
              </w:rPr>
            </w:r>
            <w:r>
              <w:rPr>
                <w:rStyle w:val="922"/>
                <w:b/>
                <w:bCs/>
                <w:rtl w:val="0"/>
              </w:rPr>
              <w:t xml:space="preserve">Escenario A — Reabastecimiento consolidado B2B (farmacia de El Viejo)</w:t>
            </w:r>
            <w:r>
              <w:rPr>
                <w:rStyle w:val="922"/>
              </w:rPr>
            </w:r>
            <w:r>
              <w:tab/>
              <w:fldChar w:fldCharType="begin"/>
              <w:instrText xml:space="preserve">PAGEREF _Toc28 \h</w:instrText>
              <w:fldChar w:fldCharType="separate"/>
              <w:t xml:space="preserve">13</w:t>
              <w:fldChar w:fldCharType="end"/>
            </w:r>
          </w:hyperlink>
          <w:r/>
        </w:p>
        <w:p w14:paraId="15306C1A">
          <w:pPr>
            <w:pStyle w:val="926"/>
            <w:pBdr/>
            <w:tabs>
              <w:tab w:val="right" w:leader="none" w:pos="10080"/>
            </w:tabs>
            <w:spacing/>
            <w:ind/>
            <w:rPr/>
          </w:pPr>
          <w:hyperlink w:tooltip="#_Toc29" w:anchor="_Toc29" w:history="1">
            <w:r>
              <w:rPr>
                <w:rStyle w:val="922"/>
              </w:rPr>
            </w:r>
            <w:r>
              <w:rPr>
                <w:rStyle w:val="922"/>
                <w:b/>
                <w:bCs/>
                <w:rtl w:val="0"/>
              </w:rPr>
              <w:t xml:space="preserve">Escenario B — Conexión directa de excedentes agrícolas (finquero de Estelí)</w:t>
            </w:r>
            <w:r>
              <w:rPr>
                <w:rStyle w:val="922"/>
              </w:rPr>
            </w:r>
            <w:r>
              <w:tab/>
              <w:fldChar w:fldCharType="begin"/>
              <w:instrText xml:space="preserve">PAGEREF _Toc29 \h</w:instrText>
              <w:fldChar w:fldCharType="separate"/>
              <w:t xml:space="preserve">13</w:t>
              <w:fldChar w:fldCharType="end"/>
            </w:r>
          </w:hyperlink>
          <w:r/>
        </w:p>
        <w:p w14:paraId="734956BC">
          <w:pPr>
            <w:pStyle w:val="925"/>
            <w:pBdr/>
            <w:tabs>
              <w:tab w:val="right" w:leader="none" w:pos="10080"/>
            </w:tabs>
            <w:spacing/>
            <w:ind/>
            <w:rPr/>
          </w:pPr>
          <w:hyperlink w:tooltip="#_Toc30" w:anchor="_Toc30" w:history="1">
            <w:r>
              <w:rPr>
                <w:rStyle w:val="922"/>
              </w:rPr>
            </w:r>
            <w:r>
              <w:rPr>
                <w:rStyle w:val="922"/>
                <w:b/>
                <w:bCs/>
                <w:rtl w:val="0"/>
              </w:rPr>
              <w:t xml:space="preserve">2.7 Organización del catálogo de requisitos</w:t>
            </w:r>
            <w:r>
              <w:rPr>
                <w:rStyle w:val="922"/>
              </w:rPr>
            </w:r>
            <w:r>
              <w:tab/>
              <w:fldChar w:fldCharType="begin"/>
              <w:instrText xml:space="preserve">PAGEREF _Toc30 \h</w:instrText>
              <w:fldChar w:fldCharType="separate"/>
              <w:t xml:space="preserve">13</w:t>
              <w:fldChar w:fldCharType="end"/>
            </w:r>
          </w:hyperlink>
          <w:r/>
        </w:p>
        <w:p w14:paraId="72865929">
          <w:pPr>
            <w:pStyle w:val="924"/>
            <w:pBdr/>
            <w:tabs>
              <w:tab w:val="right" w:leader="none" w:pos="10080"/>
            </w:tabs>
            <w:spacing/>
            <w:ind/>
            <w:rPr/>
          </w:pPr>
          <w:hyperlink w:tooltip="#_Toc31" w:anchor="_Toc31" w:history="1">
            <w:r>
              <w:rPr>
                <w:rStyle w:val="922"/>
              </w:rPr>
            </w:r>
            <w:r>
              <w:rPr>
                <w:rStyle w:val="922"/>
                <w:b/>
                <w:bCs/>
                <w:rtl w:val="0"/>
              </w:rPr>
              <w:t xml:space="preserve">3. Matriz de Requerimientos</w:t>
            </w:r>
            <w:r>
              <w:rPr>
                <w:rStyle w:val="922"/>
              </w:rPr>
            </w:r>
            <w:r>
              <w:tab/>
              <w:fldChar w:fldCharType="begin"/>
              <w:instrText xml:space="preserve">PAGEREF _Toc31 \h</w:instrText>
              <w:fldChar w:fldCharType="separate"/>
              <w:t xml:space="preserve">15</w:t>
              <w:fldChar w:fldCharType="end"/>
            </w:r>
          </w:hyperlink>
          <w:r/>
        </w:p>
        <w:p w14:paraId="4411BB8B">
          <w:pPr>
            <w:pStyle w:val="925"/>
            <w:pBdr/>
            <w:tabs>
              <w:tab w:val="right" w:leader="none" w:pos="10080"/>
            </w:tabs>
            <w:spacing/>
            <w:ind/>
            <w:rPr/>
          </w:pPr>
          <w:hyperlink w:tooltip="#_Toc32" w:anchor="_Toc32" w:history="1">
            <w:r>
              <w:rPr>
                <w:rStyle w:val="922"/>
              </w:rPr>
            </w:r>
            <w:r>
              <w:rPr>
                <w:rStyle w:val="922"/>
                <w:b/>
                <w:bCs/>
                <w:rtl w:val="0"/>
              </w:rPr>
              <w:t xml:space="preserve">3.1 Resumen cuantitativo del catálogo</w:t>
            </w:r>
            <w:r>
              <w:rPr>
                <w:rStyle w:val="922"/>
              </w:rPr>
            </w:r>
            <w:r>
              <w:tab/>
              <w:fldChar w:fldCharType="begin"/>
              <w:instrText xml:space="preserve">PAGEREF _Toc32 \h</w:instrText>
              <w:fldChar w:fldCharType="separate"/>
              <w:t xml:space="preserve">20</w:t>
              <w:fldChar w:fldCharType="end"/>
            </w:r>
          </w:hyperlink>
          <w:r/>
        </w:p>
        <w:p w14:paraId="542D1CC5">
          <w:pPr>
            <w:pStyle w:val="924"/>
            <w:pBdr/>
            <w:tabs>
              <w:tab w:val="right" w:leader="none" w:pos="10080"/>
            </w:tabs>
            <w:spacing/>
            <w:ind/>
            <w:rPr/>
          </w:pPr>
          <w:hyperlink w:tooltip="#_Toc33" w:anchor="_Toc33" w:history="1">
            <w:r>
              <w:rPr>
                <w:rStyle w:val="922"/>
              </w:rPr>
            </w:r>
            <w:r>
              <w:rPr>
                <w:rStyle w:val="922"/>
                <w:b/>
                <w:bCs/>
                <w:rtl w:val="0"/>
              </w:rPr>
              <w:t xml:space="preserve">4. Conclusiones</w:t>
            </w:r>
            <w:r>
              <w:rPr>
                <w:rStyle w:val="922"/>
              </w:rPr>
            </w:r>
            <w:r>
              <w:tab/>
              <w:fldChar w:fldCharType="begin"/>
              <w:instrText xml:space="preserve">PAGEREF _Toc33 \h</w:instrText>
              <w:fldChar w:fldCharType="separate"/>
              <w:t xml:space="preserve">21</w:t>
              <w:fldChar w:fldCharType="end"/>
            </w:r>
          </w:hyperlink>
          <w:r/>
        </w:p>
        <w:p w14:paraId="20544460">
          <w:pPr>
            <w:pStyle w:val="924"/>
            <w:pBdr/>
            <w:tabs>
              <w:tab w:val="right" w:leader="none" w:pos="10080"/>
            </w:tabs>
            <w:spacing/>
            <w:ind/>
            <w:rPr/>
          </w:pPr>
          <w:hyperlink w:tooltip="#_Toc34" w:anchor="_Toc34" w:history="1">
            <w:r>
              <w:rPr>
                <w:rStyle w:val="922"/>
              </w:rPr>
            </w:r>
            <w:r>
              <w:rPr>
                <w:rStyle w:val="922"/>
                <w:b/>
                <w:bCs/>
                <w:rtl w:val="0"/>
              </w:rPr>
              <w:t xml:space="preserve">5. Referencias normativas y bibliográficas</w:t>
            </w:r>
            <w:r>
              <w:rPr>
                <w:rStyle w:val="922"/>
              </w:rPr>
            </w:r>
            <w:r>
              <w:tab/>
              <w:fldChar w:fldCharType="begin"/>
              <w:instrText xml:space="preserve">PAGEREF _Toc34 \h</w:instrText>
              <w:fldChar w:fldCharType="separate"/>
              <w:t xml:space="preserve">22</w:t>
              <w:fldChar w:fldCharType="end"/>
            </w:r>
          </w:hyperlink>
          <w:r/>
        </w:p>
        <w:p w14:paraId="52A9004D">
          <w:pPr>
            <w:pBdr/>
            <w:spacing/>
            <w:ind/>
            <w:rPr/>
          </w:pPr>
          <w:r>
            <w:fldChar w:fldCharType="end"/>
          </w:r>
        </w:p>
      </w:sdtContent>
    </w:sdt>
    <w:p w14:paraId="72BD7DC0">
      <w:pPr>
        <w:pBdr/>
        <w:spacing/>
        <w:ind/>
        <w:rPr/>
      </w:pPr>
      <w:r>
        <w:rPr>
          <w:b/>
          <w:bCs/>
          <w:color w:val="000000" w:themeColor="text1"/>
          <w:sz w:val="30"/>
          <w:szCs w:val="30"/>
          <w:highlight w:val="none"/>
          <w:rtl w:val="0"/>
        </w:rPr>
      </w:r>
      <w:r/>
    </w:p>
    <w:p w14:paraId="7CE44F64">
      <w:pPr>
        <w:pBdr/>
        <w:spacing/>
        <w:ind/>
        <w:rPr>
          <w:b/>
          <w:bCs/>
          <w:color w:val="000000" w:themeColor="text1"/>
          <w:sz w:val="30"/>
          <w:szCs w:val="30"/>
          <w:highlight w:val="none"/>
        </w:rPr>
      </w:pPr>
      <w:r>
        <w:rPr>
          <w:b/>
          <w:bCs/>
          <w:color w:val="000000" w:themeColor="text1"/>
          <w:sz w:val="30"/>
          <w:szCs w:val="30"/>
          <w:highlight w:val="none"/>
          <w:rtl w:val="0"/>
        </w:rPr>
      </w:r>
      <w:r>
        <w:rPr>
          <w:b/>
          <w:bCs/>
          <w:color w:val="000000" w:themeColor="text1"/>
          <w:sz w:val="30"/>
          <w:szCs w:val="30"/>
          <w:highlight w:val="none"/>
        </w:rPr>
      </w:r>
    </w:p>
    <w:p w14:paraId="0000003D">
      <w:pPr>
        <w:pStyle w:val="938"/>
        <w:pBdr/>
        <w:spacing w:after="180" w:before="320"/>
        <w:ind/>
        <w:rPr>
          <w:b/>
          <w:bCs/>
          <w:color w:val="000000" w:themeColor="text1"/>
          <w:sz w:val="30"/>
          <w:szCs w:val="30"/>
          <w:highlight w:val="none"/>
        </w:rPr>
      </w:pPr>
      <w:r>
        <w:rPr>
          <w:color w:val="000000" w:themeColor="text1"/>
        </w:rPr>
      </w:r>
      <w:bookmarkStart w:id="1" w:name="_yh7zicn1zf8"/>
      <w:r>
        <w:rPr>
          <w:color w:val="000000" w:themeColor="text1"/>
        </w:rPr>
      </w:r>
      <w:bookmarkEnd w:id="1"/>
      <w:bookmarkStart w:id="9001" w:name="_Toc9001"/>
      <w:r>
        <w:rPr>
          <w:b/>
          <w:bCs/>
          <w:color w:val="000000" w:themeColor="text1"/>
          <w:sz w:val="30"/>
          <w:szCs w:val="30"/>
          <w:rtl w:val="0"/>
        </w:rPr>
        <w:t xml:space="preserve">1. Introducción</w:t>
      </w:r>
      <w:bookmarkEnd w:id="9001"/>
      <w:r>
        <w:rPr>
          <w:color w:val="000000" w:themeColor="text1"/>
        </w:rPr>
      </w:r>
      <w:r>
        <w:rPr>
          <w:b/>
          <w:bCs/>
          <w:color w:val="000000" w:themeColor="text1"/>
          <w:sz w:val="30"/>
          <w:szCs w:val="30"/>
          <w:highlight w:val="none"/>
        </w:rPr>
      </w:r>
    </w:p>
    <w:p w14:paraId="0000003F">
      <w:pPr>
        <w:pStyle w:val="939"/>
        <w:pBdr/>
        <w:spacing w:after="140" w:before="260"/>
        <w:ind/>
        <w:rPr>
          <w:color w:val="000000" w:themeColor="text1"/>
        </w:rPr>
      </w:pPr>
      <w:r/>
      <w:bookmarkStart w:id="37" w:name="_Toc1"/>
      <w:r>
        <w:rPr>
          <w:color w:val="000000" w:themeColor="text1"/>
        </w:rPr>
      </w:r>
      <w:bookmarkStart w:id="2" w:name="_a60a7jdrivz3"/>
      <w:r>
        <w:rPr>
          <w:color w:val="000000" w:themeColor="text1"/>
        </w:rPr>
      </w:r>
      <w:bookmarkEnd w:id="2"/>
      <w:r>
        <w:rPr>
          <w:b/>
          <w:bCs/>
          <w:color w:val="000000" w:themeColor="text1"/>
          <w:sz w:val="25"/>
          <w:szCs w:val="25"/>
          <w:rtl w:val="0"/>
        </w:rPr>
        <w:t xml:space="preserve">1.1 Propósito del documento</w:t>
      </w:r>
      <w:r/>
      <w:bookmarkEnd w:id="37"/>
      <w:r/>
      <w:r>
        <w:rPr>
          <w:color w:val="000000" w:themeColor="text1"/>
        </w:rPr>
      </w:r>
    </w:p>
    <w:p w14:paraId="00000040">
      <w:pPr>
        <w:pBdr/>
        <w:spacing w:after="140" w:line="300" w:lineRule="auto"/>
        <w:ind/>
        <w:jc w:val="both"/>
        <w:rPr/>
      </w:pPr>
      <w:r>
        <w:rPr>
          <w:sz w:val="22"/>
          <w:szCs w:val="22"/>
          <w:rtl w:val="0"/>
        </w:rPr>
        <w:t xml:space="preserve">El presente documento constituye el entregable de levantamiento de requerimientos de la plataforma web B2B de emparejamiento comercial AbasteceNi. Su propósito es dejar constancia formal, trazable y verificable del conjunto de necesidades que el sistema debe satisfacer, así como del proceso metodológico mediante el cual dichas necesidades fueron descubiertas, analizadas y transformadas en requisitos bien formados.</w:t>
      </w:r>
      <w:r>
        <w:rPr>
          <w:rtl w:val="0"/>
        </w:rPr>
      </w:r>
      <w:r/>
    </w:p>
    <w:p w14:paraId="00000041">
      <w:pPr>
        <w:pBdr/>
        <w:spacing w:after="140" w:line="300" w:lineRule="auto"/>
        <w:ind/>
        <w:jc w:val="both"/>
        <w:rPr/>
      </w:pPr>
      <w:r>
        <w:rPr>
          <w:sz w:val="22"/>
          <w:szCs w:val="22"/>
          <w:rtl w:val="0"/>
        </w:rPr>
        <w:t xml:space="preserve">La redacción se sujeta a lo establecido en el Capítulo 5 de la norma ISO/IEC/IEEE 29148:2011, que define los conceptos de construcción, características individuales, características del conjunto, lenguaje y atributos de los requisitos. Complementariamente, la selección de las técnicas de elicitación y de especificación empleadas se fundamenta en el Capítulo 01 de la guía SWEBOK v4.0a, Temas 2 y 4 respectivamente, conforme a los materiales de referencia proporcionados en la asignatura.</w:t>
      </w:r>
      <w:r>
        <w:rPr>
          <w:rtl w:val="0"/>
        </w:rPr>
      </w:r>
      <w:r/>
    </w:p>
    <w:p w14:paraId="00000042">
      <w:pPr>
        <w:pBdr/>
        <w:spacing w:after="140" w:line="300" w:lineRule="auto"/>
        <w:ind/>
        <w:jc w:val="both"/>
        <w:rPr/>
      </w:pPr>
      <w:r>
        <w:rPr>
          <w:sz w:val="22"/>
          <w:szCs w:val="22"/>
          <w:rtl w:val="0"/>
        </w:rPr>
        <w:t xml:space="preserve">Este documento se concentra exclusivamente en la ingeniería de requisitos. Las decisiones de arquitectura, selección tecnológica, modelo de datos y estrategia de despliegue quedan deliberadamente fuera de su alcance, en coherencia con el principio de la norma según el cual un requisito bien formado establece el qué debe hacer el sistema y no el cómo habrá de construirse.</w:t>
      </w:r>
      <w:r>
        <w:rPr>
          <w:rtl w:val="0"/>
        </w:rPr>
      </w:r>
      <w:r/>
    </w:p>
    <w:p w14:paraId="00000043">
      <w:pPr>
        <w:pStyle w:val="939"/>
        <w:pBdr/>
        <w:spacing w:after="140" w:before="260"/>
        <w:ind/>
        <w:rPr>
          <w:color w:val="000000" w:themeColor="text1"/>
        </w:rPr>
      </w:pPr>
      <w:r/>
      <w:bookmarkStart w:id="38" w:name="_Toc2"/>
      <w:r>
        <w:rPr>
          <w:color w:val="000000" w:themeColor="text1"/>
        </w:rPr>
      </w:r>
      <w:bookmarkStart w:id="3" w:name="_zb0t333gi4av"/>
      <w:r>
        <w:rPr>
          <w:color w:val="000000" w:themeColor="text1"/>
        </w:rPr>
      </w:r>
      <w:bookmarkEnd w:id="3"/>
      <w:r>
        <w:rPr>
          <w:b/>
          <w:bCs/>
          <w:color w:val="000000" w:themeColor="text1"/>
          <w:sz w:val="25"/>
          <w:szCs w:val="25"/>
          <w:rtl w:val="0"/>
        </w:rPr>
        <w:t xml:space="preserve">1.2 Naturaleza del caso de estudio</w:t>
      </w:r>
      <w:r/>
      <w:bookmarkEnd w:id="38"/>
      <w:r/>
      <w:r>
        <w:rPr>
          <w:color w:val="000000" w:themeColor="text1"/>
        </w:rPr>
      </w:r>
    </w:p>
    <w:p w14:paraId="0B7182C0">
      <w:pPr>
        <w:pBdr/>
        <w:spacing w:after="140" w:line="300" w:lineRule="auto"/>
        <w:ind/>
        <w:jc w:val="both"/>
        <w:rPr/>
      </w:pPr>
      <w:r>
        <w:rPr>
          <w:sz w:val="22"/>
          <w:szCs w:val="22"/>
          <w:rtl w:val="0"/>
        </w:rPr>
        <w:t xml:space="preserve">Este documento constituye el segundo entregable de la serie y toma como entrada el primero, el Objeto de Estudio, donde se caracterizó la organización promotora, el problema de dominio y los objetivos de negocio que aquí se traducen en requisitos. Todo elemento contextual empleado en las secciones siguientes —la caracterización del sector minorista departamental, el enfoque «Demand-First» y la noción de bloque de demanda— procede de aquel documento y no se redefine aquí. La emisión original de este documento es anterior a la del Objeto de Estudio; la relación de entrada que aquí se declara es lógica y no cronológica, conforme a lo registrado en el Anexo D del documento 1.</w:t>
      </w:r>
      <w:r/>
    </w:p>
    <w:p w14:paraId="00000044">
      <w:pPr>
        <w:pBdr/>
        <w:spacing w:after="140" w:line="300" w:lineRule="auto"/>
        <w:ind/>
        <w:jc w:val="both"/>
        <w:rPr/>
      </w:pPr>
      <w:r>
        <w:rPr>
          <w:sz w:val="22"/>
          <w:szCs w:val="22"/>
          <w:rtl w:val="0"/>
        </w:rPr>
        <w:t xml:space="preserve">AbasteceNi es una propuesta de proyecto formulada como caso de estudio académico. La organización promotora es una compañía simulada, construida por el equipo con el fin de disponer de un contexto empresarial coherente sobre el cual practicar el ciclo completo de ingeniería de requisitos. En consecuencia, no se realizó una consultoría contratada ni una investigación formal dentro de una empresa real existente.</w:t>
      </w:r>
      <w:r/>
    </w:p>
    <w:p w14:paraId="00000045">
      <w:pPr>
        <w:pBdr/>
        <w:spacing w:after="140" w:line="300" w:lineRule="auto"/>
        <w:ind/>
        <w:jc w:val="both"/>
        <w:rPr/>
      </w:pPr>
      <w:r>
        <w:rPr>
          <w:sz w:val="22"/>
          <w:szCs w:val="22"/>
          <w:rtl w:val="0"/>
        </w:rPr>
        <w:t xml:space="preserve">Esta condición no invalida el ejercicio ni degrada la calidad de los requisitos obtenidos, pero sí condiciona de forma decisiva qué técnicas de elicitación resultaban aplicables y cuáles no. El equipo declara esta limitación de manera explícita porque, tal como advierte el SWEBOK, omitir el origen real de un requisito es una de las causas principales de incompletitud y de pérdida de trazabilidad. La sección 2.4 detalla las técnicas efectivamente empleadas y la justificación de cada elección.</w:t>
      </w:r>
      <w:r>
        <w:rPr>
          <w:rtl w:val="0"/>
        </w:rPr>
      </w:r>
      <w:r/>
    </w:p>
    <w:p w14:paraId="00000046">
      <w:pPr>
        <w:pBdr/>
        <w:spacing w:after="140" w:line="300" w:lineRule="auto"/>
        <w:ind/>
        <w:jc w:val="both"/>
        <w:rPr/>
      </w:pPr>
      <w:r>
        <w:rPr>
          <w:sz w:val="22"/>
          <w:szCs w:val="22"/>
          <w:rtl w:val="0"/>
        </w:rPr>
        <w:t xml:space="preserve">La problemática que el sistema pretende resolver sí es real y observable. Los comerciantes minoristas de los departamentos alejados de Managua —farmacias familiares, ferreterías pequeñas y pulperías de Chinandega y El Viejo— gestionan su reabastecimiento mediante libretas de papel, llamadas telefónicas y grupos de mensajería no estructurados, lo que diluye su capacidad de compra individual. De forma simétrica, los productores agrícolas de Estelí y del occidente del país carecen de un canal de contingencia para colocar excedentes de granos básicos cuando los canales mayoristas centralizados reducen sus cuotas de compra. Ambos fenómenos fueron accesibles al equipo por observación directa del entorno y por conversación con comerciantes del círculo cercano.</w:t>
      </w:r>
      <w:r>
        <w:rPr>
          <w:rtl w:val="0"/>
        </w:rPr>
      </w:r>
      <w:r/>
    </w:p>
    <w:p w14:paraId="00000047">
      <w:pPr>
        <w:pStyle w:val="939"/>
        <w:pBdr/>
        <w:spacing w:after="140" w:before="260"/>
        <w:ind/>
        <w:rPr>
          <w:color w:val="000000" w:themeColor="text1"/>
        </w:rPr>
      </w:pPr>
      <w:r/>
      <w:bookmarkStart w:id="39" w:name="_Toc3"/>
      <w:r>
        <w:rPr>
          <w:color w:val="000000" w:themeColor="text1"/>
        </w:rPr>
      </w:r>
      <w:bookmarkStart w:id="4" w:name="_db6festdliui"/>
      <w:r>
        <w:rPr>
          <w:color w:val="000000" w:themeColor="text1"/>
        </w:rPr>
      </w:r>
      <w:bookmarkEnd w:id="4"/>
      <w:r>
        <w:rPr>
          <w:b/>
          <w:bCs/>
          <w:color w:val="000000" w:themeColor="text1"/>
          <w:sz w:val="25"/>
          <w:szCs w:val="25"/>
          <w:rtl w:val="0"/>
        </w:rPr>
        <w:t xml:space="preserve">1.3 Alcance del sistema</w:t>
      </w:r>
      <w:r/>
      <w:bookmarkEnd w:id="39"/>
      <w:r/>
      <w:r>
        <w:rPr>
          <w:color w:val="000000" w:themeColor="text1"/>
        </w:rPr>
      </w:r>
    </w:p>
    <w:p w14:paraId="00000048">
      <w:pPr>
        <w:pBdr/>
        <w:spacing w:after="140" w:line="300" w:lineRule="auto"/>
        <w:ind/>
        <w:jc w:val="both"/>
        <w:rPr/>
      </w:pPr>
      <w:r>
        <w:rPr>
          <w:sz w:val="22"/>
          <w:szCs w:val="22"/>
          <w:rtl w:val="0"/>
        </w:rPr>
        <w:t xml:space="preserve">La plataforma operará como un portal web de emparejamiento y negociación comercial bajo un enfoque «Demand-First»: en lugar de publicar un catálogo estático de oferta a la espera de compradores, el sistema faculta a los minoristas a registrar sus intenciones de compra en bloques de demanda, cuya consolidación departamental actúa como incentivo de entrada para los distribuidores mayoristas.</w:t>
      </w:r>
      <w:r>
        <w:rPr>
          <w:rtl w:val="0"/>
        </w:rPr>
      </w:r>
      <w:r/>
    </w:p>
    <w:p w14:paraId="00000049">
      <w:pPr>
        <w:pStyle w:val="940"/>
        <w:pBdr/>
        <w:spacing w:after="110" w:before="200"/>
        <w:ind/>
        <w:rPr/>
      </w:pPr>
      <w:r/>
      <w:bookmarkStart w:id="40" w:name="_Toc4"/>
      <w:r/>
      <w:bookmarkStart w:id="5" w:name="_wrbxkvpve575"/>
      <w:r/>
      <w:bookmarkEnd w:id="5"/>
      <w:r>
        <w:rPr>
          <w:b/>
          <w:bCs/>
          <w:color w:val="333333"/>
          <w:sz w:val="22"/>
          <w:szCs w:val="22"/>
          <w:rtl w:val="0"/>
        </w:rPr>
        <w:t xml:space="preserve">Dentro del alcance</w:t>
      </w:r>
      <w:r/>
      <w:bookmarkEnd w:id="40"/>
      <w:r/>
    </w:p>
    <w:p w14:paraId="0000004A">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Gestión de usuarios y validación comercial: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registro de cuentas comerciales, carga del registro legal (RUC o patente), validación por parte del administrador y asignación de roles diferenciados.</w:t>
      </w:r>
      <w:r>
        <w:rPr>
          <w:rtl w:val="0"/>
        </w:rPr>
      </w:r>
      <w:r/>
    </w:p>
    <w:p w14:paraId="0000004B">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Publicación de demandas: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creación de solicitudes estructuradas por categoría y volumen, con plantillas reutilizables y agrupación automática por departamento.</w:t>
      </w:r>
      <w:r>
        <w:rPr>
          <w:rtl w:val="0"/>
        </w:rPr>
      </w:r>
      <w:r/>
    </w:p>
    <w:p w14:paraId="0000004C">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Ofertas y motor de búsqueda: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publicación de excedentes agrícolas y exploración filtrada de demandas activas por departamento, municipio, categoría y rango de volumen.</w:t>
      </w:r>
      <w:r>
        <w:rPr>
          <w:rtl w:val="0"/>
        </w:rPr>
      </w:r>
      <w:r/>
    </w:p>
    <w:p w14:paraId="0000004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Cotización y emparejamiento: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emisión de cotizaciones con precio por volumen, plazo logístico y vigencia, además del ciclo de contra-oferta.</w:t>
      </w:r>
      <w:r>
        <w:rPr>
          <w:rtl w:val="0"/>
        </w:rPr>
      </w:r>
      <w:r/>
    </w:p>
    <w:p w14:paraId="0000004E">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Comunicación y alertas: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mensajería interna habilitada tras la aceptación provisional de una cotización y notificaciones automatizadas al dispositivo móvil.</w:t>
      </w:r>
      <w:r>
        <w:rPr>
          <w:rtl w:val="0"/>
        </w:rPr>
      </w:r>
      <w:r/>
    </w:p>
    <w:p w14:paraId="0000004F">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Calificaciones y reputación: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evaluación bidireccional, insignias de cumplimiento y confirmación de entrega mediante código QR.</w:t>
      </w:r>
      <w:r>
        <w:rPr>
          <w:rtl w:val="0"/>
        </w:rPr>
      </w:r>
      <w:r/>
    </w:p>
    <w:p w14:paraId="00000050">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Soporte y auditoría: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tickets de incidencia con ciclo de vida completo y bitácora de auditoría inmutable de las transacciones.</w:t>
      </w:r>
      <w:r>
        <w:rPr>
          <w:rtl w:val="0"/>
        </w:rPr>
      </w:r>
      <w:r/>
    </w:p>
    <w:p w14:paraId="00000051">
      <w:pPr>
        <w:pStyle w:val="940"/>
        <w:pBdr/>
        <w:spacing w:after="110" w:before="200"/>
        <w:ind/>
        <w:rPr/>
      </w:pPr>
      <w:r/>
      <w:bookmarkStart w:id="41" w:name="_Toc5"/>
      <w:r/>
      <w:bookmarkStart w:id="6" w:name="_ccdpsfhspvip"/>
      <w:r/>
      <w:bookmarkEnd w:id="6"/>
      <w:r>
        <w:rPr>
          <w:b/>
          <w:bCs/>
          <w:color w:val="333333"/>
          <w:sz w:val="22"/>
          <w:szCs w:val="22"/>
          <w:rtl w:val="0"/>
        </w:rPr>
        <w:t xml:space="preserve">Fuera del alcance de esta versión</w:t>
      </w:r>
      <w:r/>
      <w:bookmarkEnd w:id="41"/>
      <w:r/>
    </w:p>
    <w:p w14:paraId="00000052">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Pasarela de pagos electrónicos automatizados: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la liquidación de comisiones se realizará por canales bancarios externos.</w:t>
      </w:r>
      <w:r>
        <w:rPr>
          <w:rtl w:val="0"/>
        </w:rPr>
      </w:r>
      <w:r/>
    </w:p>
    <w:p w14:paraId="00000053">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Seguimiento logístico por GPS: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el sistema registrará estados de preparación y envío, sin rastreo en tiempo real de la mercancía.</w:t>
      </w:r>
      <w:r>
        <w:rPr>
          <w:rtl w:val="0"/>
        </w:rPr>
      </w:r>
      <w:r/>
    </w:p>
    <w:p w14:paraId="00000054">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Aplicaciones móviles nativas: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el despliegue se realizará como aplicación web responsiva bajo enfoque «mobile-first».</w:t>
      </w:r>
      <w:r>
        <w:rPr>
          <w:rtl w:val="0"/>
        </w:rPr>
      </w:r>
      <w:r/>
    </w:p>
    <w:p w14:paraId="3309A3BE">
      <w:pPr>
        <w:pBdr/>
        <w:shd w:val="nil" w:color="auto"/>
        <w:spacing/>
        <w:ind/>
        <w:rPr>
          <w:color w:val="000000" w:themeColor="text1"/>
        </w:rPr>
      </w:pPr>
      <w:r>
        <w:rPr>
          <w:color w:val="000000" w:themeColor="text1"/>
          <w:highlight w:val="none"/>
        </w:rPr>
        <w:br w:type="page" w:clear="all"/>
      </w:r>
      <w:r>
        <w:rPr>
          <w:color w:val="000000" w:themeColor="text1"/>
        </w:rPr>
      </w:r>
    </w:p>
    <w:p w14:paraId="00000055">
      <w:pPr>
        <w:pStyle w:val="939"/>
        <w:pBdr/>
        <w:spacing w:after="140" w:before="260"/>
        <w:ind/>
        <w:rPr>
          <w:color w:val="000000" w:themeColor="text1"/>
          <w:highlight w:val="none"/>
        </w:rPr>
      </w:pPr>
      <w:r/>
      <w:bookmarkStart w:id="42" w:name="_Toc6"/>
      <w:r>
        <w:rPr>
          <w:color w:val="000000" w:themeColor="text1"/>
        </w:rPr>
      </w:r>
      <w:bookmarkStart w:id="7" w:name="_q3g0qo8bwnhp"/>
      <w:r>
        <w:rPr>
          <w:color w:val="000000" w:themeColor="text1"/>
        </w:rPr>
      </w:r>
      <w:bookmarkEnd w:id="7"/>
      <w:r>
        <w:rPr>
          <w:b/>
          <w:bCs/>
          <w:color w:val="000000" w:themeColor="text1"/>
          <w:sz w:val="25"/>
          <w:szCs w:val="25"/>
          <w:rtl w:val="0"/>
        </w:rPr>
        <w:t xml:space="preserve">1.4 Definiciones y acrónimos</w:t>
      </w:r>
      <w:r/>
      <w:bookmarkEnd w:id="42"/>
      <w:r/>
      <w:r>
        <w:rPr>
          <w:color w:val="000000" w:themeColor="text1"/>
          <w:highlight w:val="none"/>
        </w:rPr>
      </w:r>
    </w:p>
    <w:tbl>
      <w:tblPr>
        <w:tblStyle w:val="946"/>
        <w:tblW w:w="9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0"/>
        <w:gridCol w:w="7080"/>
        <w:tblGridChange w:id="0">
          <w:tblGrid>
            <w:gridCol w:w="2400"/>
            <w:gridCol w:w="7080"/>
          </w:tblGrid>
        </w:tblGridChange>
      </w:tblGrid>
      <w:tr>
        <w:trPr>
          <w:cantSplit w:val="false"/>
          <w:tblHeader/>
        </w:trPr>
        <w:tc>
          <w:tcPr>
            <w:shd w:val="clear" w:color="0d0d0d" w:themeColor="text1" w:themeTint="F2" w:fill="0d0d0d" w:themeFill="text1" w:themeFillTint="F2"/>
            <w:tcBorders>
              <w:top w:val="single" w:color="b8c4d9" w:sz="4" w:space="0"/>
              <w:left w:val="single" w:color="b8c4d9" w:sz="4" w:space="0"/>
              <w:bottom w:val="single" w:color="000000" w:sz="4" w:space="0"/>
              <w:right w:val="single" w:color="b8c4d9" w:sz="4" w:space="0"/>
            </w:tcBorders>
            <w:tcMar>
              <w:left w:w="80" w:type="dxa"/>
              <w:top w:w="60" w:type="dxa"/>
              <w:right w:w="80" w:type="dxa"/>
              <w:bottom w:w="60" w:type="dxa"/>
            </w:tcMar>
            <w:vAlign w:val="center"/>
          </w:tcPr>
          <w:p w14:paraId="00000056">
            <w:pPr>
              <w:pBdr/>
              <w:spacing w:line="230" w:lineRule="auto"/>
              <w:ind/>
              <w:rPr/>
            </w:pPr>
            <w:r>
              <w:rPr>
                <w:b/>
                <w:bCs/>
                <w:color w:val="ffffff"/>
                <w:sz w:val="19"/>
                <w:szCs w:val="19"/>
                <w:rtl w:val="0"/>
              </w:rPr>
              <w:t xml:space="preserve">Término</w:t>
            </w:r>
            <w:r>
              <w:rPr>
                <w:rtl w:val="0"/>
              </w:rPr>
            </w:r>
            <w:r/>
          </w:p>
        </w:tc>
        <w:tc>
          <w:tcPr>
            <w:shd w:val="clear" w:color="000000" w:themeColor="text1" w:fill="000000" w:themeFill="text1"/>
            <w:tcBorders>
              <w:top w:val="single" w:color="b8c4d9" w:sz="4" w:space="0"/>
              <w:left w:val="single" w:color="b8c4d9" w:sz="4" w:space="0"/>
              <w:bottom w:val="single" w:color="000000" w:sz="4" w:space="0"/>
              <w:right w:val="single" w:color="b8c4d9" w:sz="4" w:space="0"/>
            </w:tcBorders>
            <w:tcMar>
              <w:left w:w="80" w:type="dxa"/>
              <w:top w:w="60" w:type="dxa"/>
              <w:right w:w="80" w:type="dxa"/>
              <w:bottom w:w="60" w:type="dxa"/>
            </w:tcMar>
            <w:vAlign w:val="center"/>
          </w:tcPr>
          <w:p w14:paraId="00000057">
            <w:pPr>
              <w:pBdr/>
              <w:spacing w:line="230" w:lineRule="auto"/>
              <w:ind/>
              <w:rPr/>
            </w:pPr>
            <w:r>
              <w:rPr>
                <w:b/>
                <w:bCs/>
                <w:color w:val="ffffff"/>
                <w:sz w:val="19"/>
                <w:szCs w:val="19"/>
                <w:rtl w:val="0"/>
              </w:rPr>
              <w:t xml:space="preserve">Definición</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8">
            <w:pPr>
              <w:pBdr/>
              <w:spacing w:line="230" w:lineRule="auto"/>
              <w:ind/>
              <w:rPr/>
            </w:pPr>
            <w:r>
              <w:rPr>
                <w:b/>
                <w:bCs/>
                <w:sz w:val="19"/>
                <w:szCs w:val="19"/>
                <w:rtl w:val="0"/>
              </w:rPr>
              <w:t xml:space="preserve">Bloque de demanda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9">
            <w:pPr>
              <w:pBdr/>
              <w:spacing w:line="230" w:lineRule="auto"/>
              <w:ind/>
              <w:rPr/>
            </w:pPr>
            <w:r>
              <w:rPr>
                <w:sz w:val="19"/>
                <w:szCs w:val="19"/>
                <w:rtl w:val="0"/>
              </w:rPr>
              <w:t xml:space="preserve">Agrupación de solicitudes de compra individuales que comparten categoría y departamento, consolidadas por el sistema en un único volumen negociable.</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A">
            <w:pPr>
              <w:pBdr/>
              <w:spacing w:line="230" w:lineRule="auto"/>
              <w:ind/>
              <w:rPr/>
            </w:pPr>
            <w:r>
              <w:rPr>
                <w:b/>
                <w:bCs/>
                <w:sz w:val="19"/>
                <w:szCs w:val="19"/>
                <w:rtl w:val="0"/>
              </w:rPr>
              <w:t xml:space="preserve">ConOps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B">
            <w:pPr>
              <w:pBdr/>
              <w:spacing w:line="230" w:lineRule="auto"/>
              <w:ind/>
              <w:rPr/>
            </w:pPr>
            <w:r>
              <w:rPr>
                <w:sz w:val="19"/>
                <w:szCs w:val="19"/>
                <w:rtl w:val="0"/>
              </w:rPr>
            </w:r>
            <w:r>
              <w:t xml:space="preserve">Concepto de operaciones del negocio. Describe cómo opera la organización con independencia del sistema que se construirá. Corresponde al nivel del documento 1 (ISO/IEC/IEEE 29148:2011, 5.2.3).</w:t>
            </w:r>
            <w:r>
              <w:rPr>
                <w:sz w:val="19"/>
                <w:szCs w:val="19"/>
                <w:rtl w:val="0"/>
              </w:rPr>
            </w:r>
            <w:r/>
          </w:p>
        </w:tc>
      </w:tr>
      <w:tr>
        <w:trPr/>
        <w:tc>
          <w:tcPr>
            <w:shd w:val="clear" w:color="ffffff"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0" w:type="auto"/>
            <w:vAlign w:val="center"/>
            <w:vMerge w:val="restart"/>
          </w:tcPr>
          <w:p w14:paraId="1FE01E0D">
            <w:pPr>
              <w:pBdr/>
              <w:spacing w:line="230" w:lineRule="auto"/>
              <w:ind/>
              <w:rPr>
                <w:b/>
                <w:bCs/>
                <w:sz w:val="19"/>
                <w:szCs w:val="19"/>
                <w:rtl w:val="0"/>
              </w:rPr>
            </w:pPr>
            <w:r>
              <w:rPr>
                <w:b/>
                <w:bCs/>
                <w:sz w:val="19"/>
                <w:szCs w:val="19"/>
                <w:rtl w:val="0"/>
                <w:lang w:val="es-ES"/>
              </w:rPr>
              <w:t xml:space="preserve">OpsCon</w:t>
            </w:r>
            <w:r>
              <w:rPr>
                <w:b/>
                <w:bCs/>
                <w:sz w:val="19"/>
                <w:szCs w:val="19"/>
                <w:rtl w:val="0"/>
              </w:rPr>
            </w:r>
          </w:p>
        </w:tc>
        <w:tc>
          <w:tcPr>
            <w:shd w:val="clear" w:color="ffffff"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0" w:type="auto"/>
            <w:vAlign w:val="center"/>
            <w:vMerge w:val="restart"/>
          </w:tcPr>
          <w:p w14:paraId="5ED3833E">
            <w:pPr>
              <w:pBdr/>
              <w:spacing w:line="230" w:lineRule="auto"/>
              <w:ind/>
              <w:rPr>
                <w:sz w:val="19"/>
                <w:szCs w:val="19"/>
                <w:rtl w:val="0"/>
              </w:rPr>
            </w:pPr>
            <w:r>
              <w:rPr>
                <w:sz w:val="19"/>
                <w:szCs w:val="19"/>
                <w:rtl w:val="0"/>
              </w:rPr>
            </w:r>
            <w:r>
              <w:t xml:space="preserve">Concepto operacional del sistema. Narrativa que describe cómo operará el sistema una vez construido, estructurando la intención de las partes interesadas antes de formalizarla como requisito. Es el nivel que desarrolla la sección 2.6 de este documento (ISO/IEC/IEEE 29148:2011, 5.2.3).</w:t>
            </w:r>
            <w:r>
              <w:rPr>
                <w:sz w:val="19"/>
                <w:szCs w:val="19"/>
                <w:rtl w:val="0"/>
              </w:rP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C">
            <w:pPr>
              <w:pBdr/>
              <w:spacing w:line="230" w:lineRule="auto"/>
              <w:ind/>
              <w:rPr/>
            </w:pPr>
            <w:r>
              <w:rPr>
                <w:b/>
                <w:bCs/>
                <w:sz w:val="19"/>
                <w:szCs w:val="19"/>
                <w:rtl w:val="0"/>
              </w:rPr>
              <w:t xml:space="preserve">Elicitación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D">
            <w:pPr>
              <w:pBdr/>
              <w:spacing w:line="230" w:lineRule="auto"/>
              <w:ind/>
              <w:rPr/>
            </w:pPr>
            <w:r>
              <w:rPr>
                <w:sz w:val="19"/>
                <w:szCs w:val="19"/>
                <w:rtl w:val="0"/>
              </w:rPr>
              <w:t xml:space="preserve">Actividad cuyo objetivo es sacar a la superficie los requisitos candidatos del sistema. También denominada captura o descubrimiento de requisitos (SWEBOK v4, KA 01, Tema 2).</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E">
            <w:pPr>
              <w:pBdr/>
              <w:spacing w:line="230" w:lineRule="auto"/>
              <w:ind/>
              <w:rPr/>
            </w:pPr>
            <w:r>
              <w:rPr>
                <w:b/>
                <w:bCs/>
                <w:sz w:val="19"/>
                <w:szCs w:val="19"/>
                <w:rtl w:val="0"/>
              </w:rPr>
              <w:t xml:space="preserve">MoSCoW</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5F">
            <w:pPr>
              <w:pBdr/>
              <w:spacing w:line="230" w:lineRule="auto"/>
              <w:ind/>
              <w:rPr/>
            </w:pPr>
            <w:r>
              <w:rPr>
                <w:sz w:val="19"/>
                <w:szCs w:val="19"/>
                <w:rtl w:val="0"/>
              </w:rPr>
              <w:t xml:space="preserve">Esquema de priorización: Must (debe), Should (debería), Could (podría), Won't (no se hará en esta versión).</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0">
            <w:pPr>
              <w:pBdr/>
              <w:spacing w:line="230" w:lineRule="auto"/>
              <w:ind/>
              <w:rPr/>
            </w:pPr>
            <w:r>
              <w:rPr>
                <w:b/>
                <w:bCs/>
                <w:sz w:val="19"/>
                <w:szCs w:val="19"/>
                <w:rtl w:val="0"/>
              </w:rPr>
              <w:t xml:space="preserve">RUC</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1">
            <w:pPr>
              <w:pBdr/>
              <w:spacing w:line="230" w:lineRule="auto"/>
              <w:ind/>
              <w:rPr/>
            </w:pPr>
            <w:r>
              <w:rPr>
                <w:sz w:val="19"/>
                <w:szCs w:val="19"/>
                <w:rtl w:val="0"/>
              </w:rPr>
              <w:t xml:space="preserve">Registro Único del Contribuyente. Identificación fiscal de las personas jurídicas y naturales con actividad económica en Nicaragua.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2">
            <w:pPr>
              <w:pBdr/>
              <w:spacing w:line="230" w:lineRule="auto"/>
              <w:ind/>
              <w:rPr/>
            </w:pPr>
            <w:r>
              <w:rPr>
                <w:b/>
                <w:bCs/>
                <w:sz w:val="19"/>
                <w:szCs w:val="19"/>
                <w:rtl w:val="0"/>
              </w:rPr>
              <w:t xml:space="preserve">StRS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3">
            <w:pPr>
              <w:pBdr/>
              <w:spacing w:line="230" w:lineRule="auto"/>
              <w:ind/>
              <w:rPr/>
            </w:pPr>
            <w:r>
              <w:rPr>
                <w:sz w:val="19"/>
                <w:szCs w:val="19"/>
                <w:rtl w:val="0"/>
              </w:rPr>
              <w:t xml:space="preserve">Stakeholder Requirements Specification. Especificación de requisitos de las partes interesadas, expresada como objetivos de alto nivel.</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4">
            <w:pPr>
              <w:pBdr/>
              <w:spacing w:line="230" w:lineRule="auto"/>
              <w:ind/>
              <w:rPr/>
            </w:pPr>
            <w:r>
              <w:rPr>
                <w:b/>
                <w:bCs/>
                <w:sz w:val="19"/>
                <w:szCs w:val="19"/>
                <w:rtl w:val="0"/>
              </w:rPr>
              <w:t xml:space="preserve">SyRS / SRS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5">
            <w:pPr>
              <w:pBdr/>
              <w:spacing w:line="230" w:lineRule="auto"/>
              <w:ind/>
              <w:rPr/>
            </w:pPr>
            <w:r>
              <w:rPr>
                <w:sz w:val="19"/>
                <w:szCs w:val="19"/>
                <w:rtl w:val="0"/>
              </w:rPr>
              <w:t xml:space="preserve">System / Software Requirements Specification. Requisitos del sistema y del software, derivados y asignados a partir de los StRS.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6">
            <w:pPr>
              <w:pBdr/>
              <w:spacing w:line="230" w:lineRule="auto"/>
              <w:ind/>
              <w:rPr/>
            </w:pPr>
            <w:r>
              <w:rPr>
                <w:b/>
                <w:bCs/>
                <w:sz w:val="19"/>
                <w:szCs w:val="19"/>
                <w:rtl w:val="0"/>
              </w:rPr>
              <w:t xml:space="preserve">TOTP</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67">
            <w:pPr>
              <w:pBdr/>
              <w:spacing w:line="230" w:lineRule="auto"/>
              <w:ind/>
              <w:rPr/>
            </w:pPr>
            <w:r>
              <w:rPr>
                <w:sz w:val="19"/>
                <w:szCs w:val="19"/>
                <w:rtl w:val="0"/>
              </w:rPr>
              <w:t xml:space="preserve">Time-Based One-Time Password. Código de un solo uso derivado de la hora actual, empleado en autenticación de dos factores.</w:t>
            </w:r>
            <w:r>
              <w:rPr>
                <w:rtl w:val="0"/>
              </w:rPr>
            </w:r>
            <w:r/>
          </w:p>
        </w:tc>
      </w:tr>
    </w:tbl>
    <w:p w14:paraId="00000068">
      <w:pPr>
        <w:pBdr/>
        <w:spacing/>
        <w:ind/>
        <w:rPr/>
      </w:pPr>
      <w:r>
        <w:br w:type="page" w:clear="all"/>
      </w:r>
      <w:r>
        <w:rPr>
          <w:rtl w:val="0"/>
        </w:rPr>
      </w:r>
      <w:r/>
    </w:p>
    <w:p w14:paraId="00000069">
      <w:pPr>
        <w:pStyle w:val="938"/>
        <w:pBdr/>
        <w:spacing w:after="180" w:before="320"/>
        <w:ind/>
        <w:rPr>
          <w:color w:val="000000" w:themeColor="text1"/>
        </w:rPr>
      </w:pPr>
      <w:r/>
      <w:bookmarkStart w:id="43" w:name="_Toc7"/>
      <w:r>
        <w:rPr>
          <w:color w:val="000000" w:themeColor="text1"/>
        </w:rPr>
      </w:r>
      <w:bookmarkStart w:id="8" w:name="_70sp8u7v6cig"/>
      <w:r>
        <w:rPr>
          <w:color w:val="000000" w:themeColor="text1"/>
        </w:rPr>
      </w:r>
      <w:bookmarkEnd w:id="8"/>
      <w:r>
        <w:rPr>
          <w:b/>
          <w:bCs/>
          <w:color w:val="000000" w:themeColor="text1"/>
          <w:sz w:val="30"/>
          <w:szCs w:val="30"/>
          <w:rtl w:val="0"/>
        </w:rPr>
        <w:t xml:space="preserve">2. Desarrollo</w:t>
      </w:r>
      <w:r/>
      <w:bookmarkEnd w:id="43"/>
      <w:r/>
      <w:r>
        <w:rPr>
          <w:color w:val="000000" w:themeColor="text1"/>
        </w:rPr>
      </w:r>
    </w:p>
    <w:p w14:paraId="0000006A">
      <w:pPr>
        <w:pStyle w:val="939"/>
        <w:pBdr/>
        <w:spacing w:after="140" w:before="260"/>
        <w:ind/>
        <w:rPr>
          <w:color w:val="000000" w:themeColor="text1"/>
        </w:rPr>
      </w:pPr>
      <w:r/>
      <w:bookmarkStart w:id="44" w:name="_Toc8"/>
      <w:r>
        <w:rPr>
          <w:color w:val="000000" w:themeColor="text1"/>
        </w:rPr>
      </w:r>
      <w:bookmarkStart w:id="9" w:name="_kfc7famfl9f3"/>
      <w:r>
        <w:rPr>
          <w:color w:val="000000" w:themeColor="text1"/>
        </w:rPr>
      </w:r>
      <w:bookmarkEnd w:id="9"/>
      <w:r>
        <w:rPr>
          <w:b/>
          <w:bCs/>
          <w:color w:val="000000" w:themeColor="text1"/>
          <w:sz w:val="25"/>
          <w:szCs w:val="25"/>
          <w:rtl w:val="0"/>
        </w:rPr>
        <w:t xml:space="preserve">2.1 Marco metodológico aplicado</w:t>
      </w:r>
      <w:r/>
      <w:bookmarkEnd w:id="44"/>
      <w:r/>
      <w:r>
        <w:rPr>
          <w:color w:val="000000" w:themeColor="text1"/>
        </w:rPr>
      </w:r>
    </w:p>
    <w:p w14:paraId="0000006B">
      <w:pPr>
        <w:pBdr/>
        <w:spacing w:after="140" w:line="300" w:lineRule="auto"/>
        <w:ind/>
        <w:jc w:val="both"/>
        <w:rPr/>
      </w:pPr>
      <w:r>
        <w:rPr>
          <w:sz w:val="22"/>
          <w:szCs w:val="22"/>
          <w:rtl w:val="0"/>
        </w:rPr>
        <w:t xml:space="preserve">El levantamiento se ejecutó siguiendo la secuencia de transformación descrita en el apartado 5.2.3 de ISO/IEC/IEEE 29148:2011, que distingue cuatro etapas sucesivas y advierte que las intenciones iniciales de las partes interesadas no son todavía requisitos, pues carecen de definición, análisis, consistencia y factibilidad demostrada.</w:t>
      </w:r>
      <w:r>
        <w:rPr>
          <w:rtl w:val="0"/>
        </w:rPr>
      </w:r>
      <w:r/>
    </w:p>
    <w:p w14:paraId="0000006C">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Necesidades, metas y objetivos: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expresiones informales y ambiguas recogidas del entorno («quiero conseguir mercadería más barata», «no quiero que se me pierda la cosecha»).</w:t>
      </w:r>
      <w:r>
        <w:rPr>
          <w:rtl w:val="0"/>
        </w:rPr>
      </w:r>
      <w:r/>
    </w:p>
    <w:p w14:paraId="0000006D">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Concepto de operaciones (OpsCon):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estructuración de esas intenciones en narrativas coherentes de operación del sistema futuro (sección 2.6).</w:t>
      </w:r>
      <w:r>
        <w:rPr>
          <w:rtl w:val="0"/>
        </w:rPr>
      </w:r>
      <w:r/>
    </w:p>
    <w:p w14:paraId="0000006E">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Requisitos de las partes interesadas: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objetivos de alto nivel formalizados y codificados como O-StRS-01, O-StRS-02 y O-StRS-03 (sección 2.3).</w:t>
      </w:r>
      <w:r>
        <w:rPr>
          <w:rtl w:val="0"/>
        </w:rPr>
      </w:r>
      <w:r/>
    </w:p>
    <w:p w14:paraId="0000006F">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bCs/>
          <w:i w:val="0"/>
          <w:iCs w:val="0"/>
          <w:smallCaps w:val="0"/>
          <w:strike w:val="0"/>
          <w:color w:val="000000"/>
          <w:sz w:val="22"/>
          <w:szCs w:val="22"/>
          <w:u w:val="none"/>
          <w:shd w:val="clear" w:color="auto" w:fill="auto"/>
          <w:vertAlign w:val="baseline"/>
          <w:rtl w:val="0"/>
        </w:rPr>
        <w:t xml:space="preserve">Requisitos del sistema: </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requisitos atómicos, medibles y verificables, asignados a módulos y trazados hacia su objetivo de origen (secciones 2.7 y 3).</w:t>
      </w:r>
      <w:r>
        <w:rPr>
          <w:rtl w:val="0"/>
        </w:rPr>
      </w:r>
      <w:r/>
    </w:p>
    <w:p w14:paraId="00000070">
      <w:pPr>
        <w:pBdr/>
        <w:spacing w:after="140" w:line="300" w:lineRule="auto"/>
        <w:ind/>
        <w:jc w:val="both"/>
        <w:rPr/>
      </w:pPr>
      <w:r>
        <w:rPr>
          <w:sz w:val="22"/>
          <w:szCs w:val="22"/>
          <w:rtl w:val="0"/>
        </w:rPr>
        <w:t xml:space="preserve">Este proceso no fue lineal. Conforme al apartado 5.3.1 de la norma, se aplicó de forma iterativa —reaplicando el mismo análisis en un mismo nivel para refinar la calidad de la información— y recursiva —descendiendo hacia niveles sucesivos de detalle, donde los resultados de cada nivel alimentan al siguiente.</w:t>
      </w:r>
      <w:r>
        <w:rPr>
          <w:rtl w:val="0"/>
        </w:rPr>
      </w:r>
      <w:r/>
    </w:p>
    <w:p w14:paraId="00000071">
      <w:pPr>
        <w:pStyle w:val="940"/>
        <w:pBdr/>
        <w:spacing w:after="110" w:before="200"/>
        <w:ind/>
        <w:rPr/>
      </w:pPr>
      <w:r/>
      <w:bookmarkStart w:id="45" w:name="_Toc9"/>
      <w:r/>
      <w:bookmarkStart w:id="10" w:name="_zhfhefgba7pw"/>
      <w:r/>
      <w:bookmarkEnd w:id="10"/>
      <w:r>
        <w:rPr>
          <w:b/>
          <w:bCs/>
          <w:color w:val="333333"/>
          <w:sz w:val="22"/>
          <w:szCs w:val="22"/>
          <w:rtl w:val="0"/>
        </w:rPr>
        <w:t xml:space="preserve">Criterios de calidad verificados sobre cada requisito</w:t>
      </w:r>
      <w:r/>
      <w:bookmarkEnd w:id="45"/>
      <w:r/>
    </w:p>
    <w:p w14:paraId="00000072">
      <w:pPr>
        <w:pBdr/>
        <w:spacing w:after="140" w:line="300" w:lineRule="auto"/>
        <w:ind/>
        <w:jc w:val="both"/>
        <w:rPr/>
      </w:pPr>
      <w:r>
        <w:rPr>
          <w:sz w:val="22"/>
          <w:szCs w:val="22"/>
          <w:rtl w:val="0"/>
        </w:rPr>
        <w:t xml:space="preserve">Antes de admitir un enunciado en el catálogo, el equipo verificó las nueve características individuales exigidas por el apartado 5.2.5 de la norma: necesario, libre de implementación, no ambiguo, consistente, completo, singular, factible, trazable y verificable. Los enunciados que imponían una solución técnica concreta fueron reescritos para expresar el qué y no el cómo; los que contenían conjunciones fueron divididos en requisitos independientes para satisfacer el criterio de singularidad.</w:t>
      </w:r>
      <w:r>
        <w:rPr>
          <w:rtl w:val="0"/>
        </w:rPr>
      </w:r>
      <w:r/>
    </w:p>
    <w:p w14:paraId="00000073">
      <w:pPr>
        <w:pBdr/>
        <w:spacing w:after="140" w:line="300" w:lineRule="auto"/>
        <w:ind/>
        <w:jc w:val="both"/>
        <w:rPr/>
      </w:pPr>
      <w:r>
        <w:rPr>
          <w:sz w:val="22"/>
          <w:szCs w:val="22"/>
          <w:rtl w:val="0"/>
        </w:rPr>
        <w:t xml:space="preserve">Sobre el conjunto completo se verificaron adicionalmente las cuatro propiedades colectivas del apartado 5.2.6: completo (sin marcas TBD pendientes de resolución), consistente (sin contradicciones ni duplicaciones, empleando el mismo término para el mismo concepto en todos los enunciados), asequible (satisfacible dentro de las restricciones de costo y calendario del MVP) y acotado (sin crecimiento del alcance más allá de lo necesario). Esta última verificación es la barrera activa del equipo contra el fenómeno de requirements creep.</w:t>
      </w:r>
      <w:r>
        <w:rPr>
          <w:rtl w:val="0"/>
        </w:rPr>
      </w:r>
      <w:r/>
    </w:p>
    <w:p w14:paraId="00000074">
      <w:pPr>
        <w:pStyle w:val="939"/>
        <w:pBdr/>
        <w:spacing w:after="140" w:before="260"/>
        <w:ind/>
        <w:rPr>
          <w:color w:val="000000" w:themeColor="text1"/>
        </w:rPr>
      </w:pPr>
      <w:r/>
      <w:bookmarkStart w:id="46" w:name="_Toc10"/>
      <w:r>
        <w:rPr>
          <w:color w:val="000000" w:themeColor="text1"/>
        </w:rPr>
      </w:r>
      <w:bookmarkStart w:id="11" w:name="_lauy56muu27h"/>
      <w:r>
        <w:rPr>
          <w:color w:val="000000" w:themeColor="text1"/>
        </w:rPr>
      </w:r>
      <w:bookmarkEnd w:id="11"/>
      <w:r>
        <w:rPr>
          <w:b/>
          <w:bCs/>
          <w:color w:val="000000" w:themeColor="text1"/>
          <w:sz w:val="25"/>
          <w:szCs w:val="25"/>
          <w:rtl w:val="0"/>
        </w:rPr>
        <w:t xml:space="preserve">2.2 Partes interesadas</w:t>
      </w:r>
      <w:r/>
      <w:bookmarkEnd w:id="46"/>
      <w:r/>
      <w:r>
        <w:rPr>
          <w:color w:val="000000" w:themeColor="text1"/>
        </w:rPr>
      </w:r>
    </w:p>
    <w:p w14:paraId="00000075">
      <w:pPr>
        <w:pBdr/>
        <w:spacing w:after="140" w:line="300" w:lineRule="auto"/>
        <w:ind/>
        <w:jc w:val="both"/>
        <w:rPr/>
      </w:pPr>
      <w:r>
        <w:rPr>
          <w:sz w:val="22"/>
          <w:szCs w:val="22"/>
          <w:rtl w:val="0"/>
        </w:rPr>
        <w:t xml:space="preserve">El SWEBOK recomienda iniciar siempre por el análisis de partes interesadas, advirtiendo que si una clase se omite, sus requisitos jamás aparecerán en el documento. Se adoptó la definición del INCOSE recogida en la guía: es parte interesada toda persona, grupo u organización que participa activamente en el proyecto, se ve afectada por su resultado o puede influir en él. La siguiente tabla presenta el conjunto identificado, con la clase SWEBOK correspondiente.</w:t>
      </w:r>
      <w:r>
        <w:rPr>
          <w:rtl w:val="0"/>
        </w:rPr>
      </w:r>
      <w:r/>
    </w:p>
    <w:tbl>
      <w:tblPr>
        <w:tblStyle w:val="947"/>
        <w:tblW w:w="9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33"/>
        <w:gridCol w:w="2545"/>
        <w:gridCol w:w="941"/>
        <w:gridCol w:w="1761"/>
        <w:gridCol w:w="2500"/>
        <w:tblGridChange w:id="1">
          <w:tblGrid>
            <w:gridCol w:w="1733"/>
            <w:gridCol w:w="2545"/>
            <w:gridCol w:w="941"/>
            <w:gridCol w:w="1761"/>
            <w:gridCol w:w="2500"/>
          </w:tblGrid>
        </w:tblGridChange>
      </w:tblGrid>
      <w:tr>
        <w:trPr>
          <w:cantSplit w:val="false"/>
          <w:tblHeader/>
        </w:trPr>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6">
            <w:pPr>
              <w:pBdr/>
              <w:spacing w:line="230" w:lineRule="auto"/>
              <w:ind/>
              <w:rPr/>
            </w:pPr>
            <w:r>
              <w:rPr>
                <w:b/>
                <w:bCs/>
                <w:color w:val="ffffff"/>
                <w:sz w:val="18"/>
                <w:szCs w:val="18"/>
                <w:rtl w:val="0"/>
              </w:rPr>
              <w:t xml:space="preserve">Parte interesada</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7">
            <w:pPr>
              <w:pBdr/>
              <w:spacing w:line="230" w:lineRule="auto"/>
              <w:ind/>
              <w:rPr/>
            </w:pPr>
            <w:r>
              <w:rPr>
                <w:b/>
                <w:bCs/>
                <w:color w:val="ffffff"/>
                <w:sz w:val="18"/>
                <w:szCs w:val="18"/>
                <w:rtl w:val="0"/>
              </w:rPr>
              <w:t xml:space="preserve">Rol en la plataforma</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8">
            <w:pPr>
              <w:pBdr/>
              <w:spacing w:line="230" w:lineRule="auto"/>
              <w:ind/>
              <w:jc w:val="center"/>
              <w:rPr/>
            </w:pPr>
            <w:r>
              <w:rPr>
                <w:b/>
                <w:bCs/>
                <w:color w:val="ffffff"/>
                <w:sz w:val="18"/>
                <w:szCs w:val="18"/>
                <w:rtl w:val="0"/>
              </w:rPr>
              <w:t xml:space="preserve">Influencia</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9">
            <w:pPr>
              <w:pBdr/>
              <w:spacing w:line="230" w:lineRule="auto"/>
              <w:ind/>
              <w:rPr/>
            </w:pPr>
            <w:r>
              <w:rPr>
                <w:b/>
                <w:bCs/>
                <w:color w:val="ffffff"/>
                <w:sz w:val="18"/>
                <w:szCs w:val="18"/>
                <w:rtl w:val="0"/>
              </w:rPr>
              <w:t xml:space="preserve">Clase SWEBOK</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A">
            <w:pPr>
              <w:pBdr/>
              <w:spacing w:line="230" w:lineRule="auto"/>
              <w:ind/>
              <w:rPr/>
            </w:pPr>
            <w:r>
              <w:rPr>
                <w:b/>
                <w:bCs/>
                <w:color w:val="ffffff"/>
                <w:sz w:val="18"/>
                <w:szCs w:val="18"/>
                <w:rtl w:val="0"/>
              </w:rPr>
              <w:t xml:space="preserve">Expectativa de valor</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B">
            <w:pPr>
              <w:pBdr/>
              <w:spacing w:line="230" w:lineRule="auto"/>
              <w:ind/>
              <w:rPr/>
            </w:pPr>
            <w:r>
              <w:rPr>
                <w:b/>
                <w:bCs/>
                <w:sz w:val="18"/>
                <w:szCs w:val="18"/>
                <w:rtl w:val="0"/>
              </w:rPr>
              <w:t xml:space="preserve">Compradores minoristas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C">
            <w:pPr>
              <w:pBdr/>
              <w:spacing w:line="230" w:lineRule="auto"/>
              <w:ind/>
              <w:rPr/>
            </w:pPr>
            <w:r>
              <w:rPr>
                <w:sz w:val="18"/>
                <w:szCs w:val="18"/>
                <w:rtl w:val="0"/>
              </w:rPr>
              <w:t xml:space="preserve">Farmacias, ferreterías y pulperías que publican bloques de demanda y aceptan cotizaciones.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D">
            <w:pPr>
              <w:pBdr/>
              <w:spacing w:line="230" w:lineRule="auto"/>
              <w:ind/>
              <w:jc w:val="center"/>
              <w:rPr/>
            </w:pPr>
            <w:r>
              <w:rPr>
                <w:sz w:val="18"/>
                <w:szCs w:val="18"/>
                <w:rtl w:val="0"/>
              </w:rPr>
              <w:t xml:space="preserve">Alta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E">
            <w:pPr>
              <w:pBdr/>
              <w:spacing w:line="230" w:lineRule="auto"/>
              <w:ind/>
              <w:rPr/>
            </w:pPr>
            <w:r>
              <w:rPr>
                <w:sz w:val="18"/>
                <w:szCs w:val="18"/>
                <w:rtl w:val="0"/>
              </w:rPr>
              <w:t xml:space="preserve">Usuarios (SWEBOK cl. 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7F">
            <w:pPr>
              <w:pBdr/>
              <w:spacing w:line="230" w:lineRule="auto"/>
              <w:ind/>
              <w:rPr/>
            </w:pPr>
            <w:r>
              <w:rPr>
                <w:sz w:val="18"/>
                <w:szCs w:val="18"/>
                <w:rtl w:val="0"/>
              </w:rPr>
              <w:t xml:space="preserve">Acceder a precios competitivos y romper el aislamiento geográfico frente a Managua.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0">
            <w:pPr>
              <w:pBdr/>
              <w:spacing w:line="230" w:lineRule="auto"/>
              <w:ind/>
              <w:rPr/>
            </w:pPr>
            <w:r>
              <w:rPr>
                <w:b/>
                <w:bCs/>
                <w:sz w:val="18"/>
                <w:szCs w:val="18"/>
                <w:rtl w:val="0"/>
              </w:rPr>
              <w:t xml:space="preserve">Proveedores mayoristas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1">
            <w:pPr>
              <w:pBdr/>
              <w:spacing w:line="230" w:lineRule="auto"/>
              <w:ind/>
              <w:rPr/>
            </w:pPr>
            <w:r>
              <w:rPr>
                <w:sz w:val="18"/>
                <w:szCs w:val="18"/>
                <w:rtl w:val="0"/>
              </w:rPr>
              <w:t xml:space="preserve">Distribuidores e importadores que exploran demandas consolidadas y emiten cotizaciones.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2">
            <w:pPr>
              <w:pBdr/>
              <w:spacing w:line="230" w:lineRule="auto"/>
              <w:ind/>
              <w:jc w:val="center"/>
              <w:rPr/>
            </w:pPr>
            <w:r>
              <w:rPr>
                <w:sz w:val="18"/>
                <w:szCs w:val="18"/>
                <w:rtl w:val="0"/>
              </w:rPr>
              <w:t xml:space="preserve">Alta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3">
            <w:pPr>
              <w:pBdr/>
              <w:spacing w:line="230" w:lineRule="auto"/>
              <w:ind/>
              <w:rPr/>
            </w:pPr>
            <w:r>
              <w:rPr>
                <w:sz w:val="18"/>
                <w:szCs w:val="18"/>
                <w:rtl w:val="0"/>
              </w:rPr>
              <w:t xml:space="preserve">Usuarios / Clientes (cl. 1 y 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4">
            <w:pPr>
              <w:pBdr/>
              <w:spacing w:line="230" w:lineRule="auto"/>
              <w:ind/>
              <w:rPr/>
            </w:pPr>
            <w:r>
              <w:rPr>
                <w:sz w:val="18"/>
                <w:szCs w:val="18"/>
                <w:rtl w:val="0"/>
              </w:rPr>
              <w:t xml:space="preserve">Alcanzar una cartera de compradores con intención de compra ya declarada.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5">
            <w:pPr>
              <w:pBdr/>
              <w:spacing w:line="230" w:lineRule="auto"/>
              <w:ind/>
              <w:rPr/>
            </w:pPr>
            <w:r>
              <w:rPr>
                <w:b/>
                <w:bCs/>
                <w:sz w:val="18"/>
                <w:szCs w:val="18"/>
                <w:rtl w:val="0"/>
              </w:rPr>
              <w:t xml:space="preserve">Productores agrícolas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6">
            <w:pPr>
              <w:pBdr/>
              <w:spacing w:line="230" w:lineRule="auto"/>
              <w:ind/>
              <w:rPr/>
            </w:pPr>
            <w:r>
              <w:rPr>
                <w:sz w:val="18"/>
                <w:szCs w:val="18"/>
                <w:rtl w:val="0"/>
              </w:rPr>
              <w:t xml:space="preserve">Finqueros que publican excedentes de granos básicos o responden a demandas del rubro.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7">
            <w:pPr>
              <w:pBdr/>
              <w:spacing w:line="230" w:lineRule="auto"/>
              <w:ind/>
              <w:jc w:val="center"/>
              <w:rPr/>
            </w:pPr>
            <w:r>
              <w:rPr>
                <w:sz w:val="18"/>
                <w:szCs w:val="18"/>
                <w:rtl w:val="0"/>
              </w:rPr>
              <w:t xml:space="preserve">Media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8">
            <w:pPr>
              <w:pBdr/>
              <w:spacing w:line="230" w:lineRule="auto"/>
              <w:ind/>
              <w:rPr/>
            </w:pPr>
            <w:r>
              <w:rPr>
                <w:sz w:val="18"/>
                <w:szCs w:val="18"/>
                <w:rtl w:val="0"/>
              </w:rPr>
              <w:t xml:space="preserve">Usuarios (cl. 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9">
            <w:pPr>
              <w:pBdr/>
              <w:spacing w:line="230" w:lineRule="auto"/>
              <w:ind/>
              <w:rPr/>
            </w:pPr>
            <w:r>
              <w:rPr>
                <w:sz w:val="18"/>
                <w:szCs w:val="18"/>
                <w:rtl w:val="0"/>
              </w:rPr>
              <w:t xml:space="preserve">Colocar excedentes con rapidez y evitar la pérdida por merma o intermediación abusiva.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A">
            <w:pPr>
              <w:pBdr/>
              <w:spacing w:line="230" w:lineRule="auto"/>
              <w:ind/>
              <w:rPr/>
            </w:pPr>
            <w:r>
              <w:rPr>
                <w:b/>
                <w:bCs/>
                <w:sz w:val="18"/>
                <w:szCs w:val="18"/>
                <w:rtl w:val="0"/>
              </w:rPr>
              <w:t xml:space="preserve">Administrador de la plataforma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B">
            <w:pPr>
              <w:pBdr/>
              <w:spacing w:line="230" w:lineRule="auto"/>
              <w:ind/>
              <w:rPr/>
            </w:pPr>
            <w:r>
              <w:rPr>
                <w:sz w:val="18"/>
                <w:szCs w:val="18"/>
                <w:rtl w:val="0"/>
              </w:rPr>
              <w:t xml:space="preserve">Valida cuentas mediante RUC, modera contenido, resuelve disputas y opera el soporte.</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C">
            <w:pPr>
              <w:pBdr/>
              <w:spacing w:line="230" w:lineRule="auto"/>
              <w:ind/>
              <w:jc w:val="center"/>
              <w:rPr/>
            </w:pPr>
            <w:r>
              <w:rPr>
                <w:sz w:val="18"/>
                <w:szCs w:val="18"/>
                <w:rtl w:val="0"/>
              </w:rPr>
              <w:t xml:space="preserve">Media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D">
            <w:pPr>
              <w:pBdr/>
              <w:spacing w:line="230" w:lineRule="auto"/>
              <w:ind/>
              <w:rPr/>
            </w:pPr>
            <w:r>
              <w:rPr>
                <w:sz w:val="18"/>
                <w:szCs w:val="18"/>
                <w:rtl w:val="0"/>
              </w:rPr>
              <w:t xml:space="preserve">Personal de operaciones (cl. 5)</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E">
            <w:pPr>
              <w:pBdr/>
              <w:spacing w:line="230" w:lineRule="auto"/>
              <w:ind/>
              <w:rPr/>
            </w:pPr>
            <w:r>
              <w:rPr>
                <w:sz w:val="18"/>
                <w:szCs w:val="18"/>
                <w:rtl w:val="0"/>
              </w:rPr>
              <w:t xml:space="preserve">Gobernabilidad del mercado, inmutabilidad de la auditoría y estabilidad operativa.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8F">
            <w:pPr>
              <w:pBdr/>
              <w:spacing w:line="230" w:lineRule="auto"/>
              <w:ind/>
              <w:rPr/>
            </w:pPr>
            <w:r>
              <w:rPr>
                <w:b/>
                <w:bCs/>
                <w:sz w:val="18"/>
                <w:szCs w:val="18"/>
                <w:rtl w:val="0"/>
              </w:rPr>
              <w:t xml:space="preserve">Equipo de desarrollo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0">
            <w:pPr>
              <w:pBdr/>
              <w:spacing w:line="230" w:lineRule="auto"/>
              <w:ind/>
              <w:rPr/>
            </w:pPr>
            <w:r>
              <w:rPr>
                <w:sz w:val="18"/>
                <w:szCs w:val="18"/>
                <w:rtl w:val="0"/>
              </w:rPr>
              <w:t xml:space="preserve">Estudiantes responsables del análisis, la especificación y la construcción del sistema.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1">
            <w:pPr>
              <w:pBdr/>
              <w:spacing w:line="230" w:lineRule="auto"/>
              <w:ind/>
              <w:jc w:val="center"/>
              <w:rPr/>
            </w:pPr>
            <w:r>
              <w:rPr>
                <w:sz w:val="18"/>
                <w:szCs w:val="18"/>
                <w:rtl w:val="0"/>
              </w:rPr>
              <w:t xml:space="preserve">Media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2">
            <w:pPr>
              <w:pBdr/>
              <w:spacing w:line="230" w:lineRule="auto"/>
              <w:ind/>
              <w:rPr/>
            </w:pPr>
            <w:r>
              <w:rPr>
                <w:sz w:val="18"/>
                <w:szCs w:val="18"/>
                <w:rtl w:val="0"/>
              </w:rPr>
              <w:t xml:space="preserve">Desarrolladores (cl. 11)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3">
            <w:pPr>
              <w:pBdr/>
              <w:spacing w:line="230" w:lineRule="auto"/>
              <w:ind/>
              <w:rPr/>
            </w:pPr>
            <w:r>
              <w:rPr>
                <w:sz w:val="18"/>
                <w:szCs w:val="18"/>
                <w:rtl w:val="0"/>
              </w:rPr>
              <w:t xml:space="preserve">Requisitos verificables, estables y trazables que permitan estimar y construir sin retrabajo.</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4">
            <w:pPr>
              <w:pBdr/>
              <w:spacing w:line="230" w:lineRule="auto"/>
              <w:ind/>
              <w:rPr/>
            </w:pPr>
            <w:r>
              <w:rPr>
                <w:b/>
                <w:bCs/>
                <w:sz w:val="18"/>
                <w:szCs w:val="18"/>
                <w:rtl w:val="0"/>
              </w:rPr>
              <w:t xml:space="preserve">Autoridad reguladora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5">
            <w:pPr>
              <w:pBdr/>
              <w:spacing w:line="230" w:lineRule="auto"/>
              <w:ind/>
              <w:rPr/>
            </w:pPr>
            <w:r>
              <w:rPr>
                <w:sz w:val="18"/>
                <w:szCs w:val="18"/>
                <w:rtl w:val="0"/>
              </w:rPr>
              <w:t xml:space="preserve">Entidad competente en materia de protección de datos personales conforme a la Ley No. 787.</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6">
            <w:pPr>
              <w:pBdr/>
              <w:spacing w:line="230" w:lineRule="auto"/>
              <w:ind/>
              <w:jc w:val="center"/>
              <w:rPr/>
            </w:pPr>
            <w:r>
              <w:rPr>
                <w:sz w:val="18"/>
                <w:szCs w:val="18"/>
                <w:rtl w:val="0"/>
              </w:rPr>
              <w:t xml:space="preserve">Baja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7">
            <w:pPr>
              <w:pBdr/>
              <w:spacing w:line="230" w:lineRule="auto"/>
              <w:ind/>
              <w:rPr/>
            </w:pPr>
            <w:r>
              <w:rPr>
                <w:sz w:val="18"/>
                <w:szCs w:val="18"/>
                <w:rtl w:val="0"/>
              </w:rPr>
              <w:t xml:space="preserve">Agencias regulatorias (cl. 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98">
            <w:pPr>
              <w:pBdr/>
              <w:spacing w:line="230" w:lineRule="auto"/>
              <w:ind/>
              <w:rPr/>
            </w:pPr>
            <w:r>
              <w:rPr>
                <w:sz w:val="18"/>
                <w:szCs w:val="18"/>
                <w:rtl w:val="0"/>
              </w:rPr>
              <w:t xml:space="preserve">Cumplimiento del consentimiento informado y del tratamiento lícito de datos personales.</w:t>
            </w:r>
            <w:r>
              <w:rPr>
                <w:rtl w:val="0"/>
              </w:rPr>
            </w:r>
            <w:r/>
          </w:p>
        </w:tc>
      </w:tr>
    </w:tbl>
    <w:p w14:paraId="00000099">
      <w:pPr>
        <w:pBdr/>
        <w:spacing w:after="200" w:line="300" w:lineRule="auto"/>
        <w:ind/>
        <w:jc w:val="both"/>
        <w:rPr/>
      </w:pPr>
      <w:r>
        <w:rPr>
          <w:sz w:val="22"/>
          <w:szCs w:val="22"/>
          <w:rtl w:val="0"/>
        </w:rPr>
        <w:t xml:space="preserve">Se reconoce una limitación deliberada: la clase «afectados negativamente», que el SWEBOK señala como la más frecuentemente olvidada, corresponde en este dominio a los intermediarios físicos cuyo margen la plataforma busca eliminar. No fueron consultados —el conflicto de intereses es directo— pero se documenta su existencia porque su reacción es un factor de riesgo real para la adopción del sistema.</w:t>
      </w:r>
      <w:r>
        <w:rPr>
          <w:rtl w:val="0"/>
        </w:rPr>
      </w:r>
      <w:r/>
    </w:p>
    <w:p w14:paraId="0000009A">
      <w:pPr>
        <w:pStyle w:val="939"/>
        <w:pBdr/>
        <w:spacing w:after="140" w:before="260"/>
        <w:ind/>
        <w:rPr>
          <w:color w:val="000000" w:themeColor="text1"/>
        </w:rPr>
      </w:pPr>
      <w:r/>
      <w:bookmarkStart w:id="47" w:name="_Toc11"/>
      <w:r>
        <w:rPr>
          <w:color w:val="000000" w:themeColor="text1"/>
        </w:rPr>
      </w:r>
      <w:bookmarkStart w:id="12" w:name="_qcjvq2vrdgb6"/>
      <w:r>
        <w:rPr>
          <w:color w:val="000000" w:themeColor="text1"/>
        </w:rPr>
      </w:r>
      <w:bookmarkEnd w:id="12"/>
      <w:r>
        <w:rPr>
          <w:b/>
          <w:bCs/>
          <w:color w:val="000000" w:themeColor="text1"/>
          <w:sz w:val="25"/>
          <w:szCs w:val="25"/>
          <w:rtl w:val="0"/>
        </w:rPr>
        <w:t xml:space="preserve">2.3 Objetivos de alto nivel de las partes interesadas (StRS)</w:t>
      </w:r>
      <w:r/>
      <w:bookmarkEnd w:id="47"/>
      <w:r/>
      <w:r>
        <w:rPr>
          <w:color w:val="000000" w:themeColor="text1"/>
        </w:rPr>
      </w:r>
    </w:p>
    <w:p w14:paraId="0000009B">
      <w:pPr>
        <w:pBdr/>
        <w:spacing w:after="140" w:line="300" w:lineRule="auto"/>
        <w:ind/>
        <w:jc w:val="both"/>
        <w:rPr/>
      </w:pPr>
      <w:r>
        <w:rPr>
          <w:sz w:val="22"/>
          <w:szCs w:val="22"/>
          <w:rtl w:val="0"/>
        </w:rPr>
        <w:t xml:space="preserve">Los siguientes tres objetivos constituyen el nivel StRS de la jerarquía de requisitos. Todo requisito del sistema listado en la sección 3 traza obligatoriamente hacia al menos uno de ellos; un requisito que no pudiera trazarse sería, por definición de la norma, innecesario.</w:t>
      </w:r>
      <w:r>
        <w:rPr>
          <w:rtl w:val="0"/>
        </w:rPr>
      </w:r>
      <w:r/>
    </w:p>
    <w:p w14:paraId="0000009C">
      <w:pPr>
        <w:pBdr/>
        <w:spacing w:after="140" w:line="300" w:lineRule="auto"/>
        <w:ind/>
        <w:jc w:val="both"/>
        <w:rPr/>
      </w:pPr>
      <w:r>
        <w:rPr>
          <w:b/>
          <w:bCs/>
          <w:sz w:val="22"/>
          <w:szCs w:val="22"/>
          <w:rtl w:val="0"/>
        </w:rPr>
        <w:t xml:space="preserve">O-StRS-01 — Prevenir pérdidas del productor: </w:t>
      </w:r>
      <w:r>
        <w:rPr>
          <w:sz w:val="22"/>
          <w:szCs w:val="22"/>
          <w:rtl w:val="0"/>
        </w:rPr>
        <w:t xml:space="preserve">el sistema deberá permitir que los productores registrados publiquen de forma ágil sus excedentes e inventarios agropecuarios estancados, habilitando canales comerciales alternativos frente a reducciones imprevistas de compra en los mercados tradicionales.</w:t>
      </w:r>
      <w:r>
        <w:rPr>
          <w:rtl w:val="0"/>
        </w:rPr>
      </w:r>
      <w:r/>
    </w:p>
    <w:p w14:paraId="0000009D">
      <w:pPr>
        <w:pBdr/>
        <w:spacing w:after="140" w:line="300" w:lineRule="auto"/>
        <w:ind/>
        <w:jc w:val="both"/>
        <w:rPr/>
      </w:pPr>
      <w:r>
        <w:rPr>
          <w:b/>
          <w:bCs/>
          <w:sz w:val="22"/>
          <w:szCs w:val="22"/>
          <w:rtl w:val="0"/>
        </w:rPr>
        <w:t xml:space="preserve">O-StRS-02 — Consolidar el poder de compra minorista: </w:t>
      </w:r>
      <w:r>
        <w:rPr>
          <w:sz w:val="22"/>
          <w:szCs w:val="22"/>
          <w:rtl w:val="0"/>
        </w:rPr>
        <w:t xml:space="preserve">la plataforma deberá unificar a los minoristas departamentales permitiéndoles actuar de manera consolidada en bloques de demanda regional, para acceder a las economías de escala de los grandes proveedores de Managua.</w:t>
      </w:r>
      <w:r>
        <w:rPr>
          <w:rtl w:val="0"/>
        </w:rPr>
      </w:r>
      <w:r/>
    </w:p>
    <w:p w14:paraId="0000009E">
      <w:pPr>
        <w:pBdr/>
        <w:spacing w:after="140" w:line="300" w:lineRule="auto"/>
        <w:ind/>
        <w:jc w:val="both"/>
        <w:rPr>
          <w:sz w:val="22"/>
          <w:szCs w:val="22"/>
          <w14:ligatures w14:val="none"/>
        </w:rPr>
      </w:pPr>
      <w:r>
        <w:rPr>
          <w:b/>
          <w:bCs/>
          <w:sz w:val="22"/>
          <w:szCs w:val="22"/>
          <w:rtl w:val="0"/>
        </w:rPr>
        <w:t xml:space="preserve">O-StRS-03 — Eliminar la intermediación parasitaria: </w:t>
      </w:r>
      <w:r>
        <w:rPr>
          <w:sz w:val="22"/>
          <w:szCs w:val="22"/>
          <w:rtl w:val="0"/>
        </w:rPr>
        <w:t xml:space="preserve">la plataforma deberá facilitar la conexión y la negociación directa de acuerdos comerciales entre productores, pulperías y mayoristas, sin cargos transaccionales de intermediarios físicos.</w:t>
      </w:r>
      <w:r>
        <w:rPr>
          <w:sz w:val="22"/>
          <w:szCs w:val="22"/>
          <w14:ligatures w14:val="none"/>
        </w:rPr>
      </w:r>
    </w:p>
    <w:p w14:paraId="0000009F">
      <w:pPr>
        <w:pBdr/>
        <w:spacing w:after="140" w:line="300" w:lineRule="auto"/>
        <w:ind/>
        <w:jc w:val="both"/>
        <w:rPr/>
      </w:pPr>
      <w:r>
        <w:rPr>
          <w:sz w:val="22"/>
          <w:szCs w:val="22"/>
        </w:rPr>
        <w:t xml:space="preserve">Un mismo requisito puede trazar hacia más de un objetivo cuando sirve simultáneamente a varios; en tales casos la matriz de la sección 3 los registra ambos, separados por una barra. La condición que la norma impone no es la exclusividad del vínculo, sino su existencia: un requisito sin objetivo de origen sería, por definición, innecesario.</w:t>
      </w:r>
      <w:r>
        <w:br w:type="page" w:clear="all"/>
      </w:r>
      <w:r>
        <w:rPr>
          <w:rtl w:val="0"/>
        </w:rPr>
      </w:r>
      <w:r/>
    </w:p>
    <w:p w14:paraId="000000A0">
      <w:pPr>
        <w:pStyle w:val="939"/>
        <w:pBdr/>
        <w:spacing w:after="140" w:before="260"/>
        <w:ind/>
        <w:rPr>
          <w:color w:val="000000" w:themeColor="text1"/>
        </w:rPr>
      </w:pPr>
      <w:r/>
      <w:bookmarkStart w:id="48" w:name="_Toc12"/>
      <w:r>
        <w:rPr>
          <w:color w:val="000000" w:themeColor="text1"/>
        </w:rPr>
      </w:r>
      <w:bookmarkStart w:id="13" w:name="_a507fhk9cvjy"/>
      <w:r>
        <w:rPr>
          <w:color w:val="000000" w:themeColor="text1"/>
        </w:rPr>
      </w:r>
      <w:bookmarkEnd w:id="13"/>
      <w:r>
        <w:rPr>
          <w:b/>
          <w:bCs/>
          <w:color w:val="000000" w:themeColor="text1"/>
          <w:sz w:val="25"/>
          <w:szCs w:val="25"/>
          <w:rtl w:val="0"/>
        </w:rPr>
        <w:t xml:space="preserve">2.4 Técnicas de elicitación aplicadas y su justificación</w:t>
      </w:r>
      <w:r/>
      <w:bookmarkEnd w:id="48"/>
      <w:r/>
      <w:r>
        <w:rPr>
          <w:color w:val="000000" w:themeColor="text1"/>
        </w:rPr>
      </w:r>
    </w:p>
    <w:p w14:paraId="000000A1">
      <w:pPr>
        <w:pBdr/>
        <w:spacing w:after="140" w:line="300" w:lineRule="auto"/>
        <w:ind/>
        <w:jc w:val="both"/>
        <w:rPr/>
      </w:pPr>
      <w:r>
        <w:rPr>
          <w:sz w:val="22"/>
          <w:szCs w:val="22"/>
          <w:rtl w:val="0"/>
        </w:rPr>
        <w:t xml:space="preserve">Esta sección responde de manera explícita al requisito de la asignación: declarar qué técnicas de elicitación se aplicaron y por qué. La clasificación empleada corresponde a las cinco familias funcionales definidas en el Capítulo 01, Tema 2.2 del SWEBOK v4.0a.</w:t>
      </w:r>
      <w:r>
        <w:rPr>
          <w:rtl w:val="0"/>
        </w:rPr>
      </w:r>
      <w:r/>
    </w:p>
    <w:p w14:paraId="000000A2">
      <w:pPr>
        <w:pBdr/>
        <w:spacing w:after="140" w:line="300" w:lineRule="auto"/>
        <w:ind/>
        <w:jc w:val="both"/>
        <w:rPr/>
      </w:pPr>
      <w:r>
        <w:rPr>
          <w:sz w:val="22"/>
          <w:szCs w:val="22"/>
          <w:rtl w:val="0"/>
        </w:rPr>
        <w:t xml:space="preserve">La primera regla de oro del SWEBOK establece que nunca debe emplearse una sola técnica, y recomienda combinar entre tres y cuatro técnicas complementarias para reducir el riesgo de ceguera metodológica. El equipo aplicó siete, distribuidas entre fuentes humanas y no humanas, precisamente porque la naturaleza simulada del caso de estudio restringía el acceso a algunas de ellas y obligaba a compensar mediante triangulación.</w:t>
      </w:r>
      <w:r>
        <w:rPr>
          <w:rtl w:val="0"/>
        </w:rPr>
      </w:r>
      <w:r/>
    </w:p>
    <w:p w14:paraId="000000A3">
      <w:pPr>
        <w:pStyle w:val="940"/>
        <w:pBdr/>
        <w:spacing w:after="110" w:before="200"/>
        <w:ind/>
        <w:rPr/>
      </w:pPr>
      <w:r/>
      <w:bookmarkStart w:id="49" w:name="_Toc13"/>
      <w:r/>
      <w:bookmarkStart w:id="14" w:name="_mni1ru74q7sr"/>
      <w:r/>
      <w:bookmarkEnd w:id="14"/>
      <w:r>
        <w:rPr>
          <w:b/>
          <w:bCs/>
          <w:color w:val="333333"/>
          <w:sz w:val="22"/>
          <w:szCs w:val="22"/>
          <w:rtl w:val="0"/>
        </w:rPr>
        <w:t xml:space="preserve">Restricción metodológica declarada</w:t>
      </w:r>
      <w:r/>
      <w:bookmarkEnd w:id="49"/>
      <w:r/>
    </w:p>
    <w:p w14:paraId="000000A4">
      <w:pPr>
        <w:pBdr/>
        <w:spacing w:after="140" w:line="300" w:lineRule="auto"/>
        <w:ind/>
        <w:jc w:val="both"/>
        <w:rPr/>
      </w:pPr>
      <w:r>
        <w:rPr>
          <w:sz w:val="22"/>
          <w:szCs w:val="22"/>
          <w:rtl w:val="0"/>
        </w:rPr>
        <w:t xml:space="preserve">Al tratarse de una propuesta de proyecto y no de una consultoría sobre una empresa cliente, el equipo no tuvo acceso a las técnicas colaborativas facilitadas de la Familia B —JAD y JRP requieren un patrocinador organizacional, usuarios liberados de sus funciones durante tres a cinco días y un facilitador certificado—, ni a los cuestionarios masivos de la Familia C, que exigen una muestra representativa de cientos de usuarios y una organización que respalde su distribución. Tampoco se aplicó aprendizaje por la práctica ni análisis de protocolo, por el costo y la duración que la propia guía les atribuye. Declarar esta restricción es preferible a simular una rigurosidad inexistente: la trazabilidad de un requisito exige conocer su origen verdadero.</w:t>
      </w:r>
      <w:r>
        <w:rPr>
          <w:rtl w:val="0"/>
        </w:rPr>
      </w:r>
      <w:r/>
    </w:p>
    <w:p w14:paraId="000000A5">
      <w:pPr>
        <w:pBdr/>
        <w:spacing w:after="140" w:line="300" w:lineRule="auto"/>
        <w:ind/>
        <w:jc w:val="both"/>
        <w:rPr/>
      </w:pPr>
      <w:r>
        <w:rPr>
          <w:sz w:val="22"/>
          <w:szCs w:val="22"/>
          <w:rtl w:val="0"/>
        </w:rPr>
        <w:t xml:space="preserve">En compensación, se privilegiaron las técnicas contextuales de la Familia D, que según el SWEBOK son irremplazables y que ninguna entrevista iguala para acceder al conocimiento tácito, junto con fuentes no humanas de alta densidad informativa.</w:t>
      </w:r>
      <w:r>
        <w:rPr>
          <w:rtl w:val="0"/>
        </w:rPr>
      </w:r>
      <w:r/>
    </w:p>
    <w:p w14:paraId="000000A6">
      <w:pPr>
        <w:pStyle w:val="940"/>
        <w:pBdr/>
        <w:spacing w:after="110" w:before="200"/>
        <w:ind/>
        <w:rPr/>
      </w:pPr>
      <w:r/>
      <w:bookmarkStart w:id="50" w:name="_Toc14"/>
      <w:r/>
      <w:bookmarkStart w:id="15" w:name="_8gdn5s8lkkfz"/>
      <w:r/>
      <w:bookmarkEnd w:id="15"/>
      <w:r>
        <w:rPr>
          <w:b/>
          <w:bCs/>
          <w:color w:val="333333"/>
          <w:sz w:val="22"/>
          <w:szCs w:val="22"/>
          <w:rtl w:val="0"/>
        </w:rPr>
        <w:t xml:space="preserve">2.4.1 Observación / Análisis contextual  —  Familia D — Contextuales</w:t>
      </w:r>
      <w:r/>
      <w:bookmarkEnd w:id="50"/>
      <w:r/>
    </w:p>
    <w:p w14:paraId="000000A7">
      <w:pPr>
        <w:pBdr/>
        <w:spacing w:after="100" w:line="300" w:lineRule="auto"/>
        <w:ind/>
        <w:jc w:val="both"/>
        <w:rPr/>
      </w:pPr>
      <w:r>
        <w:rPr>
          <w:b/>
          <w:bCs/>
          <w:sz w:val="22"/>
          <w:szCs w:val="22"/>
          <w:rtl w:val="0"/>
        </w:rPr>
        <w:t xml:space="preserve">Aplicación en el proyecto: </w:t>
      </w:r>
      <w:r>
        <w:rPr>
          <w:sz w:val="22"/>
          <w:szCs w:val="22"/>
          <w:rtl w:val="0"/>
        </w:rPr>
        <w:t xml:space="preserve">El equipo visitó y observó, sin intervenir, la operación diaria de reabastecimiento en pulperías, farmacias y ferreterías de Chinandega y El Viejo: cómo anotan pedidos en libretas, cómo llaman al preventista, cómo improvisan cuando falla la ruta de entrega.</w:t>
      </w:r>
      <w:r>
        <w:rPr>
          <w:rtl w:val="0"/>
        </w:rPr>
      </w:r>
      <w:r/>
    </w:p>
    <w:p w14:paraId="000000A8">
      <w:pPr>
        <w:pBdr/>
        <w:spacing w:after="200" w:line="300" w:lineRule="auto"/>
        <w:ind/>
        <w:jc w:val="both"/>
        <w:rPr/>
      </w:pPr>
      <w:r>
        <w:rPr>
          <w:b/>
          <w:bCs/>
          <w:sz w:val="22"/>
          <w:szCs w:val="22"/>
          <w:rtl w:val="0"/>
        </w:rPr>
        <w:t xml:space="preserve">Justificación de la elección: </w:t>
      </w:r>
      <w:r>
        <w:rPr>
          <w:sz w:val="22"/>
          <w:szCs w:val="22"/>
          <w:rtl w:val="0"/>
        </w:rPr>
        <w:t xml:space="preserve">El SWEBOK señala esta técnica como la respuesta directa al problema del conocimiento tácito: descubre requisitos que jamás emergerían en una entrevista porque el usuario ejecuta la tarea de forma automática y no la verbaliza («siempre lo hemos hecho así, ni lo mencionamos»). Dado que el proyecto es una propuesta simulada y no disponíamos de un cliente contratante que pudiera dictar requisitos, la observación del entorno real fue la fuente primaria y más fiable de información. De ella se derivan directamente requisitos como SYS-FN-09, SYS-FN-10, SYS-FN-24 y SYS-NFN-08.</w:t>
      </w:r>
      <w:r>
        <w:rPr>
          <w:rtl w:val="0"/>
        </w:rPr>
      </w:r>
      <w:r/>
    </w:p>
    <w:p w14:paraId="000000A9">
      <w:pPr>
        <w:pStyle w:val="940"/>
        <w:pBdr/>
        <w:spacing w:after="110" w:before="200"/>
        <w:ind/>
        <w:rPr/>
      </w:pPr>
      <w:r/>
      <w:bookmarkStart w:id="51" w:name="_Toc15"/>
      <w:r/>
      <w:bookmarkStart w:id="16" w:name="_gcgn2oabombs"/>
      <w:r/>
      <w:bookmarkEnd w:id="16"/>
      <w:r>
        <w:rPr>
          <w:b/>
          <w:bCs/>
          <w:color w:val="333333"/>
          <w:sz w:val="22"/>
          <w:szCs w:val="22"/>
          <w:rtl w:val="0"/>
        </w:rPr>
        <w:t xml:space="preserve">2.4.2 Entrevista semiestructurada  —  Familia A — Directas</w:t>
      </w:r>
      <w:r/>
      <w:bookmarkEnd w:id="51"/>
      <w:r/>
    </w:p>
    <w:p w14:paraId="000000AA">
      <w:pPr>
        <w:pBdr/>
        <w:spacing w:after="100" w:line="300" w:lineRule="auto"/>
        <w:ind/>
        <w:jc w:val="both"/>
        <w:rPr/>
      </w:pPr>
      <w:r>
        <w:rPr>
          <w:b/>
          <w:bCs/>
          <w:sz w:val="22"/>
          <w:szCs w:val="22"/>
          <w:rtl w:val="0"/>
        </w:rPr>
        <w:t xml:space="preserve">Aplicación en el proyecto: </w:t>
      </w:r>
      <w:r>
        <w:rPr>
          <w:sz w:val="22"/>
          <w:szCs w:val="22"/>
          <w:rtl w:val="0"/>
        </w:rPr>
        <w:t xml:space="preserve">Se sostuvieron conversaciones guiadas con comerciantes minoristas y con un productor agrícola del círculo cercano de los integrantes, siguiendo un guion flexible sobre frecuencia de compra, criterios de selección de proveedor y manejo de excedentes.</w:t>
      </w:r>
      <w:r>
        <w:rPr>
          <w:rtl w:val="0"/>
        </w:rPr>
      </w:r>
      <w:r/>
    </w:p>
    <w:p w14:paraId="000000AB">
      <w:pPr>
        <w:pBdr/>
        <w:spacing w:after="200" w:line="300" w:lineRule="auto"/>
        <w:ind/>
        <w:jc w:val="both"/>
        <w:rPr/>
      </w:pPr>
      <w:r>
        <w:rPr>
          <w:b/>
          <w:bCs/>
          <w:sz w:val="22"/>
          <w:szCs w:val="22"/>
          <w:rtl w:val="0"/>
        </w:rPr>
        <w:t xml:space="preserve">Justificación de la elección: </w:t>
      </w:r>
      <w:r>
        <w:rPr>
          <w:sz w:val="22"/>
          <w:szCs w:val="22"/>
          <w:rtl w:val="0"/>
        </w:rPr>
        <w:t xml:space="preserve">Es la técnica de mayor profundidad según la tabla comparativa del SWEBOK y la indicada para un primer contacto con expertos del dominio. Permitió comprender el porqué detrás de las conductas observadas, algo que la observación por sí sola no revela. Se aplicó de forma semiestructurada para no inducir respuestas. Su principal riesgo reconocido —el sesgo del entrevistador y la perspectiva única— se mitigó contrastando cada hallazgo con lo observado en campo. Origen de SYS-FN-14, SYS-FN-16, SYS-FN-26 y SYS-FN-33.</w:t>
      </w:r>
      <w:r>
        <w:rPr>
          <w:rtl w:val="0"/>
        </w:rPr>
      </w:r>
      <w:r/>
    </w:p>
    <w:p w14:paraId="000000AC">
      <w:pPr>
        <w:pStyle w:val="940"/>
        <w:pBdr/>
        <w:spacing w:after="110" w:before="200"/>
        <w:ind/>
        <w:rPr/>
      </w:pPr>
      <w:r/>
      <w:bookmarkStart w:id="52" w:name="_Toc16"/>
      <w:r/>
      <w:bookmarkStart w:id="17" w:name="_b1k581pf6y1k"/>
      <w:r/>
      <w:bookmarkEnd w:id="17"/>
      <w:r>
        <w:rPr>
          <w:b/>
          <w:bCs/>
          <w:color w:val="333333"/>
          <w:sz w:val="22"/>
          <w:szCs w:val="22"/>
          <w:rtl w:val="0"/>
        </w:rPr>
        <w:t xml:space="preserve">2.4.3 Descripción de escenarios de uso  —  Familia D — Contextuales</w:t>
      </w:r>
      <w:r/>
      <w:bookmarkEnd w:id="52"/>
      <w:r/>
    </w:p>
    <w:p w14:paraId="000000AD">
      <w:pPr>
        <w:pBdr/>
        <w:spacing w:after="100" w:line="300" w:lineRule="auto"/>
        <w:ind/>
        <w:jc w:val="both"/>
        <w:rPr/>
      </w:pPr>
      <w:r>
        <w:rPr>
          <w:b/>
          <w:bCs/>
          <w:sz w:val="22"/>
          <w:szCs w:val="22"/>
          <w:rtl w:val="0"/>
        </w:rPr>
        <w:t xml:space="preserve">Aplicación en el proyecto: </w:t>
      </w:r>
      <w:r>
        <w:rPr>
          <w:sz w:val="22"/>
          <w:szCs w:val="22"/>
          <w:rtl w:val="0"/>
        </w:rPr>
        <w:t xml:space="preserve">Se redactaron dos narrativas completas de «un día en la vida» del usuario operando el sistema futuro: el reabastecimiento consolidado de una farmacia de El Viejo y la colocación de un excedente de frijol rojo de un finquero de Estelí. Ambas se documentan en la sección 2.6.</w:t>
      </w:r>
      <w:r>
        <w:rPr>
          <w:rtl w:val="0"/>
        </w:rPr>
      </w:r>
      <w:r/>
    </w:p>
    <w:p w14:paraId="000000AE">
      <w:pPr>
        <w:pBdr/>
        <w:spacing w:after="200" w:line="300" w:lineRule="auto"/>
        <w:ind/>
        <w:jc w:val="both"/>
        <w:rPr/>
      </w:pPr>
      <w:r>
        <w:rPr>
          <w:b/>
          <w:bCs/>
          <w:sz w:val="22"/>
          <w:szCs w:val="22"/>
          <w:rtl w:val="0"/>
        </w:rPr>
        <w:t xml:space="preserve">Justificación de la elección: </w:t>
      </w:r>
      <w:r>
        <w:rPr>
          <w:sz w:val="22"/>
          <w:szCs w:val="22"/>
          <w:rtl w:val="0"/>
        </w:rPr>
        <w:t xml:space="preserve">El SWEBOK afirma que un buen escenario revela más de cincuenta requisitos implícitos y constituye la base natural para derivar casos de uso e historias. En un proyecto sin cliente real, el escenario cumple además una función de validación interna: obliga al equipo a recorrer el flujo completo y detectar los huecos lógicos antes de escribir el requisito. De aquí surgen SYS-FN-11, SYS-FN-15, SYS-FN-18, SYS-FN-22 y SYS-FN-29.</w:t>
      </w:r>
      <w:r>
        <w:rPr>
          <w:rtl w:val="0"/>
        </w:rPr>
      </w:r>
      <w:r/>
    </w:p>
    <w:p w14:paraId="000000AF">
      <w:pPr>
        <w:pStyle w:val="940"/>
        <w:pBdr/>
        <w:spacing w:after="110" w:before="200"/>
        <w:ind/>
        <w:rPr/>
      </w:pPr>
      <w:r/>
      <w:bookmarkStart w:id="53" w:name="_Toc17"/>
      <w:r/>
      <w:bookmarkStart w:id="18" w:name="_9a56jqdg7ind"/>
      <w:r/>
      <w:bookmarkEnd w:id="18"/>
      <w:r>
        <w:rPr>
          <w:b/>
          <w:bCs/>
          <w:color w:val="333333"/>
          <w:sz w:val="22"/>
          <w:szCs w:val="22"/>
          <w:rtl w:val="0"/>
        </w:rPr>
        <w:t xml:space="preserve">2.4.4 Reuniones y lluvia de ideas  —  Familia A — Directas</w:t>
      </w:r>
      <w:r/>
      <w:bookmarkEnd w:id="53"/>
      <w:r/>
    </w:p>
    <w:p w14:paraId="000000B0">
      <w:pPr>
        <w:pBdr/>
        <w:spacing w:after="100" w:line="300" w:lineRule="auto"/>
        <w:ind/>
        <w:jc w:val="both"/>
        <w:rPr/>
      </w:pPr>
      <w:r>
        <w:rPr>
          <w:b/>
          <w:bCs/>
          <w:sz w:val="22"/>
          <w:szCs w:val="22"/>
          <w:rtl w:val="0"/>
        </w:rPr>
        <w:t xml:space="preserve">Aplicación en el proyecto: </w:t>
      </w:r>
      <w:r>
        <w:rPr>
          <w:sz w:val="22"/>
          <w:szCs w:val="22"/>
          <w:rtl w:val="0"/>
        </w:rPr>
        <w:t xml:space="preserve">Sesiones internas del equipo con suspensión deliberada del juicio crítico durante la fase de generación, orientadas a definir el alcance del MVP y a proponer mecanismos de protección comercial entre las partes.</w:t>
      </w:r>
      <w:r>
        <w:rPr>
          <w:rtl w:val="0"/>
        </w:rPr>
      </w:r>
      <w:r/>
    </w:p>
    <w:p w14:paraId="000000B1">
      <w:pPr>
        <w:pBdr/>
        <w:spacing w:after="200" w:line="300" w:lineRule="auto"/>
        <w:ind/>
        <w:jc w:val="both"/>
        <w:rPr/>
      </w:pPr>
      <w:r>
        <w:rPr>
          <w:b/>
          <w:bCs/>
          <w:sz w:val="22"/>
          <w:szCs w:val="22"/>
          <w:rtl w:val="0"/>
        </w:rPr>
        <w:t xml:space="preserve">Justificación de la elección: </w:t>
      </w:r>
      <w:r>
        <w:rPr>
          <w:sz w:val="22"/>
          <w:szCs w:val="22"/>
          <w:rtl w:val="0"/>
        </w:rPr>
        <w:t xml:space="preserve">Técnica de bajo costo y muy alta velocidad, adecuada para la generación de opciones y para alcanzar consenso rápido sobre el alcance. Se reconoce su riesgo de pensamiento grupal, por lo que toda idea generada fue sometida posteriormente al filtro de las características individuales de ISO 29148 (necesario, factible, verificable) antes de ser admitida como requisito. Origen de SYS-FN-12, SYS-FN-21, SYS-FN-28 y SYS-FN-32.</w:t>
      </w:r>
      <w:r>
        <w:rPr>
          <w:rtl w:val="0"/>
        </w:rPr>
      </w:r>
      <w:r/>
    </w:p>
    <w:p w14:paraId="000000B2">
      <w:pPr>
        <w:pStyle w:val="940"/>
        <w:pBdr/>
        <w:spacing w:after="110" w:before="200"/>
        <w:ind/>
        <w:rPr/>
      </w:pPr>
      <w:r/>
      <w:bookmarkStart w:id="54" w:name="_Toc18"/>
      <w:r>
        <w:rPr>
          <w:b/>
          <w:bCs/>
          <w:color w:val="333333"/>
          <w:sz w:val="22"/>
          <w:szCs w:val="22"/>
        </w:rPr>
        <w:t xml:space="preserve">2.4.</w:t>
      </w:r>
      <w:bookmarkStart w:id="19" w:name="_t9o8s0d6aia2"/>
      <w:r>
        <w:rPr>
          <w:b/>
          <w:bCs/>
          <w:color w:val="333333"/>
          <w:sz w:val="22"/>
          <w:szCs w:val="22"/>
        </w:rPr>
      </w:r>
      <w:bookmarkEnd w:id="19"/>
      <w:r>
        <w:rPr>
          <w:b/>
          <w:bCs/>
          <w:color w:val="333333"/>
          <w:sz w:val="22"/>
          <w:szCs w:val="22"/>
          <w:rtl w:val="0"/>
        </w:rPr>
        <w:t xml:space="preserve">5 Descomposición jerárquica  —  Familia E — Estructuradas</w:t>
      </w:r>
      <w:r/>
      <w:bookmarkEnd w:id="54"/>
      <w:r/>
    </w:p>
    <w:p w14:paraId="000000B3">
      <w:pPr>
        <w:pBdr/>
        <w:spacing w:after="100" w:line="300" w:lineRule="auto"/>
        <w:ind/>
        <w:jc w:val="both"/>
        <w:rPr/>
      </w:pPr>
      <w:r>
        <w:rPr>
          <w:b/>
          <w:bCs/>
          <w:sz w:val="22"/>
          <w:szCs w:val="22"/>
          <w:rtl w:val="0"/>
        </w:rPr>
        <w:t xml:space="preserve">Aplicación en el proyecto: </w:t>
      </w:r>
      <w:r>
        <w:rPr>
          <w:sz w:val="22"/>
          <w:szCs w:val="22"/>
          <w:rtl w:val="0"/>
        </w:rPr>
        <w:t xml:space="preserve">Refinamiento descendente sistemático desde las capacidades del sistema hasta los requisitos atómicos: Capacidad → Épica → Característica → Requisito. Por ejemplo, la capacidad «Gestionar el ciclo de vida de una transacción» se descompuso en las épicas de cotización, negociación, entrega y evaluación.</w:t>
      </w:r>
      <w:r>
        <w:rPr>
          <w:rtl w:val="0"/>
        </w:rPr>
      </w:r>
      <w:r/>
    </w:p>
    <w:p w14:paraId="000000B4">
      <w:pPr>
        <w:pBdr/>
        <w:spacing w:after="200" w:line="300" w:lineRule="auto"/>
        <w:ind/>
        <w:jc w:val="both"/>
        <w:rPr/>
      </w:pPr>
      <w:r>
        <w:rPr>
          <w:b/>
          <w:bCs/>
          <w:sz w:val="22"/>
          <w:szCs w:val="22"/>
          <w:rtl w:val="0"/>
        </w:rPr>
        <w:t xml:space="preserve">Justificación de la elección: </w:t>
      </w:r>
      <w:r>
        <w:rPr>
          <w:sz w:val="22"/>
          <w:szCs w:val="22"/>
          <w:rtl w:val="0"/>
        </w:rPr>
        <w:t xml:space="preserve">Novedad de la versión 4 del SWEBOK, es la técnica que aporta cobertura estructural: garantiza que ninguna rama funcional quede sin desarrollar y que cada requisito de bajo nivel sea trazable hacia arriba, hasta el objetivo de negocio que lo justifica. Fue determinante para construir la matriz de trazabilidad de la sección 3. Origen de SYS-FN-04, SYS-FN-19, SYS-FN-31 y SYS-NFN-07.</w:t>
      </w:r>
      <w:r>
        <w:rPr>
          <w:rtl w:val="0"/>
        </w:rPr>
      </w:r>
      <w:r/>
    </w:p>
    <w:p w14:paraId="000000B5">
      <w:pPr>
        <w:pStyle w:val="940"/>
        <w:pBdr/>
        <w:spacing w:after="110" w:before="200"/>
        <w:ind/>
        <w:rPr/>
      </w:pPr>
      <w:r/>
      <w:bookmarkStart w:id="55" w:name="_Toc19"/>
      <w:r/>
      <w:bookmarkStart w:id="20" w:name="_8of17feivq4d"/>
      <w:r/>
      <w:bookmarkEnd w:id="20"/>
      <w:r>
        <w:rPr>
          <w:b/>
          <w:bCs/>
          <w:color w:val="333333"/>
          <w:sz w:val="22"/>
          <w:szCs w:val="22"/>
          <w:rtl w:val="0"/>
        </w:rPr>
        <w:t xml:space="preserve">2.4.6 Benchmarking competitivo  —  Familia E — Estructuradas</w:t>
      </w:r>
      <w:r/>
      <w:bookmarkEnd w:id="55"/>
      <w:r/>
    </w:p>
    <w:p w14:paraId="000000B6">
      <w:pPr>
        <w:pBdr/>
        <w:spacing w:after="100" w:line="300" w:lineRule="auto"/>
        <w:ind/>
        <w:jc w:val="both"/>
        <w:rPr/>
      </w:pPr>
      <w:r>
        <w:rPr>
          <w:b/>
          <w:bCs/>
          <w:sz w:val="22"/>
          <w:szCs w:val="22"/>
          <w:rtl w:val="0"/>
        </w:rPr>
        <w:t xml:space="preserve">Aplicación en el proyecto: </w:t>
      </w:r>
      <w:r>
        <w:rPr>
          <w:sz w:val="22"/>
          <w:szCs w:val="22"/>
          <w:rtl w:val="0"/>
        </w:rPr>
        <w:t xml:space="preserve">Estudio sistemático de plataformas de emparejamiento comercial y de marketplaces B2B existentes en la región, analizando sus mecanismos de reputación, recuperación de credenciales y flujos de cotización.</w:t>
      </w:r>
      <w:r>
        <w:rPr>
          <w:rtl w:val="0"/>
        </w:rPr>
      </w:r>
      <w:r/>
    </w:p>
    <w:p w14:paraId="000000B7">
      <w:pPr>
        <w:pBdr/>
        <w:spacing w:after="200" w:line="300" w:lineRule="auto"/>
        <w:ind/>
        <w:jc w:val="both"/>
        <w:rPr>
          <w:sz w:val="22"/>
          <w:szCs w:val="22"/>
          <w:highlight w:val="none"/>
        </w:rPr>
      </w:pPr>
      <w:r>
        <w:rPr>
          <w:b/>
          <w:bCs/>
          <w:sz w:val="22"/>
          <w:szCs w:val="22"/>
          <w:rtl w:val="0"/>
        </w:rPr>
        <w:t xml:space="preserve">Justificación de la elección: </w:t>
      </w:r>
      <w:r>
        <w:rPr>
          <w:sz w:val="22"/>
          <w:szCs w:val="22"/>
          <w:rtl w:val="0"/>
        </w:rPr>
        <w:t xml:space="preserve">El SWEBOK reconoce el benchmarking como fuente no humana legítima de requisitos. En ausencia de un sistema predecesor propio, examinar productos rivales permitió identificar funcionalidades que el usuario da por descontadas y que, precisamente por ello, nadie menciona en una entrevista. Origen de SYS-FN-05, SYS-FN-27 y SYS-FN-30, y de los umbrales cuantitativos de SYS-NFN-05, SYS-NFN-06, SYS-NFN-10 y SYS-NFN-13, cuyas magnitudes de referencia se tomaron de las plataformas examinadas. La formulación de esos umbrales mediante escala, medidor y valor objetivo corresponde a la técnica de especificación Planguage descrita en la sección 2.5, no a la elicitación.</w:t>
      </w:r>
      <w:r>
        <w:rPr>
          <w:sz w:val="22"/>
          <w:szCs w:val="22"/>
          <w:highlight w:val="none"/>
        </w:rPr>
      </w:r>
    </w:p>
    <w:p w14:paraId="091AA428">
      <w:pPr>
        <w:pBdr/>
        <w:spacing w:after="200" w:line="300" w:lineRule="auto"/>
        <w:ind/>
        <w:jc w:val="both"/>
        <w:rPr/>
      </w:pPr>
      <w:r/>
    </w:p>
    <w:p w14:paraId="16411EBB">
      <w:pPr>
        <w:pBdr/>
        <w:spacing w:after="200" w:line="300" w:lineRule="auto"/>
        <w:ind/>
        <w:jc w:val="both"/>
        <w:rPr/>
      </w:pPr>
      <w:r>
        <w:rPr>
          <w:sz w:val="22"/>
          <w:szCs w:val="22"/>
          <w:highlight w:val="none"/>
          <w:rtl w:val="0"/>
        </w:rPr>
      </w:r>
      <w:r/>
    </w:p>
    <w:p w14:paraId="000000B8">
      <w:pPr>
        <w:pStyle w:val="940"/>
        <w:pBdr/>
        <w:spacing w:after="110" w:before="200"/>
        <w:ind/>
        <w:rPr/>
      </w:pPr>
      <w:r/>
      <w:bookmarkStart w:id="56" w:name="_Toc20"/>
      <w:r/>
      <w:bookmarkStart w:id="21" w:name="_su8jxf3fjjd"/>
      <w:r/>
      <w:bookmarkEnd w:id="21"/>
      <w:r>
        <w:rPr>
          <w:b/>
          <w:bCs/>
          <w:color w:val="333333"/>
          <w:sz w:val="22"/>
          <w:szCs w:val="22"/>
          <w:rtl w:val="0"/>
        </w:rPr>
        <w:t xml:space="preserve">2.4.7 Análisis normativo y catálogo ISO/IEC 25010  —  Fuentes no humanas</w:t>
      </w:r>
      <w:r/>
      <w:bookmarkEnd w:id="56"/>
      <w:r/>
    </w:p>
    <w:p w14:paraId="000000B9">
      <w:pPr>
        <w:pBdr/>
        <w:spacing w:after="100" w:line="300" w:lineRule="auto"/>
        <w:ind/>
        <w:jc w:val="both"/>
        <w:rPr/>
      </w:pPr>
      <w:r>
        <w:rPr>
          <w:b/>
          <w:bCs/>
          <w:sz w:val="22"/>
          <w:szCs w:val="22"/>
          <w:rtl w:val="0"/>
        </w:rPr>
        <w:t xml:space="preserve">Aplicación en el proyecto: </w:t>
      </w:r>
      <w:r>
        <w:rPr>
          <w:sz w:val="22"/>
          <w:szCs w:val="22"/>
          <w:rtl w:val="0"/>
        </w:rPr>
        <w:t xml:space="preserve">Revisión de la Ley No. 787 de Protección de Datos Personales de Nicaragua, del listado OWASP Top 10, de la norma WCAG 2.1 nivel AA y del modelo de calidad ISO/IEC 25010 empleado como catálogo sistemático de atributos.</w:t>
      </w:r>
      <w:r>
        <w:rPr>
          <w:rtl w:val="0"/>
        </w:rPr>
      </w:r>
      <w:r/>
    </w:p>
    <w:p w14:paraId="000000BA">
      <w:pPr>
        <w:pBdr/>
        <w:spacing w:after="200" w:line="300" w:lineRule="auto"/>
        <w:ind/>
        <w:jc w:val="both"/>
        <w:rPr/>
      </w:pPr>
      <w:r>
        <w:rPr>
          <w:b/>
          <w:bCs/>
          <w:sz w:val="22"/>
          <w:szCs w:val="22"/>
          <w:rtl w:val="0"/>
        </w:rPr>
        <w:t xml:space="preserve">Justificación de la elección: </w:t>
      </w:r>
      <w:r>
        <w:rPr>
          <w:sz w:val="22"/>
          <w:szCs w:val="22"/>
          <w:rtl w:val="0"/>
        </w:rPr>
        <w:t xml:space="preserve">El SWEBOK v4 incorpora expresamente la norma ISO/IEC 25010 como fuente sistemática de requisitos de calidad y remite al área de conocimiento de seguridad para los requisitos no funcionales asociados. Recorrer un catálogo normativo evita el sesgo de especificar únicamente aquellos atributos de calidad que el equipo recuerda espontáneamente. Es el origen de la mayor parte de los requisitos no funcionales y de los requisitos de cumplimiento SYS-FN-35, SYS-FN-36 y SYS-FN-37.</w:t>
      </w:r>
      <w:r>
        <w:rPr>
          <w:rtl w:val="0"/>
        </w:rPr>
      </w:r>
      <w:r/>
    </w:p>
    <w:p w14:paraId="000000BB">
      <w:pPr>
        <w:pStyle w:val="940"/>
        <w:pBdr/>
        <w:spacing w:after="110" w:before="200"/>
        <w:ind/>
        <w:rPr/>
      </w:pPr>
      <w:r/>
      <w:bookmarkStart w:id="57" w:name="_Toc21"/>
      <w:r/>
      <w:bookmarkStart w:id="22" w:name="_nenvmcwciuvk"/>
      <w:r/>
      <w:bookmarkEnd w:id="22"/>
      <w:r>
        <w:rPr>
          <w:b/>
          <w:bCs/>
          <w:color w:val="333333"/>
          <w:sz w:val="22"/>
          <w:szCs w:val="22"/>
          <w:rtl w:val="0"/>
        </w:rPr>
        <w:t xml:space="preserve">Dificultades inherentes enfrentadas</w:t>
      </w:r>
      <w:r/>
      <w:bookmarkEnd w:id="57"/>
      <w:r/>
    </w:p>
    <w:p w14:paraId="000000BC">
      <w:pPr>
        <w:pBdr/>
        <w:spacing w:after="140" w:line="300" w:lineRule="auto"/>
        <w:ind/>
        <w:jc w:val="both"/>
        <w:rPr/>
      </w:pPr>
      <w:r>
        <w:rPr>
          <w:sz w:val="22"/>
          <w:szCs w:val="22"/>
          <w:rtl w:val="0"/>
        </w:rPr>
        <w:t xml:space="preserve">El SWEBOK identifica cuatro dificultades universales de la elicitación. El equipo enfrentó de manera directa las dos primeras. La incapacidad de los usuarios para describir sus tareas se manifestó al pedir a los comerciantes que explicaran su proceso de reabastecimiento: la respuesta habitual fue «uno ya sabe qué pedir», sin poder articular el criterio; sólo la observación en campo permitió reconstruirlo. La segunda dificultad, la información importante que no se dice porque «todo el mundo lo sabe», apareció en el manejo del crédito informal entre proveedor y pulpería, que ningún entrevistado mencionó espontáneamente pese a ser determinante en la decisión de compra. El SWEBOK identifica esta omisión como la causa número uno de incompletitud en la industria.</w:t>
      </w:r>
      <w:r>
        <w:rPr>
          <w:rtl w:val="0"/>
        </w:rPr>
      </w:r>
      <w:r/>
    </w:p>
    <w:p w14:paraId="000000BD">
      <w:pPr>
        <w:pBdr/>
        <w:spacing w:after="200" w:line="300" w:lineRule="auto"/>
        <w:ind/>
        <w:jc w:val="both"/>
        <w:rPr/>
      </w:pPr>
      <w:r>
        <w:rPr>
          <w:sz w:val="22"/>
          <w:szCs w:val="22"/>
          <w:rtl w:val="0"/>
        </w:rPr>
        <w:t xml:space="preserve">La elicitación no se considera cerrada. Conforme a la séptima regla de oro de la guía, se trata de un proceso iterativo y no de un evento único: lo descubierto en esta fase modificará las preguntas de la siguiente.</w:t>
      </w:r>
      <w:r>
        <w:rPr>
          <w:rtl w:val="0"/>
        </w:rPr>
      </w:r>
      <w:r/>
    </w:p>
    <w:p w14:paraId="000000BE">
      <w:pPr>
        <w:pStyle w:val="939"/>
        <w:pBdr/>
        <w:spacing w:after="140" w:before="260"/>
        <w:ind/>
        <w:rPr>
          <w:color w:val="000000" w:themeColor="text1"/>
        </w:rPr>
      </w:pPr>
      <w:r>
        <w:br w:type="page" w:clear="all"/>
      </w:r>
      <w:r>
        <w:rPr>
          <w:color w:val="000000" w:themeColor="text1"/>
        </w:rPr>
      </w:r>
      <w:bookmarkStart w:id="23" w:name="_ikfdibeugapi"/>
      <w:r>
        <w:rPr>
          <w:color w:val="000000" w:themeColor="text1"/>
        </w:rPr>
      </w:r>
      <w:bookmarkEnd w:id="23"/>
      <w:bookmarkStart w:id="9002" w:name="_Toc9002"/>
      <w:r>
        <w:rPr>
          <w:b/>
          <w:bCs/>
          <w:color w:val="000000" w:themeColor="text1"/>
          <w:sz w:val="25"/>
          <w:szCs w:val="25"/>
          <w:rtl w:val="0"/>
        </w:rPr>
        <w:t xml:space="preserve">2.5 Técnica de especificación de requisitos utilizada y su justificación</w:t>
      </w:r>
      <w:bookmarkEnd w:id="9002"/>
      <w:r>
        <w:rPr>
          <w:color w:val="000000" w:themeColor="text1"/>
        </w:rPr>
      </w:r>
      <w:r/>
    </w:p>
    <w:p w14:paraId="000000C0">
      <w:pPr>
        <w:pBdr/>
        <w:spacing w:after="140" w:line="300" w:lineRule="auto"/>
        <w:ind/>
        <w:jc w:val="both"/>
        <w:rPr/>
      </w:pPr>
      <w:r>
        <w:rPr>
          <w:sz w:val="22"/>
          <w:szCs w:val="22"/>
          <w:rtl w:val="0"/>
        </w:rPr>
        <w:t xml:space="preserve">Esta sección responde al segundo requisito de la asignación: declarar qué técnica se empleó para especificar los requisitos. El SWEBOK reconoce seis familias de técnicas de especificación y establece como principio rector que la forma de especificar depende de la naturaleza del software y no del ciclo de vida utilizado; el ciclo de vida sólo determina cuándo se completa la especificación, no cómo se escribe.</w:t>
      </w:r>
      <w:r>
        <w:rPr>
          <w:rtl w:val="0"/>
        </w:rPr>
      </w:r>
      <w:r/>
    </w:p>
    <w:p w14:paraId="000000C1">
      <w:pPr>
        <w:pStyle w:val="940"/>
        <w:pBdr/>
        <w:spacing w:after="110" w:before="200"/>
        <w:ind/>
        <w:rPr/>
      </w:pPr>
      <w:r/>
      <w:bookmarkStart w:id="58" w:name="_Toc22"/>
      <w:r/>
      <w:bookmarkStart w:id="24" w:name="_bxiptorsjzht"/>
      <w:r/>
      <w:bookmarkEnd w:id="24"/>
      <w:r>
        <w:rPr>
          <w:b/>
          <w:bCs/>
          <w:color w:val="333333"/>
          <w:sz w:val="22"/>
          <w:szCs w:val="22"/>
          <w:rtl w:val="0"/>
        </w:rPr>
        <w:t xml:space="preserve">Técnica principal: lenguaje natural estructurado, formato actor-acción</w:t>
      </w:r>
      <w:r/>
      <w:bookmarkEnd w:id="58"/>
      <w:r/>
    </w:p>
    <w:p w14:paraId="000000C2">
      <w:pPr>
        <w:pBdr/>
        <w:spacing w:after="140" w:line="300" w:lineRule="auto"/>
        <w:ind/>
        <w:jc w:val="both"/>
        <w:rPr/>
      </w:pPr>
      <w:r>
        <w:rPr>
          <w:sz w:val="22"/>
          <w:szCs w:val="22"/>
          <w:rtl w:val="0"/>
        </w:rPr>
        <w:t xml:space="preserve">Se adoptó el lenguaje natural estructurado en su variante actor-acción, aplicando la sintaxis canónica establecida en el apartado 5.2.4 de ISO/IEC/IEEE 29148:2011:</w:t>
      </w:r>
      <w:r>
        <w:rPr>
          <w:rtl w:val="0"/>
        </w:rPr>
      </w:r>
      <w:r/>
    </w:p>
    <w:p w14:paraId="000000C3">
      <w:pPr>
        <w:pBdr/>
        <w:shd w:val="clear" w:color="auto" w:fill="edf1f7"/>
        <w:spacing w:after="120" w:before="120"/>
        <w:ind/>
        <w:jc w:val="center"/>
        <w:rPr>
          <w:color w:val="000000" w:themeColor="text1"/>
        </w:rPr>
      </w:pPr>
      <w:r>
        <w:rPr>
          <w:b/>
          <w:bCs/>
          <w:color w:val="000000" w:themeColor="text1"/>
          <w:sz w:val="23"/>
          <w:szCs w:val="23"/>
          <w:rtl w:val="0"/>
        </w:rPr>
        <w:t xml:space="preserve">[Condición]  +  Sujeto  +  «deberá»  +  Acción  +  Objeto  +  [Restricción]</w:t>
      </w:r>
      <w:r>
        <w:rPr>
          <w:color w:val="000000" w:themeColor="text1"/>
        </w:rPr>
      </w:r>
    </w:p>
    <w:p w14:paraId="000000C4">
      <w:pPr>
        <w:pBdr/>
        <w:spacing w:after="140" w:line="300" w:lineRule="auto"/>
        <w:ind/>
        <w:jc w:val="both"/>
        <w:rPr/>
      </w:pPr>
      <w:r>
        <w:rPr>
          <w:sz w:val="22"/>
          <w:szCs w:val="22"/>
          <w:rtl w:val="0"/>
        </w:rPr>
        <w:t xml:space="preserve">Ejemplo tomado del catálogo (SYS-FN-07): «Cuando un usuario acumule cinco intentos fallidos consecutivos [condición], el sistema de autenticación [sujeto] deberá bloquear [acción] la cuenta [objeto] durante 15 minutos [restricción]».</w:t>
      </w:r>
      <w:r>
        <w:rPr>
          <w:rtl w:val="0"/>
        </w:rPr>
      </w:r>
      <w:r/>
    </w:p>
    <w:p w14:paraId="000000C5">
      <w:pPr>
        <w:pBdr/>
        <w:spacing w:after="140" w:line="300" w:lineRule="auto"/>
        <w:ind/>
        <w:jc w:val="both"/>
        <w:rPr/>
      </w:pPr>
      <w:r>
        <w:rPr>
          <w:sz w:val="22"/>
          <w:szCs w:val="22"/>
          <w:rtl w:val="0"/>
        </w:rPr>
        <w:t xml:space="preserve">Respecto de las modalidades verbales, se emplea «deberá» de forma exclusiva para los enunciados vinculantes, reservando las formas no vinculantes para el texto explicativo. Se evitan de manera sistemática las construcciones negativas y la voz pasiva, así como los superlativos, el lenguaje subjetivo, los pronombres vagos y los adverbios ambiguos que el apartado 5.2.7 de la norma señala como impedimentos directos a la verificabilidad.</w:t>
      </w:r>
      <w:r>
        <w:rPr>
          <w:rtl w:val="0"/>
        </w:rPr>
      </w:r>
      <w:r/>
    </w:p>
    <w:p w14:paraId="000000C6">
      <w:pPr>
        <w:pStyle w:val="940"/>
        <w:pBdr/>
        <w:spacing w:after="110" w:before="200"/>
        <w:ind/>
        <w:rPr/>
      </w:pPr>
      <w:r/>
      <w:bookmarkStart w:id="59" w:name="_Toc23"/>
      <w:r/>
      <w:bookmarkStart w:id="25" w:name="_tv5ts7a3c0au"/>
      <w:r/>
      <w:bookmarkEnd w:id="25"/>
      <w:r>
        <w:rPr>
          <w:b/>
          <w:bCs/>
          <w:color w:val="333333"/>
          <w:sz w:val="22"/>
          <w:szCs w:val="22"/>
          <w:rtl w:val="0"/>
        </w:rPr>
        <w:t xml:space="preserve">Justificación mediante los trece factores de decisión del SWEBOK</w:t>
      </w:r>
      <w:r/>
      <w:bookmarkEnd w:id="59"/>
      <w:r/>
    </w:p>
    <w:p w14:paraId="000000C7">
      <w:pPr>
        <w:pBdr/>
        <w:spacing w:after="140" w:line="300" w:lineRule="auto"/>
        <w:ind/>
        <w:jc w:val="both"/>
        <w:rPr/>
      </w:pPr>
      <w:r>
        <w:rPr>
          <w:sz w:val="22"/>
          <w:szCs w:val="22"/>
          <w:rtl w:val="0"/>
        </w:rPr>
        <w:t xml:space="preserve">La guía exige evaluar trece factores antes de elegir una técnica de especificación. La tabla siguiente recoge los que resultaron determinantes en este proyecto.</w:t>
      </w:r>
      <w:r>
        <w:rPr>
          <w:rtl w:val="0"/>
        </w:rPr>
      </w:r>
      <w:r/>
    </w:p>
    <w:tbl>
      <w:tblPr>
        <w:tblStyle w:val="948"/>
        <w:tblW w:w="9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00"/>
        <w:gridCol w:w="3200"/>
        <w:gridCol w:w="3380"/>
        <w:tblGridChange w:id="2">
          <w:tblGrid>
            <w:gridCol w:w="2900"/>
            <w:gridCol w:w="3200"/>
            <w:gridCol w:w="3380"/>
          </w:tblGrid>
        </w:tblGridChange>
      </w:tblGrid>
      <w:tr>
        <w:trPr>
          <w:cantSplit w:val="false"/>
          <w:tblHeader/>
        </w:trPr>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8">
            <w:pPr>
              <w:pBdr/>
              <w:spacing w:line="230" w:lineRule="auto"/>
              <w:ind/>
              <w:rPr/>
            </w:pPr>
            <w:r>
              <w:rPr>
                <w:b/>
                <w:bCs/>
                <w:color w:val="ffffff"/>
                <w:sz w:val="18"/>
                <w:szCs w:val="18"/>
                <w:rtl w:val="0"/>
              </w:rPr>
              <w:t xml:space="preserve">Factor SWEBOK</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9">
            <w:pPr>
              <w:pBdr/>
              <w:spacing w:line="230" w:lineRule="auto"/>
              <w:ind/>
              <w:rPr/>
            </w:pPr>
            <w:r>
              <w:rPr>
                <w:b/>
                <w:bCs/>
                <w:color w:val="ffffff"/>
                <w:sz w:val="18"/>
                <w:szCs w:val="18"/>
                <w:rtl w:val="0"/>
              </w:rPr>
              <w:t xml:space="preserve">Situación del proyecto</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A">
            <w:pPr>
              <w:pBdr/>
              <w:spacing w:line="230" w:lineRule="auto"/>
              <w:ind/>
              <w:rPr/>
            </w:pPr>
            <w:r>
              <w:rPr>
                <w:b/>
                <w:bCs/>
                <w:color w:val="ffffff"/>
                <w:sz w:val="18"/>
                <w:szCs w:val="18"/>
                <w:rtl w:val="0"/>
              </w:rPr>
              <w:t xml:space="preserve">Consecuencia sobre la elección</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B">
            <w:pPr>
              <w:pBdr/>
              <w:spacing w:line="230" w:lineRule="auto"/>
              <w:ind/>
              <w:rPr/>
            </w:pPr>
            <w:r>
              <w:rPr>
                <w:b/>
                <w:bCs/>
                <w:sz w:val="18"/>
                <w:szCs w:val="18"/>
                <w:rtl w:val="0"/>
              </w:rPr>
              <w:t xml:space="preserve">1. Familiaridad con el dominio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C">
            <w:pPr>
              <w:pBdr/>
              <w:spacing w:line="230" w:lineRule="auto"/>
              <w:ind/>
              <w:rPr/>
            </w:pPr>
            <w:r>
              <w:rPr>
                <w:sz w:val="18"/>
                <w:szCs w:val="18"/>
                <w:rtl w:val="0"/>
              </w:rPr>
              <w:t xml:space="preserve">El dominio comercial minorista es conocido y accesible por el equipo.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D">
            <w:pPr>
              <w:pBdr/>
              <w:spacing w:line="230" w:lineRule="auto"/>
              <w:ind/>
              <w:rPr/>
            </w:pPr>
            <w:r>
              <w:rPr>
                <w:sz w:val="18"/>
                <w:szCs w:val="18"/>
                <w:rtl w:val="0"/>
              </w:rPr>
              <w:t xml:space="preserve">Dominio conocido: el lenguaje natural resulta suficiente, sin necesidad de modelado formal.</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E">
            <w:pPr>
              <w:pBdr/>
              <w:spacing w:line="230" w:lineRule="auto"/>
              <w:ind/>
              <w:rPr/>
            </w:pPr>
            <w:r>
              <w:rPr>
                <w:b/>
                <w:bCs/>
                <w:sz w:val="18"/>
                <w:szCs w:val="18"/>
                <w:rtl w:val="0"/>
              </w:rPr>
              <w:t xml:space="preserve">3. Riesgo de error en requisitos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CF">
            <w:pPr>
              <w:pBdr/>
              <w:spacing w:line="230" w:lineRule="auto"/>
              <w:ind/>
              <w:rPr/>
            </w:pPr>
            <w:r>
              <w:rPr>
                <w:sz w:val="18"/>
                <w:szCs w:val="18"/>
                <w:rtl w:val="0"/>
              </w:rPr>
              <w:t xml:space="preserve">No hay riesgo para la vida humana; el riesgo económico es acotado por tratarse de un MVP académico.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0">
            <w:pPr>
              <w:pBdr/>
              <w:spacing w:line="230" w:lineRule="auto"/>
              <w:ind/>
              <w:rPr/>
            </w:pPr>
            <w:r>
              <w:rPr>
                <w:sz w:val="18"/>
                <w:szCs w:val="18"/>
                <w:rtl w:val="0"/>
              </w:rPr>
              <w:t xml:space="preserve">Riesgo bajo o moderado: no se justifica el costo de un lenguaje formal tipo Z o VDM.</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1">
            <w:pPr>
              <w:pBdr/>
              <w:spacing w:line="230" w:lineRule="auto"/>
              <w:ind/>
              <w:rPr/>
            </w:pPr>
            <w:r>
              <w:rPr>
                <w:b/>
                <w:bCs/>
                <w:sz w:val="18"/>
                <w:szCs w:val="18"/>
                <w:rtl w:val="0"/>
              </w:rPr>
              <w:t xml:space="preserve">5. Distribución del equipo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2">
            <w:pPr>
              <w:pBdr/>
              <w:spacing w:line="230" w:lineRule="auto"/>
              <w:ind/>
              <w:rPr/>
            </w:pPr>
            <w:r>
              <w:rPr>
                <w:sz w:val="18"/>
                <w:szCs w:val="18"/>
                <w:rtl w:val="0"/>
              </w:rPr>
              <w:t xml:space="preserve">El equipo trabaja de forma parcialmente remota y asíncrona.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3">
            <w:pPr>
              <w:pBdr/>
              <w:spacing w:line="230" w:lineRule="auto"/>
              <w:ind/>
              <w:rPr/>
            </w:pPr>
            <w:r>
              <w:rPr>
                <w:sz w:val="18"/>
                <w:szCs w:val="18"/>
                <w:rtl w:val="0"/>
              </w:rPr>
              <w:t xml:space="preserve">Exige especificación escrita y detallada; se descarta el modelado ágil efímero de pizarra.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4">
            <w:pPr>
              <w:pBdr/>
              <w:spacing w:line="230" w:lineRule="auto"/>
              <w:ind/>
              <w:rPr/>
            </w:pPr>
            <w:r>
              <w:rPr>
                <w:b/>
                <w:bCs/>
                <w:sz w:val="18"/>
                <w:szCs w:val="18"/>
                <w:rtl w:val="0"/>
              </w:rPr>
              <w:t xml:space="preserve">9. Pruebas basadas en requisitos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5">
            <w:pPr>
              <w:pBdr/>
              <w:spacing w:line="230" w:lineRule="auto"/>
              <w:ind/>
              <w:rPr/>
            </w:pPr>
            <w:r>
              <w:rPr>
                <w:sz w:val="18"/>
                <w:szCs w:val="18"/>
                <w:rtl w:val="0"/>
              </w:rPr>
              <w:t xml:space="preserve">Cada requisito debe poder derivar en un caso de prueba ejecutable.</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6">
            <w:pPr>
              <w:pBdr/>
              <w:spacing w:line="230" w:lineRule="auto"/>
              <w:ind/>
              <w:rPr/>
            </w:pPr>
            <w:r>
              <w:rPr>
                <w:sz w:val="18"/>
                <w:szCs w:val="18"/>
                <w:rtl w:val="0"/>
              </w:rPr>
              <w:t xml:space="preserve">Se incorpora un criterio de aceptación explícito por requisito en la matriz.</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7">
            <w:pPr>
              <w:pBdr/>
              <w:spacing w:line="230" w:lineRule="auto"/>
              <w:ind/>
              <w:rPr/>
            </w:pPr>
            <w:r>
              <w:rPr>
                <w:b/>
                <w:bCs/>
                <w:sz w:val="18"/>
                <w:szCs w:val="18"/>
                <w:rtl w:val="0"/>
              </w:rPr>
              <w:t xml:space="preserve">11. Precisión para estimaciones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8">
            <w:pPr>
              <w:pBdr/>
              <w:spacing w:line="230" w:lineRule="auto"/>
              <w:ind/>
              <w:rPr/>
            </w:pPr>
            <w:r>
              <w:rPr>
                <w:sz w:val="18"/>
                <w:szCs w:val="18"/>
                <w:rtl w:val="0"/>
              </w:rPr>
              <w:t xml:space="preserve">Se requieren umbrales cuantitativos para poder verificar los atributos de calidad.</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9">
            <w:pPr>
              <w:pBdr/>
              <w:spacing w:line="230" w:lineRule="auto"/>
              <w:ind/>
              <w:rPr/>
            </w:pPr>
            <w:r>
              <w:rPr>
                <w:sz w:val="18"/>
                <w:szCs w:val="18"/>
                <w:rtl w:val="0"/>
              </w:rPr>
              <w:t xml:space="preserve">Se adopta Planguage como técnica complementaria sobre los requisitos no funcionales.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A">
            <w:pPr>
              <w:pBdr/>
              <w:spacing w:line="230" w:lineRule="auto"/>
              <w:ind/>
              <w:rPr/>
            </w:pPr>
            <w:r>
              <w:rPr>
                <w:b/>
                <w:bCs/>
                <w:sz w:val="18"/>
                <w:szCs w:val="18"/>
                <w:rtl w:val="0"/>
              </w:rPr>
              <w:t xml:space="preserve">12. Necesidad de trazabilidad</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B">
            <w:pPr>
              <w:pBdr/>
              <w:spacing w:line="230" w:lineRule="auto"/>
              <w:ind/>
              <w:rPr/>
            </w:pPr>
            <w:r>
              <w:rPr>
                <w:sz w:val="18"/>
                <w:szCs w:val="18"/>
                <w:rtl w:val="0"/>
              </w:rPr>
              <w:t xml:space="preserve">Todo requisito debe trazar hacia un objetivo StRS y hacia su verificación.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C">
            <w:pPr>
              <w:pBdr/>
              <w:spacing w:line="230" w:lineRule="auto"/>
              <w:ind/>
              <w:rPr/>
            </w:pPr>
            <w:r>
              <w:rPr>
                <w:sz w:val="18"/>
                <w:szCs w:val="18"/>
                <w:rtl w:val="0"/>
              </w:rPr>
              <w:t xml:space="preserve">Se adopta el esquema de atributos: identificador único, origen, tipo, prioridad y criterio.</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D">
            <w:pPr>
              <w:pBdr/>
              <w:spacing w:line="230" w:lineRule="auto"/>
              <w:ind/>
              <w:rPr/>
            </w:pPr>
            <w:r>
              <w:rPr>
                <w:b/>
                <w:bCs/>
                <w:sz w:val="18"/>
                <w:szCs w:val="18"/>
                <w:rtl w:val="0"/>
              </w:rPr>
              <w:t xml:space="preserve">13. Imposiciones contractuales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E">
            <w:pPr>
              <w:pBdr/>
              <w:spacing w:line="230" w:lineRule="auto"/>
              <w:ind/>
              <w:rPr/>
            </w:pPr>
            <w:r>
              <w:rPr>
                <w:sz w:val="18"/>
                <w:szCs w:val="18"/>
                <w:rtl w:val="0"/>
              </w:rPr>
              <w:t xml:space="preserve">La asignatura impone ISO/IEC/IEEE 29148:2011 como norma rectora.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0DF">
            <w:pPr>
              <w:pBdr/>
              <w:spacing w:line="230" w:lineRule="auto"/>
              <w:ind/>
              <w:rPr/>
            </w:pPr>
            <w:r>
              <w:rPr>
                <w:sz w:val="18"/>
                <w:szCs w:val="18"/>
                <w:rtl w:val="0"/>
              </w:rPr>
              <w:t xml:space="preserve">La sintaxis del apartado 5.2.4 queda fijada como formato obligatorio de redacción.</w:t>
            </w:r>
            <w:r>
              <w:rPr>
                <w:rtl w:val="0"/>
              </w:rPr>
            </w:r>
            <w:r/>
          </w:p>
        </w:tc>
      </w:tr>
    </w:tbl>
    <w:p w14:paraId="000000E0">
      <w:pPr>
        <w:pBdr/>
        <w:spacing w:after="200" w:line="300" w:lineRule="auto"/>
        <w:ind/>
        <w:jc w:val="both"/>
        <w:rPr/>
      </w:pPr>
      <w:r>
        <w:rPr>
          <w:sz w:val="22"/>
          <w:szCs w:val="22"/>
          <w:rtl w:val="0"/>
        </w:rPr>
        <w:t xml:space="preserve">La conclusión del análisis es coherente con la tabla comparativa de la guía, que sitúa al lenguaje natural estructurado como la técnica indicada para «la mayoría de proyectos»: ofrece una precisión sensiblemente superior al lenguaje libre —la propia guía estima una reducción de ambigüedad cercana al 60%— manteniendo un esfuerzo bajo y una legibilidad alta para las partes interesadas no técnicas, que en este dominio son la mayoría.</w:t>
      </w:r>
      <w:r>
        <w:rPr>
          <w:rtl w:val="0"/>
        </w:rPr>
      </w:r>
      <w:r/>
    </w:p>
    <w:p w14:paraId="000000E1">
      <w:pPr>
        <w:pStyle w:val="940"/>
        <w:pBdr/>
        <w:spacing w:after="110" w:before="200"/>
        <w:ind/>
        <w:rPr/>
      </w:pPr>
      <w:r/>
      <w:bookmarkStart w:id="60" w:name="_Toc24"/>
      <w:r/>
      <w:bookmarkStart w:id="26" w:name="_v5ump4ctupq5"/>
      <w:r/>
      <w:bookmarkEnd w:id="26"/>
      <w:r>
        <w:rPr>
          <w:b/>
          <w:bCs/>
          <w:color w:val="333333"/>
          <w:sz w:val="22"/>
          <w:szCs w:val="22"/>
          <w:rtl w:val="0"/>
        </w:rPr>
        <w:t xml:space="preserve">Técnica complementaria: atributos adicionales y Planguage</w:t>
      </w:r>
      <w:r/>
      <w:bookmarkEnd w:id="60"/>
      <w:r/>
    </w:p>
    <w:p w14:paraId="000000E2">
      <w:pPr>
        <w:pBdr/>
        <w:spacing w:after="140" w:line="300" w:lineRule="auto"/>
        <w:ind/>
        <w:jc w:val="both"/>
        <w:rPr/>
      </w:pPr>
      <w:r>
        <w:rPr>
          <w:sz w:val="22"/>
          <w:szCs w:val="22"/>
          <w:rtl w:val="0"/>
        </w:rPr>
        <w:t xml:space="preserve">El SWEBOK presenta la técnica de atributos como complemento aplicable a todas las demás: un requisito no es sólo una frase, sino una entidad con metadatos. De los quince atributos que enumera la guía, este documento incorpora ocho en la matriz de la sección 3: identificador único, origen o fuente, tipo, módulo asignado, prioridad, técnica de elicitación que lo originó, método de verificación y criterio de aceptación.</w:t>
      </w:r>
      <w:r>
        <w:rPr>
          <w:rtl w:val="0"/>
        </w:rPr>
      </w:r>
      <w:r/>
    </w:p>
    <w:p w14:paraId="000000E3">
      <w:pPr>
        <w:pBdr/>
        <w:spacing w:after="140" w:line="300" w:lineRule="auto"/>
        <w:ind/>
        <w:jc w:val="both"/>
        <w:rPr/>
      </w:pPr>
      <w:r>
        <w:rPr>
          <w:sz w:val="22"/>
          <w:szCs w:val="22"/>
          <w:rtl w:val="0"/>
        </w:rPr>
        <w:t xml:space="preserve">Para los requisitos no funcionales se aplicó adicionalmente el enfoque Planguage de Tom Gilb, que transforma enunciados vagos en declaraciones cuantitativas mediante escala, medidor y umbral. Así, la necesidad expresada por los comerciantes como «que la página cargue rápido aunque haya mala señal» se especificó como SYS-NFN-08 con umbrales explícitos de 2</w:t>
      </w:r>
      <w:r>
        <w:rPr>
          <w:sz w:val="22"/>
          <w:szCs w:val="22"/>
          <w:rtl w:val="0"/>
          <w:lang w:val="es-ES"/>
        </w:rPr>
        <w:t xml:space="preserve">,</w:t>
      </w:r>
      <w:r>
        <w:rPr>
          <w:sz w:val="22"/>
          <w:szCs w:val="22"/>
          <w:rtl w:val="0"/>
        </w:rPr>
        <w:t xml:space="preserve">5 segundos sobre 4G/LTE y 5</w:t>
      </w:r>
      <w:r>
        <w:rPr>
          <w:sz w:val="22"/>
          <w:szCs w:val="22"/>
          <w:rtl w:val="0"/>
          <w:lang w:val="es-ES"/>
        </w:rPr>
        <w:t xml:space="preserve">,</w:t>
      </w:r>
      <w:r>
        <w:rPr>
          <w:sz w:val="22"/>
          <w:szCs w:val="22"/>
          <w:rtl w:val="0"/>
        </w:rPr>
        <w:t xml:space="preserve">0 segundos sobre 3G. Sin esta cuantificación, el requisito sería inverificable y, conforme al apartado 5.2.5 de la norma, inadmisible.</w:t>
      </w:r>
      <w:r>
        <w:rPr>
          <w:rtl w:val="0"/>
        </w:rPr>
      </w:r>
      <w:r/>
    </w:p>
    <w:p w14:paraId="000000E4">
      <w:pPr>
        <w:pStyle w:val="940"/>
        <w:pBdr/>
        <w:spacing w:after="110" w:before="200"/>
        <w:ind/>
        <w:rPr/>
      </w:pPr>
      <w:r/>
      <w:bookmarkStart w:id="61" w:name="_Toc25"/>
      <w:r/>
      <w:bookmarkStart w:id="27" w:name="_wf8ko252ik4s"/>
      <w:r/>
      <w:bookmarkEnd w:id="27"/>
      <w:r>
        <w:rPr>
          <w:b/>
          <w:bCs/>
          <w:color w:val="333333"/>
          <w:sz w:val="22"/>
          <w:szCs w:val="22"/>
          <w:rtl w:val="0"/>
        </w:rPr>
        <w:t xml:space="preserve">Técnica complementaria: criterios de aceptación en formato BDD</w:t>
      </w:r>
      <w:r/>
      <w:bookmarkEnd w:id="61"/>
      <w:r/>
    </w:p>
    <w:p w14:paraId="000000E5">
      <w:pPr>
        <w:pBdr/>
        <w:spacing w:after="140" w:line="300" w:lineRule="auto"/>
        <w:ind/>
        <w:jc w:val="both"/>
        <w:rPr/>
      </w:pPr>
      <w:r>
        <w:rPr>
          <w:sz w:val="22"/>
          <w:szCs w:val="22"/>
          <w:rtl w:val="0"/>
        </w:rPr>
        <w:t xml:space="preserve">Para los requisitos de mayor complejidad lógica se emplea el formato DADO-CUANDO-ENTONCES propuesto por el enfoque de desarrollo dirigido por comportamiento, que el SWEBOK v4 incorpora como novedad de esta edición bajo la idea central de que si un caso de prueba dice lo que esperamos, ese caso de prueba es el requisito. A continuación se ilustra su aplicación sobre SYS-FN-16, relativo al congelamiento de inventario:</w:t>
      </w:r>
      <w:r>
        <w:rPr>
          <w:rtl w:val="0"/>
        </w:rPr>
      </w:r>
      <w:r/>
    </w:p>
    <w:p w14:paraId="000000E6">
      <w:pPr>
        <w:pBdr/>
        <w:shd w:val="clear" w:color="auto" w:fill="edf1f7"/>
        <w:spacing w:after="40" w:before="100"/>
        <w:ind w:right="400" w:firstLine="0" w:left="400"/>
        <w:rPr/>
      </w:pPr>
      <w:r>
        <w:rPr>
          <w:b/>
          <w:bCs/>
          <w:rtl w:val="0"/>
        </w:rPr>
        <w:t xml:space="preserve">Escenario 1 — Reserva exitosa de excedente agrícola</w:t>
      </w:r>
      <w:r>
        <w:rPr>
          <w:rtl w:val="0"/>
        </w:rPr>
      </w:r>
      <w:r/>
    </w:p>
    <w:p w14:paraId="000000E7">
      <w:pPr>
        <w:pBdr/>
        <w:shd w:val="clear" w:color="auto" w:fill="edf1f7"/>
        <w:spacing w:line="250" w:lineRule="auto"/>
        <w:ind w:right="400" w:firstLine="0" w:left="400"/>
        <w:rPr/>
      </w:pPr>
      <w:r>
        <w:rPr>
          <w:sz w:val="19"/>
          <w:szCs w:val="19"/>
          <w:rtl w:val="0"/>
        </w:rPr>
        <w:t xml:space="preserve">DADO que un productor ha publicado una oferta de 50 quintales de frijol rojo</w:t>
      </w:r>
      <w:r>
        <w:rPr>
          <w:rtl w:val="0"/>
        </w:rPr>
      </w:r>
      <w:r/>
    </w:p>
    <w:p w14:paraId="000000E8">
      <w:pPr>
        <w:pBdr/>
        <w:shd w:val="clear" w:color="auto" w:fill="edf1f7"/>
        <w:spacing w:line="250" w:lineRule="auto"/>
        <w:ind w:right="400" w:firstLine="0" w:left="400"/>
        <w:rPr/>
      </w:pPr>
      <w:r>
        <w:rPr>
          <w:sz w:val="19"/>
          <w:szCs w:val="19"/>
          <w:rtl w:val="0"/>
        </w:rPr>
        <w:t xml:space="preserve">  Y que el volumen se encuentra íntegramente disponible</w:t>
      </w:r>
      <w:r>
        <w:rPr>
          <w:rtl w:val="0"/>
        </w:rPr>
      </w:r>
      <w:r/>
    </w:p>
    <w:p w14:paraId="000000E9">
      <w:pPr>
        <w:pBdr/>
        <w:shd w:val="clear" w:color="auto" w:fill="edf1f7"/>
        <w:spacing w:line="250" w:lineRule="auto"/>
        <w:ind w:right="400" w:firstLine="0" w:left="400"/>
        <w:rPr/>
      </w:pPr>
      <w:r>
        <w:rPr>
          <w:sz w:val="19"/>
          <w:szCs w:val="19"/>
          <w:rtl w:val="0"/>
        </w:rPr>
        <w:t xml:space="preserve">CUANDO un comprador manifiesta interés formal sobre esa oferta</w:t>
      </w:r>
      <w:r>
        <w:rPr>
          <w:rtl w:val="0"/>
        </w:rPr>
      </w:r>
      <w:r/>
    </w:p>
    <w:p w14:paraId="000000EA">
      <w:pPr>
        <w:pBdr/>
        <w:shd w:val="clear" w:color="auto" w:fill="edf1f7"/>
        <w:spacing w:line="250" w:lineRule="auto"/>
        <w:ind w:right="400" w:firstLine="0" w:left="400"/>
        <w:rPr/>
      </w:pPr>
      <w:r>
        <w:rPr>
          <w:sz w:val="19"/>
          <w:szCs w:val="19"/>
          <w:rtl w:val="0"/>
        </w:rPr>
        <w:t xml:space="preserve">ENTONCES el sistema reserva 40 quintales, equivalentes al 80% del volumen</w:t>
      </w:r>
      <w:r>
        <w:rPr>
          <w:rtl w:val="0"/>
        </w:rPr>
      </w:r>
      <w:r/>
    </w:p>
    <w:p w14:paraId="000000EB">
      <w:pPr>
        <w:pBdr/>
        <w:shd w:val="clear" w:color="auto" w:fill="edf1f7"/>
        <w:spacing w:line="250" w:lineRule="auto"/>
        <w:ind w:right="400" w:firstLine="0" w:left="400"/>
        <w:rPr/>
      </w:pPr>
      <w:r>
        <w:rPr>
          <w:sz w:val="19"/>
          <w:szCs w:val="19"/>
          <w:rtl w:val="0"/>
        </w:rPr>
        <w:t xml:space="preserve">  Y marca el volumen reservado como no disponible en las búsquedas</w:t>
      </w:r>
      <w:r>
        <w:rPr>
          <w:rtl w:val="0"/>
        </w:rPr>
      </w:r>
      <w:r/>
    </w:p>
    <w:p w14:paraId="000000EC">
      <w:pPr>
        <w:pBdr/>
        <w:shd w:val="clear" w:color="auto" w:fill="edf1f7"/>
        <w:spacing w:line="250" w:lineRule="auto"/>
        <w:ind w:right="400" w:firstLine="0" w:left="400"/>
        <w:rPr/>
      </w:pPr>
      <w:r>
        <w:rPr>
          <w:sz w:val="19"/>
          <w:szCs w:val="19"/>
          <w:rtl w:val="0"/>
        </w:rPr>
        <w:t xml:space="preserve">  Y notifica al productor la reserva y su vencimiento a las 48 horas</w:t>
      </w:r>
      <w:r>
        <w:rPr>
          <w:rtl w:val="0"/>
        </w:rPr>
      </w:r>
      <w:r/>
    </w:p>
    <w:p w14:paraId="000000ED">
      <w:pPr>
        <w:pBdr/>
        <w:shd w:val="clear" w:color="auto" w:fill="edf1f7"/>
        <w:spacing w:after="40" w:before="160"/>
        <w:ind w:right="400" w:firstLine="0" w:left="400"/>
        <w:rPr/>
      </w:pPr>
      <w:r>
        <w:rPr>
          <w:b/>
          <w:bCs/>
          <w:rtl w:val="0"/>
        </w:rPr>
        <w:t xml:space="preserve">Escenario 2 — Liberación por inactividad del comprador</w:t>
      </w:r>
      <w:r>
        <w:rPr>
          <w:rtl w:val="0"/>
        </w:rPr>
      </w:r>
      <w:r/>
    </w:p>
    <w:p w14:paraId="000000EE">
      <w:pPr>
        <w:pBdr/>
        <w:shd w:val="clear" w:color="auto" w:fill="edf1f7"/>
        <w:spacing w:line="250" w:lineRule="auto"/>
        <w:ind w:right="400" w:firstLine="0" w:left="400"/>
        <w:rPr/>
      </w:pPr>
      <w:r>
        <w:rPr>
          <w:sz w:val="19"/>
          <w:szCs w:val="19"/>
          <w:rtl w:val="0"/>
        </w:rPr>
        <w:t xml:space="preserve">DADO que existen 40 quintales reservados a favor de un comprador</w:t>
      </w:r>
      <w:r>
        <w:rPr>
          <w:rtl w:val="0"/>
        </w:rPr>
      </w:r>
      <w:r/>
    </w:p>
    <w:p w14:paraId="000000EF">
      <w:pPr>
        <w:pBdr/>
        <w:shd w:val="clear" w:color="auto" w:fill="edf1f7"/>
        <w:spacing w:line="250" w:lineRule="auto"/>
        <w:ind w:right="400" w:firstLine="0" w:left="400"/>
        <w:rPr/>
      </w:pPr>
      <w:r>
        <w:rPr>
          <w:sz w:val="19"/>
          <w:szCs w:val="19"/>
          <w:rtl w:val="0"/>
        </w:rPr>
        <w:t xml:space="preserve">  Y que han transcurrido 48 horas desde la manifestación de interés</w:t>
      </w:r>
      <w:r>
        <w:rPr>
          <w:rtl w:val="0"/>
        </w:rPr>
      </w:r>
      <w:r/>
    </w:p>
    <w:p w14:paraId="000000F0">
      <w:pPr>
        <w:pBdr/>
        <w:shd w:val="clear" w:color="auto" w:fill="edf1f7"/>
        <w:spacing w:line="250" w:lineRule="auto"/>
        <w:ind w:right="400" w:firstLine="0" w:left="400"/>
        <w:rPr/>
      </w:pPr>
      <w:r>
        <w:rPr>
          <w:sz w:val="19"/>
          <w:szCs w:val="19"/>
          <w:rtl w:val="0"/>
        </w:rPr>
        <w:t xml:space="preserve">CUANDO el comprador no ha confirmado la compra</w:t>
      </w:r>
      <w:r>
        <w:rPr>
          <w:rtl w:val="0"/>
        </w:rPr>
      </w:r>
      <w:r/>
    </w:p>
    <w:p w14:paraId="000000F1">
      <w:pPr>
        <w:pBdr/>
        <w:shd w:val="clear" w:color="auto" w:fill="edf1f7"/>
        <w:spacing w:line="250" w:lineRule="auto"/>
        <w:ind w:right="400" w:firstLine="0" w:left="400"/>
        <w:rPr/>
      </w:pPr>
      <w:r>
        <w:rPr>
          <w:sz w:val="19"/>
          <w:szCs w:val="19"/>
          <w:rtl w:val="0"/>
        </w:rPr>
        <w:t xml:space="preserve">ENTONCES el sistema libera los 40 quintales al estado disponible</w:t>
      </w:r>
      <w:r>
        <w:rPr>
          <w:rtl w:val="0"/>
        </w:rPr>
      </w:r>
      <w:r/>
    </w:p>
    <w:p w14:paraId="000000F2">
      <w:pPr>
        <w:pBdr/>
        <w:shd w:val="clear" w:color="auto" w:fill="edf1f7"/>
        <w:spacing w:line="250" w:lineRule="auto"/>
        <w:ind w:right="400" w:firstLine="0" w:left="400"/>
        <w:rPr/>
      </w:pPr>
      <w:r>
        <w:rPr>
          <w:sz w:val="19"/>
          <w:szCs w:val="19"/>
          <w:rtl w:val="0"/>
        </w:rPr>
        <w:t xml:space="preserve">  Y notifica la liberación a ambas partes</w:t>
      </w:r>
      <w:r>
        <w:rPr>
          <w:rtl w:val="0"/>
        </w:rPr>
      </w:r>
      <w:r/>
    </w:p>
    <w:p w14:paraId="000000F3">
      <w:pPr>
        <w:pBdr/>
        <w:spacing w:after="200" w:line="300" w:lineRule="auto"/>
        <w:ind/>
        <w:jc w:val="both"/>
        <w:rPr/>
      </w:pPr>
      <w:r>
        <w:rPr>
          <w:sz w:val="22"/>
          <w:szCs w:val="22"/>
          <w:rtl w:val="0"/>
        </w:rPr>
        <w:t xml:space="preserve">La ventaja que la guía atribuye a este formato es doble: los escenarios resultan legibles por las partes interesadas del negocio y, simultáneamente, ejecutables por herramientas automatizadas de prueba.</w:t>
      </w:r>
      <w:r>
        <w:rPr>
          <w:rtl w:val="0"/>
        </w:rPr>
      </w:r>
      <w:r/>
    </w:p>
    <w:p w14:paraId="000000F4">
      <w:pPr>
        <w:pStyle w:val="940"/>
        <w:pBdr/>
        <w:spacing w:after="110" w:before="200"/>
        <w:ind/>
        <w:rPr/>
      </w:pPr>
      <w:r/>
      <w:bookmarkStart w:id="62" w:name="_Toc26"/>
      <w:r/>
      <w:bookmarkStart w:id="28" w:name="_ks3tscvdb0py"/>
      <w:r/>
      <w:bookmarkEnd w:id="28"/>
      <w:r>
        <w:rPr>
          <w:b/>
          <w:bCs/>
          <w:color w:val="333333"/>
          <w:sz w:val="22"/>
          <w:szCs w:val="22"/>
          <w:rtl w:val="0"/>
        </w:rPr>
        <w:t xml:space="preserve">Estrategia de documentación adoptada</w:t>
      </w:r>
      <w:r/>
      <w:bookmarkEnd w:id="62"/>
      <w:r/>
    </w:p>
    <w:p w14:paraId="000000F5">
      <w:pPr>
        <w:pBdr/>
        <w:spacing w:after="140" w:line="300" w:lineRule="auto"/>
        <w:ind/>
        <w:jc w:val="both"/>
        <w:rPr/>
      </w:pPr>
      <w:r>
        <w:rPr>
          <w:sz w:val="22"/>
          <w:szCs w:val="22"/>
          <w:rtl w:val="0"/>
        </w:rPr>
        <w:t xml:space="preserve">El SWEBOK describe tres estrategias de versionado y recomienda la híbrida. El equipo la adopta: las versiones menores del documento se emitirán de forma incremental, conteniendo únicamente las altas, bajas y modificaciones respecto de la anterior, mientras que las versiones mayores —como la 1.0— se emitirán de forma integral, conteniendo la totalidad de los requisitos vigentes. De este modo el lector nunca necesita retroceder más allá del último release mayor para reconstruir el estado completo de la especificación.</w:t>
      </w:r>
      <w:r>
        <w:rPr>
          <w:rtl w:val="0"/>
        </w:rPr>
      </w:r>
      <w:r/>
    </w:p>
    <w:p w14:paraId="000000F6">
      <w:pPr>
        <w:pBdr/>
        <w:spacing/>
        <w:ind/>
        <w:rPr/>
      </w:pPr>
      <w:r>
        <w:br w:type="page" w:clear="all"/>
      </w:r>
      <w:r>
        <w:rPr>
          <w:rtl w:val="0"/>
        </w:rPr>
      </w:r>
      <w:r/>
    </w:p>
    <w:p w14:paraId="000000F7">
      <w:pPr>
        <w:pStyle w:val="939"/>
        <w:pBdr/>
        <w:spacing w:after="140" w:before="260"/>
        <w:ind/>
        <w:rPr>
          <w:color w:val="000000" w:themeColor="text1"/>
        </w:rPr>
      </w:pPr>
      <w:r/>
      <w:bookmarkStart w:id="63" w:name="_Toc27"/>
      <w:r>
        <w:rPr>
          <w:color w:val="000000" w:themeColor="text1"/>
        </w:rPr>
      </w:r>
      <w:bookmarkStart w:id="29" w:name="_m3o8i5gsv0a"/>
      <w:r>
        <w:rPr>
          <w:color w:val="000000" w:themeColor="text1"/>
        </w:rPr>
      </w:r>
      <w:bookmarkEnd w:id="29"/>
      <w:r>
        <w:rPr>
          <w:b/>
          <w:bCs/>
          <w:color w:val="000000" w:themeColor="text1"/>
          <w:sz w:val="25"/>
          <w:szCs w:val="25"/>
          <w:rtl w:val="0"/>
        </w:rPr>
        <w:t xml:space="preserve">2.6 Concepto operacional (OpsCon)</w:t>
      </w:r>
      <w:r/>
      <w:bookmarkEnd w:id="63"/>
      <w:r/>
      <w:r>
        <w:rPr>
          <w:color w:val="000000" w:themeColor="text1"/>
        </w:rPr>
      </w:r>
    </w:p>
    <w:p w14:paraId="000000F8">
      <w:pPr>
        <w:pBdr/>
        <w:spacing w:after="140" w:line="300" w:lineRule="auto"/>
        <w:ind/>
        <w:jc w:val="both"/>
        <w:rPr/>
      </w:pPr>
      <w:r>
        <w:rPr>
          <w:sz w:val="22"/>
          <w:szCs w:val="22"/>
          <w:rtl w:val="0"/>
        </w:rPr>
        <w:t xml:space="preserve">Los dos escenarios siguientes materializan la técnica de descripción de escenarios de uso descrita en 2.4 y constituyen el puente entre las necesidades informales y los requisitos formales, conforme a la etapa 2 del flujo de transformación de ISO 29148.</w:t>
      </w:r>
      <w:r>
        <w:rPr>
          <w:rtl w:val="0"/>
        </w:rPr>
      </w:r>
      <w:r/>
    </w:p>
    <w:p w14:paraId="000000F9">
      <w:pPr>
        <w:pStyle w:val="940"/>
        <w:pBdr/>
        <w:spacing w:after="110" w:before="200"/>
        <w:ind/>
        <w:rPr>
          <w:color w:val="000000" w:themeColor="text1"/>
        </w:rPr>
      </w:pPr>
      <w:r/>
      <w:bookmarkStart w:id="64" w:name="_Toc28"/>
      <w:r/>
      <w:bookmarkStart w:id="30" w:name="_wjmchl4hwltd"/>
      <w:r/>
      <w:bookmarkEnd w:id="30"/>
      <w:r>
        <w:rPr>
          <w:b/>
          <w:bCs/>
          <w:color w:val="333333"/>
          <w:sz w:val="22"/>
          <w:szCs w:val="22"/>
          <w:rtl w:val="0"/>
        </w:rPr>
        <w:t xml:space="preserve">Escenario A — Reabastecimiento consolidado B2B (farmacia de El Viejo)</w:t>
      </w:r>
      <w:r/>
      <w:bookmarkEnd w:id="64"/>
      <w:r/>
      <w:r>
        <w:rPr>
          <w:color w:val="000000" w:themeColor="text1"/>
        </w:rPr>
      </w:r>
    </w:p>
    <w:p w14:paraId="000000FA">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la propietaria de una farmacia registra en su panel la necesidad recurrente de cien cajas de analgésicos genéricos y la guarda como plantilla para republicarla el mes siguiente sin volver a capturarla.</w:t>
      </w:r>
      <w:r>
        <w:rPr>
          <w:rtl w:val="0"/>
        </w:rPr>
      </w:r>
      <w:r/>
    </w:p>
    <w:p w14:paraId="000000FB">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el sistema consolida esa solicitud junto con las de otras farmacias del departamento en un bloque de demanda regional, alcanzando un volumen que resulta atractivo para un distribuidor mayorista.</w:t>
      </w:r>
      <w:r>
        <w:rPr>
          <w:rtl w:val="0"/>
        </w:rPr>
      </w:r>
      <w:r/>
    </w:p>
    <w:p w14:paraId="000000FC">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un distribuidor de Managua filtra las demandas activas por departamento y rango de volumen, e identifica el bloque consolidado de Chinandega.</w:t>
      </w:r>
      <w:r>
        <w:rPr>
          <w:rtl w:val="0"/>
        </w:rPr>
      </w:r>
      <w:r/>
    </w:p>
    <w:p w14:paraId="000000FD">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el distribuidor emite una cotización formal con precio descontado por volumen, plazo de entrega y vigencia de la oferta.</w:t>
      </w:r>
      <w:r>
        <w:rPr>
          <w:rtl w:val="0"/>
        </w:rPr>
      </w:r>
      <w:r/>
    </w:p>
    <w:p w14:paraId="000000FE">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la farmacéutica compara la cotización contra el histograma de precios de los últimos treinta días, la acepta, y el sistema habilita el chat privado y envía la notificación de adjudicación al móvil de ambas partes.</w:t>
      </w:r>
      <w:r>
        <w:rPr>
          <w:rtl w:val="0"/>
        </w:rPr>
      </w:r>
      <w:r/>
    </w:p>
    <w:p w14:paraId="000000FF">
      <w:pPr>
        <w:pBdr/>
        <w:spacing w:after="140" w:line="300" w:lineRule="auto"/>
        <w:ind/>
        <w:jc w:val="both"/>
        <w:rPr/>
      </w:pPr>
      <w:r>
        <w:rPr>
          <w:i/>
          <w:iCs/>
          <w:color w:val="555555"/>
          <w:rtl w:val="0"/>
        </w:rPr>
        <w:t xml:space="preserve">Requisitos derivados de este escenario: SYS-FN-09, SYS-FN-10, SYS-FN-11, SYS-FN-15, SYS-FN-18, SYS-FN-19, SYS-FN-21, SYS-FN-22 y SYS-FN-25.</w:t>
      </w:r>
      <w:r>
        <w:rPr>
          <w:rtl w:val="0"/>
        </w:rPr>
      </w:r>
      <w:r/>
    </w:p>
    <w:p w14:paraId="00000100">
      <w:pPr>
        <w:pStyle w:val="940"/>
        <w:pBdr/>
        <w:spacing w:after="110" w:before="200"/>
        <w:ind/>
        <w:rPr>
          <w:color w:val="000000" w:themeColor="text1"/>
        </w:rPr>
      </w:pPr>
      <w:r/>
      <w:bookmarkStart w:id="65" w:name="_Toc29"/>
      <w:r/>
      <w:bookmarkStart w:id="31" w:name="_mp81hshpyr64"/>
      <w:r/>
      <w:bookmarkEnd w:id="31"/>
      <w:r>
        <w:rPr>
          <w:b/>
          <w:bCs/>
          <w:color w:val="333333"/>
          <w:sz w:val="22"/>
          <w:szCs w:val="22"/>
          <w:rtl w:val="0"/>
        </w:rPr>
        <w:t xml:space="preserve">Escenario B — Conexión directa de excedentes agrícolas (finquero de Estelí)</w:t>
      </w:r>
      <w:r/>
      <w:bookmarkEnd w:id="65"/>
      <w:r/>
      <w:r>
        <w:rPr>
          <w:color w:val="000000" w:themeColor="text1"/>
        </w:rPr>
      </w:r>
    </w:p>
    <w:p w14:paraId="00000101">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un finquero registra que dispone de cincuenta quintales de frijol rojo tras una caída imprevista de compras en el mercado mayorista de Managua.</w:t>
      </w:r>
      <w:r>
        <w:rPr>
          <w:rtl w:val="0"/>
        </w:rPr>
      </w:r>
      <w:r/>
    </w:p>
    <w:p w14:paraId="00000102">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los pulperos de Chinandega y El Viejo visualizan la oferta en el canal agropecuario de excedentes de su panel de inicio.</w:t>
      </w:r>
      <w:r>
        <w:rPr>
          <w:rtl w:val="0"/>
        </w:rPr>
      </w:r>
      <w:r/>
    </w:p>
    <w:p w14:paraId="00000103">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un pulpero manifiesta interés formal; el sistema congela el ochenta por ciento del volumen a su favor durante cuarenta y ocho horas y habilita el chat interno.</w:t>
      </w:r>
      <w:r>
        <w:rPr>
          <w:rtl w:val="0"/>
        </w:rPr>
      </w:r>
      <w:r/>
    </w:p>
    <w:p w14:paraId="00000104">
      <w:pPr>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90" w:before="0" w:line="290" w:lineRule="auto"/>
        <w:ind w:right="0" w:hanging="288" w:left="504"/>
        <w:jc w:val="both"/>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ambas partes negocian directamente el costo del transporte de retorno y la fecha de entrega; al recibir la mercancía, el pulpero escanea el código QR de la transacción y ambos se evalúan mutuamente.</w:t>
      </w:r>
      <w:r>
        <w:rPr>
          <w:rtl w:val="0"/>
        </w:rPr>
      </w:r>
      <w:r/>
    </w:p>
    <w:p w14:paraId="00000105">
      <w:pPr>
        <w:pBdr/>
        <w:spacing w:after="140" w:line="300" w:lineRule="auto"/>
        <w:ind/>
        <w:jc w:val="both"/>
        <w:rPr/>
      </w:pPr>
      <w:r>
        <w:rPr>
          <w:i/>
          <w:iCs/>
          <w:color w:val="555555"/>
          <w:rtl w:val="0"/>
        </w:rPr>
        <w:t xml:space="preserve">Requisitos derivados de este escenario: SYS-FN-14, SYS-FN-16, SYS-FN-17, SYS-FN-20, SYS-FN-27, SYS-FN-28 y SYS-FN-29.</w:t>
      </w:r>
      <w:r>
        <w:rPr>
          <w:rtl w:val="0"/>
        </w:rPr>
      </w:r>
      <w:r/>
    </w:p>
    <w:p w14:paraId="00000106">
      <w:pPr>
        <w:pStyle w:val="939"/>
        <w:pBdr/>
        <w:spacing w:after="140" w:before="260"/>
        <w:ind/>
        <w:rPr>
          <w:color w:val="000000" w:themeColor="text1"/>
        </w:rPr>
      </w:pPr>
      <w:r/>
      <w:bookmarkStart w:id="66" w:name="_Toc30"/>
      <w:r>
        <w:rPr>
          <w:color w:val="000000" w:themeColor="text1"/>
        </w:rPr>
      </w:r>
      <w:bookmarkStart w:id="32" w:name="_mme49t1ao4xp"/>
      <w:r>
        <w:rPr>
          <w:color w:val="000000" w:themeColor="text1"/>
        </w:rPr>
      </w:r>
      <w:bookmarkEnd w:id="32"/>
      <w:r>
        <w:rPr>
          <w:b/>
          <w:bCs/>
          <w:color w:val="000000" w:themeColor="text1"/>
          <w:sz w:val="25"/>
          <w:szCs w:val="25"/>
          <w:rtl w:val="0"/>
        </w:rPr>
        <w:t xml:space="preserve">2.7 Organización del catálogo de requisitos</w:t>
      </w:r>
      <w:r/>
      <w:bookmarkEnd w:id="66"/>
      <w:r/>
      <w:r>
        <w:rPr>
          <w:color w:val="000000" w:themeColor="text1"/>
        </w:rPr>
      </w:r>
    </w:p>
    <w:p w14:paraId="00000107">
      <w:pPr>
        <w:pBdr/>
        <w:spacing w:after="140" w:line="300" w:lineRule="auto"/>
        <w:ind/>
        <w:jc w:val="both"/>
        <w:rPr/>
      </w:pPr>
      <w:r>
        <w:rPr>
          <w:sz w:val="22"/>
          <w:szCs w:val="22"/>
          <w:rtl w:val="0"/>
        </w:rPr>
        <w:t xml:space="preserve">El catálogo completo se presenta en la matriz de la sección 3. Los requisitos se identifican mediante un código único, inmutable y no reutilizable, conforme al atributo de identificación del apartado 5.2.8 de la norma. El prefijo SYS-FN designa un requisito funcional y SYS-NFN un requisito no funcional; la numeración es correlativa dentro de cada grupo y no se reasigna aunque un requisito sea retirado en versiones posteriores.</w:t>
      </w:r>
      <w:r>
        <w:rPr>
          <w:rtl w:val="0"/>
        </w:rPr>
      </w:r>
      <w:r/>
    </w:p>
    <w:p w14:paraId="00000108">
      <w:pPr>
        <w:pBdr/>
        <w:spacing w:after="140" w:line="300" w:lineRule="auto"/>
        <w:ind/>
        <w:jc w:val="both"/>
        <w:rPr/>
      </w:pPr>
      <w:r>
        <w:rPr>
          <w:sz w:val="22"/>
          <w:szCs w:val="22"/>
          <w:rtl w:val="0"/>
        </w:rPr>
        <w:t xml:space="preserve">Los requisitos funcionales se agrupan en nueve módulos de software mutuamente excluyentes, con las mismas denominaciones que emplea el documento 3: M1 Usuarios y validación, M2 Seguridad y sesiones, M3 Demandas y consolidación, M4 Ofertas e inventario, M5 Búsqueda y filtrado, M6 Cotizaciones y negociación, M7 Chat y alertas, M8 Reputación y logística, y M9 Administración, soporte y auditoría, que incluye la privacidad. La columna de módulo de la matriz conserva, junto a ese identificador, la etiqueta de dominio de cada requisito, como Calificaciones o Privacidad.</w:t>
      </w:r>
      <w:r/>
    </w:p>
    <w:p w14:paraId="496408C5">
      <w:pPr>
        <w:pBdr/>
        <w:spacing w:after="140" w:line="300" w:lineRule="auto"/>
        <w:ind/>
        <w:jc w:val="both"/>
        <w:rPr/>
      </w:pPr>
      <w:r>
        <w:rPr>
          <w:sz w:val="22"/>
          <w:szCs w:val="22"/>
          <w:rtl w:val="0"/>
        </w:rPr>
        <w:t xml:space="preserve">La prioridad se expresa mediante el esquema MoSCoW. Un requisito marcado como «Debe» es indispensable para la entrega del MVP; su ausencia dejaría una deficiencia que ningún otro requisito cubre, en los términos del criterio de necesidad de la norma. El método de verificación se codifica como T (prueba), I (inspección), A (análisis) o D (demostración), y cada requisito lleva asociado el criterio concreto que permitirá declararlo satisfecho.</w:t>
      </w:r>
      <w:r/>
    </w:p>
    <w:p w14:paraId="43F9F87A">
      <w:pPr>
        <w:pBdr/>
        <w:spacing w:after="140" w:line="300" w:lineRule="auto"/>
        <w:ind/>
        <w:jc w:val="both"/>
        <w:rPr/>
      </w:pPr>
      <w:r>
        <w:rPr>
          <w:sz w:val="22"/>
          <w:szCs w:val="22"/>
          <w:rtl w:val="0"/>
        </w:rPr>
      </w:r>
      <w:r/>
    </w:p>
    <w:p w14:paraId="00000109">
      <w:pPr>
        <w:pBdr/>
        <w:spacing w:after="140" w:line="300" w:lineRule="auto"/>
        <w:ind/>
        <w:jc w:val="both"/>
        <w:rPr/>
      </w:pPr>
      <w:r>
        <w:rPr>
          <w:sz w:val="22"/>
          <w:szCs w:val="22"/>
          <w:rtl w:val="0"/>
        </w:rPr>
        <w:t xml:space="preserve">**Nota sobre las tecnologías nombradas en el catálogo.** El criterio de libertad de implementación del apartado 5.2.5 de la norma prohíbe que un requisito imponga una solución técnica elegida por el equipo, pero no alcanza a las interfaces externas impuestas por el entorno ni a los estándares de cumplimiento obligatorio, que la propia norma reconoce como categorías legítimas de requisito. En consecuencia, las menciones tecnológicas del catálogo se clasifican así: WhatsApp Business API en SYS-FN-25 constituye una interfaz externa impuesta, porque es el canal de mensajería efectivamente utilizado por los comerciantes observados en campo y su sustitución alteraría la necesidad, no la solución; AES-256, TLS 1.3, OpenAPI 3.0, TOTP, WCAG 2.1 y los formatos CSV y XLSX son estándares verificables invocados como criterio de aceptación, no como diseño. Ninguna de estas menciones prejuzga la arquitectura interna del sistema, que se decide en el entregable siguiente.</w:t>
      </w:r>
      <w:r/>
    </w:p>
    <w:p w14:paraId="0000010A">
      <w:pPr>
        <w:pBdr/>
        <w:spacing w:after="140" w:line="300" w:lineRule="auto"/>
        <w:ind/>
        <w:jc w:val="both"/>
        <w:rPr/>
        <w:sectPr>
          <w:footerReference w:type="default" r:id="rId9"/>
          <w:footnotePr/>
          <w:endnotePr/>
          <w:type w:val="nextPage"/>
          <w:pgSz w:h="15840" w:orient="portrait" w:w="12240"/>
          <w:pgMar w:top="1080" w:right="1080" w:bottom="1080" w:left="1080" w:header="708" w:footer="708" w:gutter="0"/>
          <w:pgNumType w:start="1"/>
          <w:cols w:num="1" w:sep="0" w:space="1701" w:equalWidth="1"/>
        </w:sectPr>
      </w:pPr>
      <w:r>
        <w:rPr>
          <w:sz w:val="22"/>
          <w:szCs w:val="22"/>
        </w:rPr>
        <w:t xml:space="preserve">El esquema MoSCoW no solo prioriza: delimita el compromiso. El alcance comprometido para el Producto Mínimo Viable comprende las clases «Debe» (M) y «Debería» (S), que suman cuarenta y siete requisitos. La clase «Podría» (C), con seis requisitos, constituye holgura declarada y no forma parte del compromiso; su incorporación queda condicionada a la capacidad remanente al cierre del plan. Esta delimitación se enuncia aquí de forma expresa porque los documentos posteriores operan sobre ella.</w:t>
      </w:r>
      <w:r>
        <w:br w:type="page" w:clear="all"/>
      </w:r>
      <w:r>
        <w:rPr>
          <w:rtl w:val="0"/>
        </w:rPr>
      </w:r>
      <w:r/>
    </w:p>
    <w:p w14:paraId="0000010B">
      <w:pPr>
        <w:pStyle w:val="938"/>
        <w:pBdr/>
        <w:spacing w:after="180" w:before="320"/>
        <w:ind/>
        <w:rPr>
          <w:color w:val="000000" w:themeColor="text1"/>
        </w:rPr>
      </w:pPr>
      <w:r/>
      <w:bookmarkStart w:id="67" w:name="_Toc31"/>
      <w:r>
        <w:rPr>
          <w:color w:val="000000" w:themeColor="text1"/>
        </w:rPr>
      </w:r>
      <w:bookmarkStart w:id="33" w:name="_rx5vokere1ew"/>
      <w:r>
        <w:rPr>
          <w:color w:val="000000" w:themeColor="text1"/>
        </w:rPr>
      </w:r>
      <w:bookmarkEnd w:id="33"/>
      <w:r>
        <w:rPr>
          <w:b/>
          <w:bCs/>
          <w:color w:val="000000" w:themeColor="text1"/>
          <w:sz w:val="30"/>
          <w:szCs w:val="30"/>
          <w:rtl w:val="0"/>
        </w:rPr>
        <w:t xml:space="preserve">3. Matriz de Requerimientos</w:t>
      </w:r>
      <w:r/>
      <w:bookmarkEnd w:id="67"/>
      <w:r/>
      <w:r>
        <w:rPr>
          <w:color w:val="000000" w:themeColor="text1"/>
        </w:rPr>
      </w:r>
    </w:p>
    <w:p w14:paraId="0000010C">
      <w:pPr>
        <w:pBdr/>
        <w:spacing w:after="140" w:line="300" w:lineRule="auto"/>
        <w:ind/>
        <w:jc w:val="both"/>
        <w:rPr/>
      </w:pPr>
      <w:r>
        <w:rPr>
          <w:rtl w:val="0"/>
        </w:rPr>
        <w:t xml:space="preserve">La matriz consolida la totalidad de los requisitos del sistema con los ocho atributos descritos en la sección 2.5. Cada fila constituye una entidad trazable en dos direcciones: hacia arriba, mediante la columna de origen, que la vincula al objetivo de las partes interesadas que la justifica; y hacia abajo, mediante las columnas de método de verificación y criterio de aceptación, que la vinculan a la evidencia que permitirá declararla satisfecha.</w:t>
      </w:r>
      <w:r/>
    </w:p>
    <w:p w14:paraId="0000010D">
      <w:pPr>
        <w:pBdr/>
        <w:spacing w:after="60" w:line="300" w:lineRule="auto"/>
        <w:ind/>
        <w:jc w:val="both"/>
        <w:rPr/>
      </w:pPr>
      <w:r>
        <w:rPr>
          <w:b/>
          <w:bCs/>
          <w:rtl w:val="0"/>
        </w:rPr>
        <w:t xml:space="preserve">Leyenda de tipo: </w:t>
      </w:r>
      <w:r>
        <w:rPr>
          <w:rtl w:val="0"/>
        </w:rPr>
        <w:t xml:space="preserve">F = funcional · NF-Seg = seguridad · NF-Ren = rendimiento · NF-Esc = escalabilidad · NF-Usa = usabilidad · NF-Acc = accesibilidad · NF-Fia = fiabilidad · NF-Man = mantenibilidad · NF-Cum = cumplimiento normativo.</w:t>
      </w:r>
      <w:r/>
    </w:p>
    <w:p w14:paraId="0000010E">
      <w:pPr>
        <w:pBdr/>
        <w:spacing w:after="60" w:line="300" w:lineRule="auto"/>
        <w:ind/>
        <w:jc w:val="both"/>
        <w:rPr/>
      </w:pPr>
      <w:r>
        <w:rPr>
          <w:b/>
          <w:bCs/>
          <w:rtl w:val="0"/>
        </w:rPr>
        <w:t xml:space="preserve">Leyenda de prioridad (MoSCoW): </w:t>
      </w:r>
      <w:r>
        <w:rPr>
          <w:rtl w:val="0"/>
        </w:rPr>
        <w:t xml:space="preserve">Debe (M) = indispensable para el MVP · Debería (S) = importante, no bloqueante · Podría (C) = deseable si el calendario lo permite.</w:t>
      </w:r>
      <w:r/>
    </w:p>
    <w:p w14:paraId="0000010F">
      <w:pPr>
        <w:pBdr/>
        <w:spacing w:after="200" w:line="300" w:lineRule="auto"/>
        <w:ind/>
        <w:jc w:val="both"/>
        <w:rPr/>
      </w:pPr>
      <w:r>
        <w:rPr>
          <w:b/>
          <w:bCs/>
          <w:rtl w:val="0"/>
        </w:rPr>
        <w:t xml:space="preserve">Leyenda de método de verificación: </w:t>
      </w:r>
      <w:r>
        <w:rPr>
          <w:rtl w:val="0"/>
        </w:rPr>
        <w:t xml:space="preserve">T = prueba · I = inspección · A = análisis · D = demostración.</w:t>
      </w:r>
      <w:r/>
    </w:p>
    <w:tbl>
      <w:tblPr>
        <w:tblStyle w:val="949"/>
        <w:tblW w:w="14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7"/>
        <w:gridCol w:w="779"/>
        <w:gridCol w:w="4061"/>
        <w:gridCol w:w="619"/>
        <w:gridCol w:w="1239"/>
        <w:gridCol w:w="827"/>
        <w:gridCol w:w="1379"/>
        <w:gridCol w:w="480"/>
        <w:gridCol w:w="4169"/>
        <w:tblGridChange w:id="3">
          <w:tblGrid>
            <w:gridCol w:w="847"/>
            <w:gridCol w:w="779"/>
            <w:gridCol w:w="4061"/>
            <w:gridCol w:w="619"/>
            <w:gridCol w:w="1239"/>
            <w:gridCol w:w="827"/>
            <w:gridCol w:w="1379"/>
            <w:gridCol w:w="480"/>
            <w:gridCol w:w="4169"/>
          </w:tblGrid>
        </w:tblGridChange>
      </w:tblGrid>
      <w:tr>
        <w:trPr>
          <w:cantSplit w:val="false"/>
          <w:tblHeader/>
        </w:trPr>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0">
            <w:pPr>
              <w:pBdr/>
              <w:spacing w:line="230" w:lineRule="auto"/>
              <w:ind/>
              <w:jc w:val="center"/>
              <w:rPr/>
            </w:pPr>
            <w:r>
              <w:rPr>
                <w:b/>
                <w:bCs/>
                <w:color w:val="ffffff"/>
                <w:sz w:val="16"/>
                <w:szCs w:val="16"/>
                <w:rtl w:val="0"/>
              </w:rPr>
              <w:t xml:space="preserve">ID</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1">
            <w:pPr>
              <w:pBdr/>
              <w:spacing w:line="230" w:lineRule="auto"/>
              <w:ind/>
              <w:jc w:val="center"/>
              <w:rPr/>
            </w:pPr>
            <w:r>
              <w:rPr>
                <w:b/>
                <w:bCs/>
                <w:color w:val="ffffff"/>
                <w:sz w:val="16"/>
                <w:szCs w:val="16"/>
                <w:rtl w:val="0"/>
              </w:rPr>
              <w:t xml:space="preserve">Origen StRS</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2">
            <w:pPr>
              <w:pBdr/>
              <w:spacing w:line="230" w:lineRule="auto"/>
              <w:ind/>
              <w:jc w:val="center"/>
              <w:rPr/>
            </w:pPr>
            <w:r>
              <w:rPr>
                <w:b/>
                <w:bCs/>
                <w:color w:val="ffffff"/>
                <w:sz w:val="16"/>
                <w:szCs w:val="16"/>
                <w:rtl w:val="0"/>
              </w:rPr>
              <w:t xml:space="preserve">Enunciado del requisito</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3">
            <w:pPr>
              <w:pBdr/>
              <w:spacing w:line="230" w:lineRule="auto"/>
              <w:ind/>
              <w:jc w:val="center"/>
              <w:rPr/>
            </w:pPr>
            <w:r>
              <w:rPr>
                <w:b/>
                <w:bCs/>
                <w:color w:val="ffffff"/>
                <w:sz w:val="16"/>
                <w:szCs w:val="16"/>
                <w:rtl w:val="0"/>
              </w:rPr>
              <w:t xml:space="preserve">Tipo</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4">
            <w:pPr>
              <w:pBdr/>
              <w:spacing w:line="230" w:lineRule="auto"/>
              <w:ind/>
              <w:jc w:val="center"/>
              <w:rPr/>
            </w:pPr>
            <w:r>
              <w:rPr>
                <w:b/>
                <w:bCs/>
                <w:color w:val="ffffff"/>
                <w:sz w:val="16"/>
                <w:szCs w:val="16"/>
                <w:rtl w:val="0"/>
              </w:rPr>
              <w:t xml:space="preserve">Módulo o capa asignada</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5">
            <w:pPr>
              <w:pBdr/>
              <w:spacing w:line="230" w:lineRule="auto"/>
              <w:ind/>
              <w:jc w:val="center"/>
              <w:rPr/>
            </w:pPr>
            <w:r>
              <w:rPr>
                <w:b/>
                <w:bCs/>
                <w:color w:val="ffffff"/>
                <w:sz w:val="16"/>
                <w:szCs w:val="16"/>
                <w:rtl w:val="0"/>
              </w:rPr>
              <w:t xml:space="preserve">Prioridad</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6">
            <w:pPr>
              <w:pBdr/>
              <w:spacing w:line="230" w:lineRule="auto"/>
              <w:ind/>
              <w:jc w:val="center"/>
              <w:rPr/>
            </w:pPr>
            <w:r>
              <w:rPr>
                <w:b/>
                <w:bCs/>
                <w:color w:val="ffffff"/>
                <w:sz w:val="16"/>
                <w:szCs w:val="16"/>
                <w:rtl w:val="0"/>
              </w:rPr>
              <w:t xml:space="preserve">Técnica de elicitación</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7">
            <w:pPr>
              <w:pBdr/>
              <w:spacing w:line="230" w:lineRule="auto"/>
              <w:ind/>
              <w:jc w:val="center"/>
              <w:rPr/>
            </w:pPr>
            <w:r>
              <w:rPr>
                <w:b/>
                <w:bCs/>
                <w:color w:val="ffffff"/>
                <w:sz w:val="16"/>
                <w:szCs w:val="16"/>
                <w:rtl w:val="0"/>
              </w:rPr>
              <w:t xml:space="preserve">Ver.</w:t>
            </w:r>
            <w:r>
              <w:rPr>
                <w:rtl w:val="0"/>
              </w:rPr>
            </w:r>
            <w:r/>
          </w:p>
        </w:tc>
        <w:tc>
          <w:tcPr>
            <w:shd w:val="clear" w:color="000000" w:themeColor="text1" w:fill="000000" w:themeFill="text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18">
            <w:pPr>
              <w:pBdr/>
              <w:spacing w:line="230" w:lineRule="auto"/>
              <w:ind/>
              <w:jc w:val="center"/>
              <w:rPr/>
            </w:pPr>
            <w:r>
              <w:rPr>
                <w:b/>
                <w:bCs/>
                <w:color w:val="ffffff"/>
                <w:sz w:val="16"/>
                <w:szCs w:val="16"/>
                <w:rtl w:val="0"/>
              </w:rPr>
              <w:t xml:space="preserve">Criterio de aceptación / caso de prueba</w:t>
            </w:r>
            <w:r>
              <w:rPr>
                <w:rtl w:val="0"/>
              </w:rPr>
            </w:r>
            <w:r/>
          </w:p>
        </w:tc>
      </w:tr>
      <w:tr>
        <w:trPr>
          <w:cantSplit w:val="false"/>
        </w:trPr>
        <w:tc>
          <w:tcPr>
            <w:gridSpan w:val="9"/>
            <w:shd w:val="clear" w:color="auto" w:fill="d6e0f0"/>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Pr>
          <w:p w14:paraId="00000119">
            <w:pPr>
              <w:pBdr/>
              <w:spacing/>
              <w:ind/>
              <w:rPr>
                <w:color w:val="000000" w:themeColor="text1"/>
              </w:rPr>
            </w:pPr>
            <w:r>
              <w:rPr>
                <w:b/>
                <w:bCs/>
                <w:color w:val="000000" w:themeColor="text1"/>
                <w:sz w:val="17"/>
                <w:szCs w:val="17"/>
                <w:rtl w:val="0"/>
              </w:rPr>
              <w:t xml:space="preserve">A. REQUISITOS FUNCIONALES  (37 requisitos)</w:t>
            </w:r>
            <w:r>
              <w:rPr>
                <w:color w:val="000000" w:themeColor="text1"/>
              </w:rP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2">
            <w:pPr>
              <w:pBdr/>
              <w:spacing w:line="230" w:lineRule="auto"/>
              <w:ind/>
              <w:rPr/>
            </w:pPr>
            <w:r>
              <w:rPr>
                <w:b/>
                <w:bCs/>
                <w:sz w:val="15"/>
                <w:szCs w:val="15"/>
                <w:rtl w:val="0"/>
              </w:rPr>
              <w:t xml:space="preserve">SYS-FN-01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3">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4">
            <w:pPr>
              <w:pBdr/>
              <w:spacing w:line="230" w:lineRule="auto"/>
              <w:ind/>
              <w:jc w:val="both"/>
              <w:rPr/>
            </w:pPr>
            <w:r>
              <w:rPr>
                <w:sz w:val="15"/>
                <w:szCs w:val="15"/>
                <w:rtl w:val="0"/>
              </w:rPr>
              <w:t xml:space="preserve">El módulo de usuarios deberá permitir el registro de una cuenta comercial capturando razón social, número RUC, departamento, municipio y rubro comercial, rechazando el envío si algún campo obligatorio está vacío.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5">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6">
            <w:pPr>
              <w:pBdr/>
              <w:spacing w:line="230" w:lineRule="auto"/>
              <w:ind/>
              <w:rPr/>
            </w:pPr>
            <w:r>
              <w:rPr>
                <w:sz w:val="15"/>
                <w:szCs w:val="15"/>
                <w:rtl w:val="0"/>
              </w:rPr>
              <w:t xml:space="preserve">Usuarios (M1)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7">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8">
            <w:pPr>
              <w:pBdr/>
              <w:spacing w:line="230" w:lineRule="auto"/>
              <w:ind/>
              <w:rPr/>
            </w:pPr>
            <w:r>
              <w:rPr>
                <w:sz w:val="15"/>
                <w:szCs w:val="15"/>
                <w:rtl w:val="0"/>
              </w:rPr>
              <w:t xml:space="preserve">Observación / Entrevista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9">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A">
            <w:pPr>
              <w:pBdr/>
              <w:spacing w:line="230" w:lineRule="auto"/>
              <w:ind/>
              <w:jc w:val="both"/>
              <w:rPr/>
            </w:pPr>
            <w:r>
              <w:rPr>
                <w:sz w:val="15"/>
                <w:szCs w:val="15"/>
                <w:rtl w:val="0"/>
              </w:rPr>
              <w:t xml:space="preserve">CT-REG-01: Registrar cuenta con todos los campos válidos y verificar creación en estado 'Pendiente de validación'. Registrar con RUC vacío y verificar mensaje de error.</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B">
            <w:pPr>
              <w:pBdr/>
              <w:spacing w:line="230" w:lineRule="auto"/>
              <w:ind/>
              <w:rPr/>
            </w:pPr>
            <w:r>
              <w:rPr>
                <w:b/>
                <w:bCs/>
                <w:sz w:val="15"/>
                <w:szCs w:val="15"/>
                <w:rtl w:val="0"/>
              </w:rPr>
              <w:t xml:space="preserve">SYS-FN-02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C">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D">
            <w:pPr>
              <w:pBdr/>
              <w:spacing w:line="230" w:lineRule="auto"/>
              <w:ind/>
              <w:jc w:val="both"/>
              <w:rPr/>
            </w:pPr>
            <w:r>
              <w:rPr>
                <w:sz w:val="15"/>
                <w:szCs w:val="15"/>
                <w:rtl w:val="0"/>
              </w:rPr>
              <w:t xml:space="preserve">El módulo de usuarios deberá permitir la carga de un documento digitalizado del registro legal (Cédula RUC o patente municipal) en formato PDF o JPG, con un tamaño máximo de 5 MB por archivo.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E">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2F">
            <w:pPr>
              <w:pBdr/>
              <w:spacing w:line="230" w:lineRule="auto"/>
              <w:ind/>
              <w:rPr/>
            </w:pPr>
            <w:r>
              <w:rPr>
                <w:sz w:val="15"/>
                <w:szCs w:val="15"/>
                <w:rtl w:val="0"/>
              </w:rPr>
              <w:t xml:space="preserve">Usuarios (M1)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0">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1">
            <w:pPr>
              <w:pBdr/>
              <w:spacing w:line="230" w:lineRule="auto"/>
              <w:ind/>
              <w:rPr/>
            </w:pPr>
            <w:r>
              <w:rPr>
                <w:sz w:val="15"/>
                <w:szCs w:val="15"/>
                <w:rtl w:val="0"/>
              </w:rPr>
              <w:t xml:space="preserve">Análisis normativo</w:t>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2">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3">
            <w:pPr>
              <w:pBdr/>
              <w:spacing w:line="230" w:lineRule="auto"/>
              <w:ind/>
              <w:jc w:val="both"/>
              <w:rPr/>
            </w:pPr>
            <w:r>
              <w:rPr>
                <w:sz w:val="15"/>
                <w:szCs w:val="15"/>
                <w:rtl w:val="0"/>
              </w:rPr>
              <w:t xml:space="preserve">CT-REG-02: Cargar PDF de 4 MB y verificar aceptación. Cargar archivo de 8 MB y verificar rechazo con mensaje explicativo.</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4">
            <w:pPr>
              <w:pBdr/>
              <w:spacing w:line="230" w:lineRule="auto"/>
              <w:ind/>
              <w:rPr/>
            </w:pPr>
            <w:r>
              <w:rPr>
                <w:b/>
                <w:bCs/>
                <w:sz w:val="15"/>
                <w:szCs w:val="15"/>
                <w:rtl w:val="0"/>
              </w:rPr>
              <w:t xml:space="preserve">SYS-FN-03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5">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6">
            <w:pPr>
              <w:pBdr/>
              <w:spacing w:line="230" w:lineRule="auto"/>
              <w:ind/>
              <w:jc w:val="both"/>
              <w:rPr/>
            </w:pPr>
            <w:r>
              <w:rPr>
                <w:sz w:val="15"/>
                <w:szCs w:val="15"/>
                <w:rtl w:val="0"/>
              </w:rPr>
              <w:t xml:space="preserve">El panel del Administrador de la plataforma deberá permitir aprobar o rechazar cada solicitud de cuenta comercial, registrando el resultado y la justificación en la bitácora de auditoría.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7">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8">
            <w:pPr>
              <w:pBdr/>
              <w:spacing w:line="230" w:lineRule="auto"/>
              <w:ind/>
              <w:rPr/>
            </w:pPr>
            <w:r>
              <w:rPr>
                <w:sz w:val="15"/>
                <w:szCs w:val="15"/>
                <w:rtl w:val="0"/>
              </w:rPr>
              <w:t xml:space="preserve">Administración (M1 · M9)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9">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A">
            <w:pPr>
              <w:pBdr/>
              <w:spacing w:line="230" w:lineRule="auto"/>
              <w:ind/>
              <w:rPr/>
            </w:pPr>
            <w:r>
              <w:rPr>
                <w:sz w:val="15"/>
                <w:szCs w:val="15"/>
                <w:rtl w:val="0"/>
              </w:rPr>
              <w:t xml:space="preserve">Escenario de uso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B">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C">
            <w:pPr>
              <w:pBdr/>
              <w:spacing w:line="230" w:lineRule="auto"/>
              <w:ind/>
              <w:jc w:val="both"/>
              <w:rPr/>
            </w:pPr>
            <w:r>
              <w:rPr>
                <w:sz w:val="15"/>
                <w:szCs w:val="15"/>
                <w:rtl w:val="0"/>
              </w:rPr>
              <w:t xml:space="preserve">CT-ADM-03: Aprobar una cuenta y verificar cambio de estado a 'Activa'; rechazar otra y verificar registro del motivo en la bitácora.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D">
            <w:pPr>
              <w:pBdr/>
              <w:spacing w:line="230" w:lineRule="auto"/>
              <w:ind/>
              <w:rPr/>
            </w:pPr>
            <w:r>
              <w:rPr>
                <w:b/>
                <w:bCs/>
                <w:sz w:val="15"/>
                <w:szCs w:val="15"/>
                <w:rtl w:val="0"/>
              </w:rPr>
              <w:t xml:space="preserve">SYS-FN-04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E">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3F">
            <w:pPr>
              <w:pBdr/>
              <w:spacing w:line="230" w:lineRule="auto"/>
              <w:ind/>
              <w:jc w:val="both"/>
              <w:rPr/>
            </w:pPr>
            <w:r>
              <w:rPr>
                <w:sz w:val="15"/>
                <w:szCs w:val="15"/>
                <w:rtl w:val="0"/>
              </w:rPr>
              <w:t xml:space="preserve">El sistema de autenticación deberá conceder acceso al usuario mediante correo electrónico y contraseña, asignando el rol correspondiente (Comprador, Proveedor, Productor o Administrador de la plataforma) al iniciar la sesión.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0">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1">
            <w:pPr>
              <w:pBdr/>
              <w:spacing w:line="230" w:lineRule="auto"/>
              <w:ind/>
              <w:rPr/>
            </w:pPr>
            <w:r>
              <w:rPr>
                <w:sz w:val="15"/>
                <w:szCs w:val="15"/>
                <w:rtl w:val="0"/>
              </w:rPr>
              <w:t xml:space="preserve">Seguridad (M2)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2">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3">
            <w:pPr>
              <w:pBdr/>
              <w:spacing w:line="230" w:lineRule="auto"/>
              <w:ind/>
              <w:rPr/>
            </w:pPr>
            <w:r>
              <w:rPr>
                <w:sz w:val="15"/>
                <w:szCs w:val="15"/>
                <w:rtl w:val="0"/>
              </w:rPr>
              <w:t xml:space="preserve">Descomposición jerárquica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4">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5">
            <w:pPr>
              <w:pBdr/>
              <w:spacing w:line="230" w:lineRule="auto"/>
              <w:ind/>
              <w:jc w:val="both"/>
              <w:rPr/>
            </w:pPr>
            <w:r>
              <w:rPr>
                <w:sz w:val="15"/>
                <w:szCs w:val="15"/>
                <w:rtl w:val="0"/>
              </w:rPr>
              <w:t xml:space="preserve">CT-SEG-04: Iniciar sesión con cada uno de los cuatro roles y verificar que el panel mostrado corresponde al rol asignado.</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6">
            <w:pPr>
              <w:pBdr/>
              <w:spacing w:line="230" w:lineRule="auto"/>
              <w:ind/>
              <w:rPr/>
            </w:pPr>
            <w:r>
              <w:rPr>
                <w:b/>
                <w:bCs/>
                <w:sz w:val="15"/>
                <w:szCs w:val="15"/>
                <w:rtl w:val="0"/>
              </w:rPr>
              <w:t xml:space="preserve">SYS-FN-05</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7">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8">
            <w:pPr>
              <w:pBdr/>
              <w:spacing w:line="230" w:lineRule="auto"/>
              <w:ind/>
              <w:jc w:val="both"/>
              <w:rPr/>
            </w:pPr>
            <w:r>
              <w:rPr>
                <w:sz w:val="15"/>
                <w:szCs w:val="15"/>
                <w:rtl w:val="0"/>
              </w:rPr>
              <w:t xml:space="preserve">Cuando un usuario olvide su credencial de acceso, el sistema de autenticación deberá permitir la recuperación de la cuenta mediante el envío de un enlace temporal de restablecimiento al correo registrado, con una validez máxima de 15 minutos.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9">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A">
            <w:pPr>
              <w:pBdr/>
              <w:spacing w:line="230" w:lineRule="auto"/>
              <w:ind/>
              <w:rPr/>
            </w:pPr>
            <w:r>
              <w:rPr>
                <w:sz w:val="15"/>
                <w:szCs w:val="15"/>
                <w:rtl w:val="0"/>
              </w:rPr>
              <w:t xml:space="preserve">Seguridad (M2)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B">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C">
            <w:pPr>
              <w:pBdr/>
              <w:spacing w:line="230" w:lineRule="auto"/>
              <w:ind/>
              <w:rPr/>
            </w:pPr>
            <w:r>
              <w:rPr>
                <w:sz w:val="15"/>
                <w:szCs w:val="15"/>
                <w:rtl w:val="0"/>
              </w:rPr>
              <w:t xml:space="preserve">Benchmarking competitivo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D">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E">
            <w:pPr>
              <w:pBdr/>
              <w:spacing w:line="230" w:lineRule="auto"/>
              <w:ind/>
              <w:jc w:val="both"/>
              <w:rPr/>
            </w:pPr>
            <w:r>
              <w:rPr>
                <w:sz w:val="15"/>
                <w:szCs w:val="15"/>
                <w:rtl w:val="0"/>
              </w:rPr>
              <w:t xml:space="preserve">CT-SEG-05: Solicitar recuperación, usar el enlace antes de 15 min y verificar cambio de contraseña. Reintentar tras 16 min y verificar expiración.</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4F">
            <w:pPr>
              <w:pBdr/>
              <w:spacing w:line="230" w:lineRule="auto"/>
              <w:ind/>
              <w:rPr/>
            </w:pPr>
            <w:r>
              <w:rPr>
                <w:b/>
                <w:bCs/>
                <w:sz w:val="15"/>
                <w:szCs w:val="15"/>
                <w:rtl w:val="0"/>
              </w:rPr>
              <w:t xml:space="preserve">SYS-FN-06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0">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1">
            <w:pPr>
              <w:pBdr/>
              <w:spacing w:line="230" w:lineRule="auto"/>
              <w:ind/>
              <w:jc w:val="both"/>
              <w:rPr/>
            </w:pPr>
            <w:r>
              <w:rPr>
                <w:sz w:val="15"/>
                <w:szCs w:val="15"/>
                <w:rtl w:val="0"/>
              </w:rPr>
              <w:t xml:space="preserve">El módulo de seguridad deberá ofrecer al usuario comercial la opción de habilitar autenticación de dos factores mediante códigos TOTP para transacciones con valor superior a 1,500 USD.</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2">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3">
            <w:pPr>
              <w:pBdr/>
              <w:spacing w:line="230" w:lineRule="auto"/>
              <w:ind/>
              <w:rPr/>
            </w:pPr>
            <w:r>
              <w:rPr>
                <w:sz w:val="15"/>
                <w:szCs w:val="15"/>
                <w:rtl w:val="0"/>
              </w:rPr>
              <w:t xml:space="preserve">Seguridad (M2)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4">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5">
            <w:pPr>
              <w:pBdr/>
              <w:spacing w:line="230" w:lineRule="auto"/>
              <w:ind/>
              <w:rPr/>
            </w:pPr>
            <w:r>
              <w:rPr>
                <w:sz w:val="15"/>
                <w:szCs w:val="15"/>
                <w:rtl w:val="0"/>
              </w:rPr>
              <w:t xml:space="preserve">ISO/IEC 25010 (fuente no humana)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6">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7">
            <w:pPr>
              <w:pBdr/>
              <w:spacing w:line="230" w:lineRule="auto"/>
              <w:ind/>
              <w:jc w:val="both"/>
              <w:rPr/>
            </w:pPr>
            <w:r>
              <w:rPr>
                <w:sz w:val="15"/>
                <w:szCs w:val="15"/>
                <w:rtl w:val="0"/>
              </w:rPr>
              <w:t xml:space="preserve">CT-SEG-06: Habilitar 2FA, generar código TOTP válido y verificar acceso; introducir código expirado y verificar denegación.</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8">
            <w:pPr>
              <w:pBdr/>
              <w:spacing w:line="230" w:lineRule="auto"/>
              <w:ind/>
              <w:rPr/>
            </w:pPr>
            <w:r>
              <w:rPr>
                <w:b/>
                <w:bCs/>
                <w:sz w:val="15"/>
                <w:szCs w:val="15"/>
                <w:rtl w:val="0"/>
              </w:rPr>
              <w:t xml:space="preserve">SYS-FN-07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9">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A">
            <w:pPr>
              <w:pBdr/>
              <w:spacing w:line="230" w:lineRule="auto"/>
              <w:ind/>
              <w:jc w:val="both"/>
              <w:rPr/>
            </w:pPr>
            <w:r>
              <w:rPr>
                <w:sz w:val="15"/>
                <w:szCs w:val="15"/>
                <w:rtl w:val="0"/>
              </w:rPr>
              <w:t xml:space="preserve">El sistema de autenticación deberá bloquear temporalmente una cuenta durante 15 minutos después de 5 intentos fallidos consecutivos de inicio de sesión, notificando el bloqueo al correo registrado.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B">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C">
            <w:pPr>
              <w:pBdr/>
              <w:spacing w:line="230" w:lineRule="auto"/>
              <w:ind/>
              <w:rPr/>
            </w:pPr>
            <w:r>
              <w:rPr>
                <w:sz w:val="15"/>
                <w:szCs w:val="15"/>
                <w:rtl w:val="0"/>
              </w:rPr>
              <w:t xml:space="preserve">Seguridad (M2)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D">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E">
            <w:pPr>
              <w:pBdr/>
              <w:spacing w:line="230" w:lineRule="auto"/>
              <w:ind/>
              <w:rPr/>
            </w:pPr>
            <w:r>
              <w:rPr>
                <w:sz w:val="15"/>
                <w:szCs w:val="15"/>
                <w:rtl w:val="0"/>
              </w:rPr>
              <w:t xml:space="preserve">OWASP / 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5F">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0">
            <w:pPr>
              <w:pBdr/>
              <w:spacing w:line="230" w:lineRule="auto"/>
              <w:ind/>
              <w:jc w:val="both"/>
              <w:rPr/>
            </w:pPr>
            <w:r>
              <w:rPr>
                <w:sz w:val="15"/>
                <w:szCs w:val="15"/>
                <w:rtl w:val="0"/>
              </w:rPr>
              <w:t xml:space="preserve">CT-SEG-07: Ejecutar 5 intentos fallidos y verificar bloqueo de 15 min más el correo de notificación al titular.</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1">
            <w:pPr>
              <w:pBdr/>
              <w:spacing w:line="230" w:lineRule="auto"/>
              <w:ind/>
              <w:rPr/>
            </w:pPr>
            <w:r>
              <w:rPr>
                <w:b/>
                <w:bCs/>
                <w:sz w:val="15"/>
                <w:szCs w:val="15"/>
                <w:rtl w:val="0"/>
              </w:rPr>
              <w:t xml:space="preserve">SYS-FN-08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2">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3">
            <w:pPr>
              <w:pBdr/>
              <w:spacing w:line="230" w:lineRule="auto"/>
              <w:ind/>
              <w:jc w:val="both"/>
              <w:rPr/>
            </w:pPr>
            <w:r>
              <w:rPr>
                <w:sz w:val="15"/>
                <w:szCs w:val="15"/>
                <w:rtl w:val="0"/>
              </w:rPr>
              <w:t xml:space="preserve">El sistema de autenticación deberá limitar las sesiones activas a un máximo de dos dispositivos por cuenta comercial, invalidando automáticamente la sesión más antigua al excederse el límite.</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4">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5">
            <w:pPr>
              <w:pBdr/>
              <w:spacing w:line="230" w:lineRule="auto"/>
              <w:ind/>
              <w:rPr/>
            </w:pPr>
            <w:r>
              <w:rPr>
                <w:sz w:val="15"/>
                <w:szCs w:val="15"/>
                <w:rtl w:val="0"/>
              </w:rPr>
              <w:t xml:space="preserve">Seguridad (M2)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6">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7">
            <w:pPr>
              <w:pBdr/>
              <w:spacing w:line="230" w:lineRule="auto"/>
              <w:ind/>
              <w:rPr/>
            </w:pPr>
            <w:r>
              <w:rPr>
                <w:sz w:val="15"/>
                <w:szCs w:val="15"/>
                <w:rtl w:val="0"/>
              </w:rPr>
              <w:t xml:space="preserve">Lluvia de ideas del equipo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8">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9">
            <w:pPr>
              <w:pBdr/>
              <w:spacing w:line="230" w:lineRule="auto"/>
              <w:ind/>
              <w:jc w:val="both"/>
              <w:rPr/>
            </w:pPr>
            <w:r>
              <w:rPr>
                <w:sz w:val="15"/>
                <w:szCs w:val="15"/>
                <w:rtl w:val="0"/>
              </w:rPr>
              <w:t xml:space="preserve">CT-SEG-08: Iniciar sesión en tres dispositivos y verificar que la primera sesión queda invalidada.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A">
            <w:pPr>
              <w:pBdr/>
              <w:spacing w:line="230" w:lineRule="auto"/>
              <w:ind/>
              <w:rPr/>
            </w:pPr>
            <w:r>
              <w:rPr>
                <w:b/>
                <w:bCs/>
                <w:sz w:val="15"/>
                <w:szCs w:val="15"/>
                <w:rtl w:val="0"/>
              </w:rPr>
              <w:t xml:space="preserve">SYS-FN-09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B">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C">
            <w:pPr>
              <w:pBdr/>
              <w:spacing w:line="230" w:lineRule="auto"/>
              <w:ind/>
              <w:jc w:val="both"/>
              <w:rPr/>
            </w:pPr>
            <w:r>
              <w:rPr>
                <w:sz w:val="15"/>
                <w:szCs w:val="15"/>
                <w:rtl w:val="0"/>
              </w:rPr>
              <w:t xml:space="preserve">El panel del Comprador deberá permitir publicar un bloque de demanda especificando categoría, producto, volumen requerido, unidad de medida y fecha límite de abastecimiento.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D">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E">
            <w:pPr>
              <w:pBdr/>
              <w:spacing w:line="230" w:lineRule="auto"/>
              <w:ind/>
              <w:rPr/>
            </w:pPr>
            <w:r>
              <w:rPr>
                <w:sz w:val="15"/>
                <w:szCs w:val="15"/>
                <w:rtl w:val="0"/>
              </w:rPr>
              <w:t xml:space="preserve">Demandas (M3)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6F">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0">
            <w:pPr>
              <w:pBdr/>
              <w:spacing w:line="230" w:lineRule="auto"/>
              <w:ind/>
              <w:rPr/>
            </w:pPr>
            <w:r>
              <w:rPr>
                <w:sz w:val="15"/>
                <w:szCs w:val="15"/>
                <w:rtl w:val="0"/>
              </w:rPr>
              <w:t xml:space="preserve">Observación contextual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1">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2">
            <w:pPr>
              <w:pBdr/>
              <w:spacing w:line="230" w:lineRule="auto"/>
              <w:ind/>
              <w:jc w:val="both"/>
              <w:rPr/>
            </w:pPr>
            <w:r>
              <w:rPr>
                <w:sz w:val="15"/>
                <w:szCs w:val="15"/>
                <w:rtl w:val="0"/>
              </w:rPr>
              <w:t xml:space="preserve">CT-DEM-09: Publicar una demanda de '100 cajas de analgésicos genéricos' y verificar su visibilidad en el panel del Proveedor.</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3">
            <w:pPr>
              <w:pBdr/>
              <w:spacing w:line="230" w:lineRule="auto"/>
              <w:ind/>
              <w:rPr/>
            </w:pPr>
            <w:r>
              <w:rPr>
                <w:b/>
                <w:bCs/>
                <w:sz w:val="15"/>
                <w:szCs w:val="15"/>
                <w:rtl w:val="0"/>
              </w:rPr>
              <w:t xml:space="preserve">SYS-FN-10</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4">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5">
            <w:pPr>
              <w:pBdr/>
              <w:spacing w:line="230" w:lineRule="auto"/>
              <w:ind/>
              <w:jc w:val="both"/>
              <w:rPr/>
            </w:pPr>
            <w:r>
              <w:rPr>
                <w:sz w:val="15"/>
                <w:szCs w:val="15"/>
                <w:rtl w:val="0"/>
              </w:rPr>
              <w:t xml:space="preserve">El panel del Comprador deberá permitir guardar un bloque de demanda como plantilla reutilizable, de modo que pueda republicarse posteriormente sin volver a capturar los datos.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6">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7">
            <w:pPr>
              <w:pBdr/>
              <w:spacing w:line="230" w:lineRule="auto"/>
              <w:ind/>
              <w:rPr/>
            </w:pPr>
            <w:r>
              <w:rPr>
                <w:sz w:val="15"/>
                <w:szCs w:val="15"/>
                <w:rtl w:val="0"/>
              </w:rPr>
              <w:t xml:space="preserve">Demandas (M3)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8">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9">
            <w:pPr>
              <w:pBdr/>
              <w:spacing w:line="230" w:lineRule="auto"/>
              <w:ind/>
              <w:rPr/>
            </w:pPr>
            <w:r>
              <w:rPr>
                <w:sz w:val="15"/>
                <w:szCs w:val="15"/>
                <w:rtl w:val="0"/>
              </w:rPr>
              <w:t xml:space="preserve">Observación contextual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A">
            <w:pPr>
              <w:pBdr/>
              <w:spacing w:line="230" w:lineRule="auto"/>
              <w:ind/>
              <w:jc w:val="center"/>
              <w:rPr/>
            </w:pPr>
            <w:r>
              <w:rPr>
                <w:b/>
                <w:bCs/>
                <w:sz w:val="15"/>
                <w:szCs w:val="15"/>
                <w:rtl w:val="0"/>
              </w:rPr>
              <w:t xml:space="preserve">D</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B">
            <w:pPr>
              <w:pBdr/>
              <w:spacing w:line="230" w:lineRule="auto"/>
              <w:ind/>
              <w:jc w:val="both"/>
              <w:rPr/>
            </w:pPr>
            <w:r>
              <w:rPr>
                <w:sz w:val="15"/>
                <w:szCs w:val="15"/>
                <w:rtl w:val="0"/>
              </w:rPr>
              <w:t xml:space="preserve">Demostración: guardar plantilla, republicar desde ella y verificar que los campos se precargan idénticos al original.</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C">
            <w:pPr>
              <w:pBdr/>
              <w:spacing w:line="230" w:lineRule="auto"/>
              <w:ind/>
              <w:rPr/>
            </w:pPr>
            <w:r>
              <w:rPr>
                <w:b/>
                <w:bCs/>
                <w:sz w:val="15"/>
                <w:szCs w:val="15"/>
                <w:rtl w:val="0"/>
              </w:rPr>
              <w:t xml:space="preserve">SYS-FN-11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D">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E">
            <w:pPr>
              <w:pBdr/>
              <w:spacing w:line="230" w:lineRule="auto"/>
              <w:ind/>
              <w:jc w:val="both"/>
              <w:rPr/>
            </w:pPr>
            <w:r>
              <w:rPr>
                <w:sz w:val="15"/>
                <w:szCs w:val="15"/>
                <w:rtl w:val="0"/>
              </w:rPr>
              <w:t xml:space="preserve">El motor de agrupación deberá consolidar automáticamente las demandas individuales que compartan categoría y departamento en un único bloque de demanda regional, mostrando el volumen agregado.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7F">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0">
            <w:pPr>
              <w:pBdr/>
              <w:spacing w:line="230" w:lineRule="auto"/>
              <w:ind/>
              <w:rPr/>
            </w:pPr>
            <w:r>
              <w:rPr>
                <w:sz w:val="15"/>
                <w:szCs w:val="15"/>
                <w:rtl w:val="0"/>
              </w:rPr>
              <w:t xml:space="preserve">Demandas (M3)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1">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2">
            <w:pPr>
              <w:pBdr/>
              <w:spacing w:line="230" w:lineRule="auto"/>
              <w:ind/>
              <w:rPr/>
            </w:pPr>
            <w:r>
              <w:rPr>
                <w:sz w:val="15"/>
                <w:szCs w:val="15"/>
                <w:rtl w:val="0"/>
              </w:rPr>
              <w:t xml:space="preserve">Escenario de uso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3">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4">
            <w:pPr>
              <w:pBdr/>
              <w:spacing w:line="230" w:lineRule="auto"/>
              <w:ind/>
              <w:jc w:val="both"/>
              <w:rPr/>
            </w:pPr>
            <w:r>
              <w:rPr>
                <w:sz w:val="15"/>
                <w:szCs w:val="15"/>
                <w:rtl w:val="0"/>
              </w:rPr>
              <w:t xml:space="preserve">CT-DEM-11: Publicar tres demandas de la misma categoría en Chinandega y verificar la creación de un bloque con el volumen sumado.</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5">
            <w:pPr>
              <w:pBdr/>
              <w:spacing w:line="230" w:lineRule="auto"/>
              <w:ind/>
              <w:rPr/>
            </w:pPr>
            <w:r>
              <w:rPr>
                <w:b/>
                <w:bCs/>
                <w:sz w:val="15"/>
                <w:szCs w:val="15"/>
                <w:rtl w:val="0"/>
              </w:rPr>
              <w:t xml:space="preserve">SYS-FN-12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6">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7">
            <w:pPr>
              <w:pBdr/>
              <w:spacing w:line="230" w:lineRule="auto"/>
              <w:ind/>
              <w:jc w:val="both"/>
              <w:rPr/>
            </w:pPr>
            <w:r>
              <w:rPr>
                <w:sz w:val="15"/>
                <w:szCs w:val="15"/>
                <w:rtl w:val="0"/>
              </w:rPr>
              <w:t xml:space="preserve">El módulo de demandas deberá asignar automáticamente una fecha de expiración de 15 días naturales a cada bloque publicado, tras la cual el estado cambiará a 'Expirado' y quedará excluido de la búsqueda activa.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8">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9">
            <w:pPr>
              <w:pBdr/>
              <w:spacing w:line="230" w:lineRule="auto"/>
              <w:ind/>
              <w:rPr/>
            </w:pPr>
            <w:r>
              <w:rPr>
                <w:sz w:val="15"/>
                <w:szCs w:val="15"/>
                <w:rtl w:val="0"/>
              </w:rPr>
              <w:t xml:space="preserve">Demandas (M3)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A">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B">
            <w:pPr>
              <w:pBdr/>
              <w:spacing w:line="230" w:lineRule="auto"/>
              <w:ind/>
              <w:rPr/>
            </w:pPr>
            <w:r>
              <w:rPr>
                <w:sz w:val="15"/>
                <w:szCs w:val="15"/>
                <w:rtl w:val="0"/>
              </w:rPr>
              <w:t xml:space="preserve">Lluvia de ideas del equipo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C">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D">
            <w:pPr>
              <w:pBdr/>
              <w:spacing w:line="230" w:lineRule="auto"/>
              <w:ind/>
              <w:jc w:val="both"/>
              <w:rPr/>
            </w:pPr>
            <w:r>
              <w:rPr>
                <w:sz w:val="15"/>
                <w:szCs w:val="15"/>
                <w:rtl w:val="0"/>
              </w:rPr>
              <w:t xml:space="preserve">CT-DEM-12: Crear demanda, avanzar el reloj del sistema 15 días y verificar estado 'Expirado' y ausencia en resultados de búsqueda.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E">
            <w:pPr>
              <w:pBdr/>
              <w:spacing w:line="230" w:lineRule="auto"/>
              <w:ind/>
              <w:rPr/>
            </w:pPr>
            <w:r>
              <w:rPr>
                <w:b/>
                <w:bCs/>
                <w:sz w:val="15"/>
                <w:szCs w:val="15"/>
                <w:rtl w:val="0"/>
              </w:rPr>
              <w:t xml:space="preserve">SYS-FN-13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8F">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0">
            <w:pPr>
              <w:pBdr/>
              <w:spacing w:line="230" w:lineRule="auto"/>
              <w:ind/>
              <w:jc w:val="both"/>
              <w:rPr/>
            </w:pPr>
            <w:r>
              <w:rPr>
                <w:sz w:val="15"/>
                <w:szCs w:val="15"/>
                <w:rtl w:val="0"/>
              </w:rPr>
              <w:t xml:space="preserve">El panel del Comprador deberá permitir configurar la renovación automática de los bloques de demanda expirados con una frecuencia seleccionable entre diaria, semanal o quincenal.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1">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2">
            <w:pPr>
              <w:pBdr/>
              <w:spacing w:line="230" w:lineRule="auto"/>
              <w:ind/>
              <w:rPr/>
            </w:pPr>
            <w:r>
              <w:rPr>
                <w:sz w:val="15"/>
                <w:szCs w:val="15"/>
                <w:rtl w:val="0"/>
              </w:rPr>
              <w:t xml:space="preserve">Demandas (M3)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3">
            <w:pPr>
              <w:pBdr/>
              <w:spacing w:line="230" w:lineRule="auto"/>
              <w:ind/>
              <w:jc w:val="center"/>
              <w:rPr/>
            </w:pPr>
            <w:r>
              <w:rPr>
                <w:sz w:val="15"/>
                <w:szCs w:val="15"/>
                <w:rtl w:val="0"/>
              </w:rPr>
              <w:t xml:space="preserve">Podría (C)</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4">
            <w:pPr>
              <w:pBdr/>
              <w:spacing w:line="230" w:lineRule="auto"/>
              <w:ind/>
              <w:rPr/>
            </w:pPr>
            <w:r>
              <w:rPr>
                <w:sz w:val="15"/>
                <w:szCs w:val="15"/>
                <w:rtl w:val="0"/>
              </w:rPr>
              <w:t xml:space="preserve">Observación contextual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5">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6">
            <w:pPr>
              <w:pBdr/>
              <w:spacing w:line="230" w:lineRule="auto"/>
              <w:ind/>
              <w:jc w:val="both"/>
              <w:rPr/>
            </w:pPr>
            <w:r>
              <w:rPr>
                <w:sz w:val="15"/>
                <w:szCs w:val="15"/>
                <w:rtl w:val="0"/>
              </w:rPr>
              <w:t xml:space="preserve">CT-DEM-13: Configurar renovación semanal, forzar la expiración y verificar la republicación automática del bloque.</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7">
            <w:pPr>
              <w:pBdr/>
              <w:spacing w:line="230" w:lineRule="auto"/>
              <w:ind/>
              <w:rPr/>
            </w:pPr>
            <w:r>
              <w:rPr>
                <w:b/>
                <w:bCs/>
                <w:sz w:val="15"/>
                <w:szCs w:val="15"/>
                <w:rtl w:val="0"/>
              </w:rPr>
              <w:t xml:space="preserve">SYS-FN-14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8">
            <w:pPr>
              <w:pBdr/>
              <w:spacing w:line="230" w:lineRule="auto"/>
              <w:ind/>
              <w:jc w:val="center"/>
              <w:rPr/>
            </w:pPr>
            <w:r>
              <w:rPr>
                <w:sz w:val="15"/>
                <w:szCs w:val="15"/>
                <w:rtl w:val="0"/>
              </w:rPr>
              <w:t xml:space="preserve">O-StRS-01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9">
            <w:pPr>
              <w:pBdr/>
              <w:spacing w:line="230" w:lineRule="auto"/>
              <w:ind/>
              <w:jc w:val="both"/>
              <w:rPr/>
            </w:pPr>
            <w:r>
              <w:rPr>
                <w:sz w:val="15"/>
                <w:szCs w:val="15"/>
                <w:rtl w:val="0"/>
              </w:rPr>
              <w:t xml:space="preserve">El panel del Productor deberá permitir publicar un excedente agrícola indicando rubro, volumen en quintales, calidad declarada y municipio de origen de la mercancía.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A">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B">
            <w:pPr>
              <w:pBdr/>
              <w:spacing w:line="230" w:lineRule="auto"/>
              <w:ind/>
              <w:rPr/>
            </w:pPr>
            <w:r>
              <w:rPr>
                <w:sz w:val="15"/>
                <w:szCs w:val="15"/>
                <w:rtl w:val="0"/>
              </w:rPr>
              <w:t xml:space="preserve">Ofertas (M4)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C">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D">
            <w:pPr>
              <w:pBdr/>
              <w:spacing w:line="230" w:lineRule="auto"/>
              <w:ind/>
              <w:rPr/>
            </w:pPr>
            <w:r>
              <w:rPr>
                <w:sz w:val="15"/>
                <w:szCs w:val="15"/>
                <w:rtl w:val="0"/>
              </w:rPr>
              <w:t xml:space="preserve">Entrevista semiestructurada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E">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9F">
            <w:pPr>
              <w:pBdr/>
              <w:spacing w:line="230" w:lineRule="auto"/>
              <w:ind/>
              <w:jc w:val="both"/>
              <w:rPr/>
            </w:pPr>
            <w:r>
              <w:rPr>
                <w:sz w:val="15"/>
                <w:szCs w:val="15"/>
                <w:rtl w:val="0"/>
              </w:rPr>
              <w:t xml:space="preserve">CT-OFR-14: Publicar 50 quintales de frijol rojo desde Estelí y verificar su aparición en el canal agropecuario de excedentes.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0">
            <w:pPr>
              <w:pBdr/>
              <w:spacing w:line="230" w:lineRule="auto"/>
              <w:ind/>
              <w:rPr/>
            </w:pPr>
            <w:r>
              <w:rPr>
                <w:b/>
                <w:bCs/>
                <w:sz w:val="15"/>
                <w:szCs w:val="15"/>
                <w:rtl w:val="0"/>
              </w:rPr>
              <w:t xml:space="preserve">SYS-FN-15</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1">
            <w:pPr>
              <w:pBdr/>
              <w:spacing w:line="230" w:lineRule="auto"/>
              <w:ind/>
              <w:jc w:val="center"/>
              <w:rPr/>
            </w:pPr>
            <w:r>
              <w:rPr>
                <w:sz w:val="15"/>
                <w:szCs w:val="15"/>
                <w:rtl w:val="0"/>
              </w:rPr>
              <w:t xml:space="preserve">O-StRS-01 / O-StRS-03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2">
            <w:pPr>
              <w:pBdr/>
              <w:spacing w:line="230" w:lineRule="auto"/>
              <w:ind/>
              <w:jc w:val="both"/>
              <w:rPr/>
            </w:pPr>
            <w:r>
              <w:rPr>
                <w:sz w:val="15"/>
                <w:szCs w:val="15"/>
                <w:rtl w:val="0"/>
              </w:rPr>
              <w:t xml:space="preserve">El motor de búsqueda deberá permitir filtrar demandas y ofertas activas por departamento, municipio, categoría comercial y rango de volumen, combinando los cuatro criterios de forma simultánea.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3">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4">
            <w:pPr>
              <w:pBdr/>
              <w:spacing w:line="230" w:lineRule="auto"/>
              <w:ind/>
              <w:rPr/>
            </w:pPr>
            <w:r>
              <w:rPr>
                <w:sz w:val="15"/>
                <w:szCs w:val="15"/>
                <w:rtl w:val="0"/>
              </w:rPr>
              <w:t xml:space="preserve">Búsqueda (M5)</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5">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6">
            <w:pPr>
              <w:pBdr/>
              <w:spacing w:line="230" w:lineRule="auto"/>
              <w:ind/>
              <w:rPr/>
            </w:pPr>
            <w:r>
              <w:rPr>
                <w:sz w:val="15"/>
                <w:szCs w:val="15"/>
                <w:rtl w:val="0"/>
              </w:rPr>
              <w:t xml:space="preserve">Escenario de uso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7">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8">
            <w:pPr>
              <w:pBdr/>
              <w:spacing w:line="230" w:lineRule="auto"/>
              <w:ind/>
              <w:jc w:val="both"/>
              <w:rPr/>
            </w:pPr>
            <w:r>
              <w:rPr>
                <w:sz w:val="15"/>
                <w:szCs w:val="15"/>
                <w:rtl w:val="0"/>
              </w:rPr>
              <w:t xml:space="preserve">CT-BUS-15: Aplicar los cuatro filtros de forma combinada y verificar que todos los resultados devueltos los satisfacen.</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9">
            <w:pPr>
              <w:pBdr/>
              <w:spacing w:line="230" w:lineRule="auto"/>
              <w:ind/>
              <w:rPr/>
            </w:pPr>
            <w:r>
              <w:rPr>
                <w:b/>
                <w:bCs/>
                <w:sz w:val="15"/>
                <w:szCs w:val="15"/>
                <w:rtl w:val="0"/>
              </w:rPr>
              <w:t xml:space="preserve">SYS-FN-16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A">
            <w:pPr>
              <w:pBdr/>
              <w:spacing w:line="230" w:lineRule="auto"/>
              <w:ind/>
              <w:jc w:val="center"/>
              <w:rPr/>
            </w:pPr>
            <w:r>
              <w:rPr>
                <w:sz w:val="15"/>
                <w:szCs w:val="15"/>
                <w:rtl w:val="0"/>
              </w:rPr>
              <w:t xml:space="preserve">O-StRS-01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B">
            <w:pPr>
              <w:pBdr/>
              <w:spacing w:line="230" w:lineRule="auto"/>
              <w:ind/>
              <w:jc w:val="both"/>
              <w:rPr/>
            </w:pPr>
            <w:r>
              <w:rPr>
                <w:sz w:val="15"/>
                <w:szCs w:val="15"/>
                <w:rtl w:val="0"/>
              </w:rPr>
              <w:t xml:space="preserve">Cuando un comprador manifieste interés formal sobre una oferta de excedente, el módulo de ofertas deberá reservar automáticamente hasta el 80% del volumen publicado a su favor durante un período de gracia de 48 horas, marcando el volumen reservado como no disponible en las búsquedas y notificando la reserva al productor.</w:t>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C">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D">
            <w:pPr>
              <w:pBdr/>
              <w:spacing w:line="230" w:lineRule="auto"/>
              <w:ind/>
              <w:rPr/>
            </w:pPr>
            <w:r>
              <w:rPr>
                <w:sz w:val="15"/>
                <w:szCs w:val="15"/>
                <w:rtl w:val="0"/>
              </w:rPr>
              <w:t xml:space="preserve">Ofertas (M4)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E">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AF">
            <w:pPr>
              <w:pBdr/>
              <w:spacing w:line="230" w:lineRule="auto"/>
              <w:ind/>
              <w:rPr/>
            </w:pPr>
            <w:r>
              <w:rPr>
                <w:sz w:val="15"/>
                <w:szCs w:val="15"/>
                <w:rtl w:val="0"/>
              </w:rPr>
              <w:t xml:space="preserve">Entrevista semiestructurada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0">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1">
            <w:pPr>
              <w:pBdr/>
              <w:spacing w:line="230" w:lineRule="auto"/>
              <w:ind/>
              <w:jc w:val="both"/>
              <w:rPr/>
            </w:pPr>
            <w:r>
              <w:rPr>
                <w:sz w:val="15"/>
                <w:szCs w:val="15"/>
                <w:rtl w:val="0"/>
              </w:rPr>
              <w:t xml:space="preserve">CT-OFR-16: Manifestar interés formal sobre una oferta de 50 quintales y verificar que el sistema reserva automáticamente 40 quintales, que el volumen reservado aparece como no disponible en las búsquedas y que el productor recibe la notificación de reserva.</w:t>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2">
            <w:pPr>
              <w:pBdr/>
              <w:spacing w:line="230" w:lineRule="auto"/>
              <w:ind/>
              <w:rPr/>
            </w:pPr>
            <w:r>
              <w:rPr>
                <w:b/>
                <w:bCs/>
                <w:sz w:val="15"/>
                <w:szCs w:val="15"/>
                <w:rtl w:val="0"/>
              </w:rPr>
              <w:t xml:space="preserve">SYS-FN-17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3">
            <w:pPr>
              <w:pBdr/>
              <w:spacing w:line="230" w:lineRule="auto"/>
              <w:ind/>
              <w:jc w:val="center"/>
              <w:rPr/>
            </w:pPr>
            <w:r>
              <w:rPr>
                <w:sz w:val="15"/>
                <w:szCs w:val="15"/>
                <w:rtl w:val="0"/>
              </w:rPr>
              <w:t xml:space="preserve">O-StRS-01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4">
            <w:pPr>
              <w:pBdr/>
              <w:spacing w:line="230" w:lineRule="auto"/>
              <w:ind/>
              <w:jc w:val="both"/>
              <w:rPr/>
            </w:pPr>
            <w:r>
              <w:rPr>
                <w:sz w:val="15"/>
                <w:szCs w:val="15"/>
                <w:rtl w:val="0"/>
              </w:rPr>
              <w:t xml:space="preserve">El módulo de ofertas deberá liberar automáticamente el inventario congelado que no reciba una confirmación de compra dentro de las 48 horas posteriores a la manifestación de interés, retornándolo al estado disponible.</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5">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6">
            <w:pPr>
              <w:pBdr/>
              <w:spacing w:line="230" w:lineRule="auto"/>
              <w:ind/>
              <w:rPr/>
            </w:pPr>
            <w:r>
              <w:rPr>
                <w:sz w:val="15"/>
                <w:szCs w:val="15"/>
                <w:rtl w:val="0"/>
              </w:rPr>
              <w:t xml:space="preserve">Ofertas (M4)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7">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8">
            <w:pPr>
              <w:pBdr/>
              <w:spacing w:line="230" w:lineRule="auto"/>
              <w:ind/>
              <w:rPr/>
            </w:pPr>
            <w:r>
              <w:rPr>
                <w:sz w:val="15"/>
                <w:szCs w:val="15"/>
                <w:rtl w:val="0"/>
              </w:rPr>
              <w:t xml:space="preserve">Escenario de uso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9">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A">
            <w:pPr>
              <w:pBdr/>
              <w:spacing w:line="230" w:lineRule="auto"/>
              <w:ind/>
              <w:jc w:val="both"/>
              <w:rPr/>
            </w:pPr>
            <w:r>
              <w:rPr>
                <w:sz w:val="15"/>
                <w:szCs w:val="15"/>
                <w:rtl w:val="0"/>
              </w:rPr>
              <w:t xml:space="preserve">CT-OFR-17: Congelar inventario, avanzar 48 h sin confirmar y verificar la liberación automática del volumen.</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B">
            <w:pPr>
              <w:pBdr/>
              <w:spacing w:line="230" w:lineRule="auto"/>
              <w:ind/>
              <w:rPr/>
            </w:pPr>
            <w:r>
              <w:rPr>
                <w:b/>
                <w:bCs/>
                <w:sz w:val="15"/>
                <w:szCs w:val="15"/>
                <w:rtl w:val="0"/>
              </w:rPr>
              <w:t xml:space="preserve">SYS-FN-18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C">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D">
            <w:pPr>
              <w:pBdr/>
              <w:spacing w:line="230" w:lineRule="auto"/>
              <w:ind/>
              <w:jc w:val="both"/>
              <w:rPr/>
            </w:pPr>
            <w:r>
              <w:rPr>
                <w:sz w:val="15"/>
                <w:szCs w:val="15"/>
                <w:rtl w:val="0"/>
              </w:rPr>
              <w:t xml:space="preserve">El panel del Proveedor deberá permitir emitir una cotización formal sobre un bloque de demanda, especificando precio unitario por volumen, plazo de entrega en días y vigencia de la oferta.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E">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BF">
            <w:pPr>
              <w:pBdr/>
              <w:spacing w:line="230" w:lineRule="auto"/>
              <w:ind/>
              <w:rPr/>
            </w:pPr>
            <w:r>
              <w:rPr>
                <w:sz w:val="15"/>
                <w:szCs w:val="15"/>
                <w:rtl w:val="0"/>
              </w:rPr>
              <w:t xml:space="preserve">Cotizaciones (M6)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0">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1">
            <w:pPr>
              <w:pBdr/>
              <w:spacing w:line="230" w:lineRule="auto"/>
              <w:ind/>
              <w:rPr/>
            </w:pPr>
            <w:r>
              <w:rPr>
                <w:sz w:val="15"/>
                <w:szCs w:val="15"/>
                <w:rtl w:val="0"/>
              </w:rPr>
              <w:t xml:space="preserve">Escenario de uso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2">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3">
            <w:pPr>
              <w:pBdr/>
              <w:spacing w:line="230" w:lineRule="auto"/>
              <w:ind/>
              <w:jc w:val="both"/>
              <w:rPr/>
            </w:pPr>
            <w:r>
              <w:rPr>
                <w:sz w:val="15"/>
                <w:szCs w:val="15"/>
                <w:rtl w:val="0"/>
              </w:rPr>
              <w:t xml:space="preserve">CT-COT-18: Emitir cotización sobre una demanda activa y verificar su recepción íntegra en el panel del Comprador.</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4">
            <w:pPr>
              <w:pBdr/>
              <w:spacing w:line="230" w:lineRule="auto"/>
              <w:ind/>
              <w:rPr/>
            </w:pPr>
            <w:r>
              <w:rPr>
                <w:b/>
                <w:bCs/>
                <w:sz w:val="15"/>
                <w:szCs w:val="15"/>
                <w:rtl w:val="0"/>
              </w:rPr>
              <w:t xml:space="preserve">SYS-FN-19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5">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6">
            <w:pPr>
              <w:pBdr/>
              <w:spacing w:line="230" w:lineRule="auto"/>
              <w:ind/>
              <w:jc w:val="both"/>
              <w:rPr/>
            </w:pPr>
            <w:r>
              <w:rPr>
                <w:sz w:val="15"/>
                <w:szCs w:val="15"/>
                <w:rtl w:val="0"/>
              </w:rPr>
              <w:t xml:space="preserve">El panel del Comprador deberá permitir aceptar o rechazar cada cotización recibida, registrando la decisión y su marca temporal en la bitácora de la transacción.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7">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8">
            <w:pPr>
              <w:pBdr/>
              <w:spacing w:line="230" w:lineRule="auto"/>
              <w:ind/>
              <w:rPr/>
            </w:pPr>
            <w:r>
              <w:rPr>
                <w:sz w:val="15"/>
                <w:szCs w:val="15"/>
                <w:rtl w:val="0"/>
              </w:rPr>
              <w:t xml:space="preserve">Cotizaciones (M6)</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9">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A">
            <w:pPr>
              <w:pBdr/>
              <w:spacing w:line="230" w:lineRule="auto"/>
              <w:ind/>
              <w:rPr/>
            </w:pPr>
            <w:r>
              <w:rPr>
                <w:sz w:val="15"/>
                <w:szCs w:val="15"/>
                <w:rtl w:val="0"/>
              </w:rPr>
              <w:t xml:space="preserve">Descomposición jerárquica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B">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C">
            <w:pPr>
              <w:pBdr/>
              <w:spacing w:line="230" w:lineRule="auto"/>
              <w:ind/>
              <w:jc w:val="both"/>
              <w:rPr/>
            </w:pPr>
            <w:r>
              <w:rPr>
                <w:sz w:val="15"/>
                <w:szCs w:val="15"/>
                <w:rtl w:val="0"/>
              </w:rPr>
              <w:t xml:space="preserve">CT-COT-19: Aceptar una cotización y verificar el cambio de estado a 'Adjudicada' junto con el registro en bitácora.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D">
            <w:pPr>
              <w:pBdr/>
              <w:spacing w:line="230" w:lineRule="auto"/>
              <w:ind/>
              <w:rPr/>
            </w:pPr>
            <w:r>
              <w:rPr>
                <w:b/>
                <w:bCs/>
                <w:sz w:val="15"/>
                <w:szCs w:val="15"/>
                <w:rtl w:val="0"/>
              </w:rPr>
              <w:t xml:space="preserve">SYS-FN-20</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E">
            <w:pPr>
              <w:pBdr/>
              <w:spacing w:line="230" w:lineRule="auto"/>
              <w:ind/>
              <w:jc w:val="center"/>
              <w:rPr/>
            </w:pPr>
            <w:r>
              <w:rPr>
                <w:sz w:val="15"/>
                <w:szCs w:val="15"/>
                <w:rtl w:val="0"/>
              </w:rPr>
              <w:t xml:space="preserve">O-StRS-03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CF">
            <w:pPr>
              <w:pBdr/>
              <w:spacing w:line="230" w:lineRule="auto"/>
              <w:ind/>
              <w:jc w:val="both"/>
              <w:rPr/>
            </w:pPr>
            <w:r>
              <w:rPr>
                <w:sz w:val="15"/>
                <w:szCs w:val="15"/>
                <w:rtl w:val="0"/>
              </w:rPr>
              <w:t xml:space="preserve">El panel del Comprador deberá permitir enviar una contra-oferta modificando precio, volumen o condiciones de entrega, admitiendo un máximo de tres rondas de negociación antes del cierre definitivo; agotada la tercera ronda sin acuerdo, la cotización pasa al estado «Bloqueada», terminal a efectos de negociación.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0">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1">
            <w:pPr>
              <w:pBdr/>
              <w:spacing w:line="230" w:lineRule="auto"/>
              <w:ind/>
              <w:rPr/>
            </w:pPr>
            <w:r>
              <w:rPr>
                <w:sz w:val="15"/>
                <w:szCs w:val="15"/>
                <w:rtl w:val="0"/>
              </w:rPr>
              <w:t xml:space="preserve">Cotizaciones (M6)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2">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3">
            <w:pPr>
              <w:pBdr/>
              <w:spacing w:line="230" w:lineRule="auto"/>
              <w:ind/>
              <w:rPr/>
            </w:pPr>
            <w:r>
              <w:rPr>
                <w:sz w:val="15"/>
                <w:szCs w:val="15"/>
                <w:rtl w:val="0"/>
              </w:rPr>
              <w:t xml:space="preserve">Observación contextual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4">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5">
            <w:pPr>
              <w:pBdr/>
              <w:spacing w:line="230" w:lineRule="auto"/>
              <w:ind/>
              <w:jc w:val="both"/>
              <w:rPr/>
            </w:pPr>
            <w:r>
              <w:rPr>
                <w:sz w:val="15"/>
                <w:szCs w:val="15"/>
                <w:rtl w:val="0"/>
              </w:rPr>
              <w:t xml:space="preserve">CT-COT-20: Ejecutar tres rondas de contra-oferta y verificar el bloqueo de la cuarta con mensaje explicativo y el paso de la cotización al estado «Bloqueada».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6">
            <w:pPr>
              <w:pBdr/>
              <w:spacing w:line="230" w:lineRule="auto"/>
              <w:ind/>
              <w:rPr/>
            </w:pPr>
            <w:r>
              <w:rPr>
                <w:b/>
                <w:bCs/>
                <w:sz w:val="15"/>
                <w:szCs w:val="15"/>
                <w:rtl w:val="0"/>
              </w:rPr>
              <w:t xml:space="preserve">SYS-FN-21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7">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8">
            <w:pPr>
              <w:pBdr/>
              <w:spacing w:line="230" w:lineRule="auto"/>
              <w:ind/>
              <w:jc w:val="both"/>
              <w:rPr/>
            </w:pPr>
            <w:r>
              <w:rPr>
                <w:sz w:val="15"/>
                <w:szCs w:val="15"/>
                <w:rtl w:val="0"/>
              </w:rPr>
              <w:t xml:space="preserve">El módulo de cotizaciones deberá mostrar al comprador un histograma con el rango de precios recibidos para productos equivalentes durante los últimos 30 días, al momento de visualizar una cotización.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9">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A">
            <w:pPr>
              <w:pBdr/>
              <w:spacing w:line="230" w:lineRule="auto"/>
              <w:ind/>
              <w:rPr/>
            </w:pPr>
            <w:r>
              <w:rPr>
                <w:sz w:val="15"/>
                <w:szCs w:val="15"/>
                <w:rtl w:val="0"/>
              </w:rPr>
              <w:t xml:space="preserve">Cotizaciones (M6)</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B">
            <w:pPr>
              <w:pBdr/>
              <w:spacing w:line="230" w:lineRule="auto"/>
              <w:ind/>
              <w:jc w:val="center"/>
              <w:rPr/>
            </w:pPr>
            <w:r>
              <w:rPr>
                <w:sz w:val="15"/>
                <w:szCs w:val="15"/>
                <w:rtl w:val="0"/>
              </w:rPr>
              <w:t xml:space="preserve">Podría (C)</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C">
            <w:pPr>
              <w:pBdr/>
              <w:spacing w:line="230" w:lineRule="auto"/>
              <w:ind/>
              <w:rPr/>
            </w:pPr>
            <w:r>
              <w:rPr>
                <w:sz w:val="15"/>
                <w:szCs w:val="15"/>
                <w:rtl w:val="0"/>
              </w:rPr>
              <w:t xml:space="preserve">Lluvia de ideas del equipo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D">
            <w:pPr>
              <w:pBdr/>
              <w:spacing w:line="230" w:lineRule="auto"/>
              <w:ind/>
              <w:jc w:val="center"/>
              <w:rPr/>
            </w:pPr>
            <w:r>
              <w:rPr>
                <w:b/>
                <w:bCs/>
                <w:sz w:val="15"/>
                <w:szCs w:val="15"/>
                <w:rtl w:val="0"/>
              </w:rPr>
              <w:t xml:space="preserve">D</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E">
            <w:pPr>
              <w:pBdr/>
              <w:spacing w:line="230" w:lineRule="auto"/>
              <w:ind/>
              <w:jc w:val="both"/>
              <w:rPr/>
            </w:pPr>
            <w:r>
              <w:rPr>
                <w:sz w:val="15"/>
                <w:szCs w:val="15"/>
                <w:rtl w:val="0"/>
              </w:rPr>
              <w:t xml:space="preserve">Demostración en interfaz: abrir una cotización y verificar la visualización del histograma de precios históricos.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DF">
            <w:pPr>
              <w:pBdr/>
              <w:spacing w:line="230" w:lineRule="auto"/>
              <w:ind/>
              <w:rPr/>
            </w:pPr>
            <w:r>
              <w:rPr>
                <w:b/>
                <w:bCs/>
                <w:sz w:val="15"/>
                <w:szCs w:val="15"/>
                <w:rtl w:val="0"/>
              </w:rPr>
              <w:t xml:space="preserve">SYS-FN-22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0">
            <w:pPr>
              <w:pBdr/>
              <w:spacing w:line="230" w:lineRule="auto"/>
              <w:ind/>
              <w:jc w:val="center"/>
              <w:rPr/>
            </w:pPr>
            <w:r>
              <w:rPr>
                <w:sz w:val="15"/>
                <w:szCs w:val="15"/>
                <w:rtl w:val="0"/>
              </w:rPr>
              <w:t xml:space="preserve">O-StRS-03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1">
            <w:pPr>
              <w:pBdr/>
              <w:spacing w:line="230" w:lineRule="auto"/>
              <w:ind/>
              <w:jc w:val="both"/>
              <w:rPr/>
            </w:pPr>
            <w:r>
              <w:rPr>
                <w:sz w:val="15"/>
                <w:szCs w:val="15"/>
                <w:rtl w:val="0"/>
              </w:rPr>
              <w:t xml:space="preserve">El módulo de chat deberá habilitar una conversación privada en tiempo real entre comprador y proveedor únicamente después de que una cotización haya sido aceptada provisionalmente.</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2">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3">
            <w:pPr>
              <w:pBdr/>
              <w:spacing w:line="230" w:lineRule="auto"/>
              <w:ind/>
              <w:rPr/>
            </w:pPr>
            <w:r>
              <w:rPr>
                <w:sz w:val="15"/>
                <w:szCs w:val="15"/>
                <w:rtl w:val="0"/>
              </w:rPr>
              <w:t xml:space="preserve">Chat (M7)</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4">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5">
            <w:pPr>
              <w:pBdr/>
              <w:spacing w:line="230" w:lineRule="auto"/>
              <w:ind/>
              <w:rPr/>
            </w:pPr>
            <w:r>
              <w:rPr>
                <w:sz w:val="15"/>
                <w:szCs w:val="15"/>
                <w:rtl w:val="0"/>
              </w:rPr>
              <w:t xml:space="preserve">Escenario de uso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6">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7">
            <w:pPr>
              <w:pBdr/>
              <w:spacing w:line="230" w:lineRule="auto"/>
              <w:ind/>
              <w:jc w:val="both"/>
              <w:rPr/>
            </w:pPr>
            <w:r>
              <w:rPr>
                <w:sz w:val="15"/>
                <w:szCs w:val="15"/>
                <w:rtl w:val="0"/>
              </w:rPr>
              <w:t xml:space="preserve">CT-CHT-22: Verificar que el chat permanece deshabilitado antes de la aceptación y se habilita inmediatamente después.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8">
            <w:pPr>
              <w:pBdr/>
              <w:spacing w:line="230" w:lineRule="auto"/>
              <w:ind/>
              <w:rPr/>
            </w:pPr>
            <w:r>
              <w:rPr>
                <w:b/>
                <w:bCs/>
                <w:sz w:val="15"/>
                <w:szCs w:val="15"/>
                <w:rtl w:val="0"/>
              </w:rPr>
              <w:t xml:space="preserve">SYS-FN-23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9">
            <w:pPr>
              <w:pBdr/>
              <w:spacing w:line="230" w:lineRule="auto"/>
              <w:ind/>
              <w:jc w:val="center"/>
              <w:rPr/>
            </w:pPr>
            <w:r>
              <w:rPr>
                <w:sz w:val="15"/>
                <w:szCs w:val="15"/>
                <w:rtl w:val="0"/>
              </w:rPr>
              <w:t xml:space="preserve">O-StRS-03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A">
            <w:pPr>
              <w:pBdr/>
              <w:spacing w:line="230" w:lineRule="auto"/>
              <w:ind/>
              <w:jc w:val="both"/>
              <w:rPr/>
            </w:pPr>
            <w:r>
              <w:rPr>
                <w:sz w:val="15"/>
                <w:szCs w:val="15"/>
                <w:rtl w:val="0"/>
              </w:rPr>
              <w:t xml:space="preserve">El módulo de chat deberá conservar el historial completo de las conversaciones durante un período mínimo de 12 meses posteriores al cierre de la transacción.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B">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C">
            <w:pPr>
              <w:pBdr/>
              <w:spacing w:line="230" w:lineRule="auto"/>
              <w:ind/>
              <w:rPr/>
            </w:pPr>
            <w:r>
              <w:rPr>
                <w:sz w:val="15"/>
                <w:szCs w:val="15"/>
                <w:rtl w:val="0"/>
              </w:rPr>
              <w:t xml:space="preserve">Chat (M7)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D">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E">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EF">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0">
            <w:pPr>
              <w:pBdr/>
              <w:spacing w:line="230" w:lineRule="auto"/>
              <w:ind/>
              <w:jc w:val="both"/>
              <w:rPr/>
            </w:pPr>
            <w:r>
              <w:rPr>
                <w:sz w:val="15"/>
                <w:szCs w:val="15"/>
                <w:rtl w:val="0"/>
              </w:rPr>
              <w:t xml:space="preserve">Análisis de la política de retención configurada en la tabla de mensajes y verificación de registros con antigüedad de 12 meses.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1">
            <w:pPr>
              <w:pBdr/>
              <w:spacing w:line="230" w:lineRule="auto"/>
              <w:ind/>
              <w:rPr/>
            </w:pPr>
            <w:r>
              <w:rPr>
                <w:b/>
                <w:bCs/>
                <w:sz w:val="15"/>
                <w:szCs w:val="15"/>
                <w:rtl w:val="0"/>
              </w:rPr>
              <w:t xml:space="preserve">SYS-FN-24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2">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3">
            <w:pPr>
              <w:pBdr/>
              <w:spacing w:line="230" w:lineRule="auto"/>
              <w:ind/>
              <w:jc w:val="both"/>
              <w:rPr/>
            </w:pPr>
            <w:r>
              <w:rPr>
                <w:sz w:val="15"/>
                <w:szCs w:val="15"/>
                <w:rtl w:val="0"/>
              </w:rPr>
              <w:t xml:space="preserve">El módulo de mensajería deberá ofrecer un repositorio de plantillas de mensajes predefinidos para las operaciones frecuentes de solicitud, confirmación y reporte de incidencias.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4">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5">
            <w:pPr>
              <w:pBdr/>
              <w:spacing w:line="230" w:lineRule="auto"/>
              <w:ind/>
              <w:rPr/>
            </w:pPr>
            <w:r>
              <w:rPr>
                <w:sz w:val="15"/>
                <w:szCs w:val="15"/>
                <w:rtl w:val="0"/>
              </w:rPr>
              <w:t xml:space="preserve">Chat (M7)</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6">
            <w:pPr>
              <w:pBdr/>
              <w:spacing w:line="230" w:lineRule="auto"/>
              <w:ind/>
              <w:jc w:val="center"/>
              <w:rPr/>
            </w:pPr>
            <w:r>
              <w:rPr>
                <w:sz w:val="15"/>
                <w:szCs w:val="15"/>
                <w:rtl w:val="0"/>
              </w:rPr>
              <w:t xml:space="preserve">Podría (C)</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7">
            <w:pPr>
              <w:pBdr/>
              <w:spacing w:line="230" w:lineRule="auto"/>
              <w:ind/>
              <w:rPr/>
            </w:pPr>
            <w:r>
              <w:rPr>
                <w:sz w:val="15"/>
                <w:szCs w:val="15"/>
                <w:rtl w:val="0"/>
              </w:rPr>
              <w:t xml:space="preserve">Observación contextual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8">
            <w:pPr>
              <w:pBdr/>
              <w:spacing w:line="230" w:lineRule="auto"/>
              <w:ind/>
              <w:jc w:val="center"/>
              <w:rPr/>
            </w:pPr>
            <w:r>
              <w:rPr>
                <w:b/>
                <w:bCs/>
                <w:sz w:val="15"/>
                <w:szCs w:val="15"/>
                <w:rtl w:val="0"/>
              </w:rPr>
              <w:t xml:space="preserve">I</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9">
            <w:pPr>
              <w:pBdr/>
              <w:spacing w:line="230" w:lineRule="auto"/>
              <w:ind/>
              <w:jc w:val="both"/>
              <w:rPr/>
            </w:pPr>
            <w:r>
              <w:rPr>
                <w:sz w:val="15"/>
                <w:szCs w:val="15"/>
                <w:rtl w:val="0"/>
              </w:rPr>
              <w:t xml:space="preserve">Inspección del repositorio de plantillas accesible desde el panel de chat con al menos tres plantillas operativas.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A">
            <w:pPr>
              <w:pBdr/>
              <w:spacing w:line="230" w:lineRule="auto"/>
              <w:ind/>
              <w:rPr/>
            </w:pPr>
            <w:r>
              <w:rPr>
                <w:b/>
                <w:bCs/>
                <w:sz w:val="15"/>
                <w:szCs w:val="15"/>
                <w:rtl w:val="0"/>
              </w:rPr>
              <w:t xml:space="preserve">SYS-FN-25</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B">
            <w:pPr>
              <w:pBdr/>
              <w:spacing w:line="230" w:lineRule="auto"/>
              <w:ind/>
              <w:jc w:val="center"/>
              <w:rPr/>
            </w:pPr>
            <w:r>
              <w:rPr>
                <w:sz w:val="15"/>
                <w:szCs w:val="15"/>
                <w:rtl w:val="0"/>
              </w:rPr>
              <w:t xml:space="preserve">O-StRS-01 / O-StRS-02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C">
            <w:pPr>
              <w:pBdr/>
              <w:spacing w:line="230" w:lineRule="auto"/>
              <w:ind/>
              <w:jc w:val="both"/>
              <w:rPr/>
            </w:pPr>
            <w:r>
              <w:rPr>
                <w:sz w:val="15"/>
                <w:szCs w:val="15"/>
                <w:rtl w:val="0"/>
              </w:rPr>
              <w:t xml:space="preserve">El módulo de alertas deberá notificar al usuario mediante WhatsApp Business API cada vez que su demanda reciba una cotización o cambie de estado, en un plazo máximo de 60 segundos desde el evento.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D">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E">
            <w:pPr>
              <w:pBdr/>
              <w:spacing w:line="230" w:lineRule="auto"/>
              <w:ind/>
              <w:rPr/>
            </w:pPr>
            <w:r>
              <w:rPr>
                <w:sz w:val="15"/>
                <w:szCs w:val="15"/>
                <w:rtl w:val="0"/>
              </w:rPr>
              <w:t xml:space="preserve">Alertas (M7)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1FF">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0">
            <w:pPr>
              <w:pBdr/>
              <w:spacing w:line="230" w:lineRule="auto"/>
              <w:ind/>
              <w:rPr/>
            </w:pPr>
            <w:r>
              <w:rPr>
                <w:sz w:val="15"/>
                <w:szCs w:val="15"/>
                <w:rtl w:val="0"/>
              </w:rPr>
              <w:t xml:space="preserve">Observación contextual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1">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2">
            <w:pPr>
              <w:pBdr/>
              <w:spacing w:line="230" w:lineRule="auto"/>
              <w:ind/>
              <w:jc w:val="both"/>
              <w:rPr/>
            </w:pPr>
            <w:r>
              <w:rPr>
                <w:sz w:val="15"/>
                <w:szCs w:val="15"/>
                <w:rtl w:val="0"/>
              </w:rPr>
              <w:t xml:space="preserve">CT-ALT-25: Generar una cotización y medir el tiempo transcurrido hasta la recepción del mensaje en el dispositivo del comprador.</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3">
            <w:pPr>
              <w:pBdr/>
              <w:spacing w:line="230" w:lineRule="auto"/>
              <w:ind/>
              <w:rPr/>
            </w:pPr>
            <w:r>
              <w:rPr>
                <w:b/>
                <w:bCs/>
                <w:sz w:val="15"/>
                <w:szCs w:val="15"/>
                <w:rtl w:val="0"/>
              </w:rPr>
              <w:t xml:space="preserve">SYS-FN-26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4">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5">
            <w:pPr>
              <w:pBdr/>
              <w:spacing w:line="230" w:lineRule="auto"/>
              <w:ind/>
              <w:jc w:val="both"/>
              <w:rPr/>
            </w:pPr>
            <w:r>
              <w:rPr>
                <w:sz w:val="15"/>
                <w:szCs w:val="15"/>
                <w:rtl w:val="0"/>
              </w:rPr>
              <w:t xml:space="preserve">El módulo de alertas deberá diferir el envío de notificaciones externas durante la franja horaria de silencio configurada por el usuario, reprogramándolas para el siguiente horario hábil.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6">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7">
            <w:pPr>
              <w:pBdr/>
              <w:spacing w:line="230" w:lineRule="auto"/>
              <w:ind/>
              <w:rPr/>
            </w:pPr>
            <w:r>
              <w:rPr>
                <w:sz w:val="15"/>
                <w:szCs w:val="15"/>
                <w:rtl w:val="0"/>
              </w:rPr>
              <w:t xml:space="preserve">Alertas (M7)</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8">
            <w:pPr>
              <w:pBdr/>
              <w:spacing w:line="230" w:lineRule="auto"/>
              <w:ind/>
              <w:jc w:val="center"/>
              <w:rPr/>
            </w:pPr>
            <w:r>
              <w:rPr>
                <w:sz w:val="15"/>
                <w:szCs w:val="15"/>
                <w:rtl w:val="0"/>
              </w:rPr>
              <w:t xml:space="preserve">Podría (C)</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9">
            <w:pPr>
              <w:pBdr/>
              <w:spacing w:line="230" w:lineRule="auto"/>
              <w:ind/>
              <w:rPr/>
            </w:pPr>
            <w:r>
              <w:rPr>
                <w:sz w:val="15"/>
                <w:szCs w:val="15"/>
                <w:rtl w:val="0"/>
              </w:rPr>
              <w:t xml:space="preserve">Entrevista semiestructurada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A">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B">
            <w:pPr>
              <w:pBdr/>
              <w:spacing w:line="230" w:lineRule="auto"/>
              <w:ind/>
              <w:jc w:val="both"/>
              <w:rPr/>
            </w:pPr>
            <w:r>
              <w:rPr>
                <w:sz w:val="15"/>
                <w:szCs w:val="15"/>
                <w:rtl w:val="0"/>
              </w:rPr>
              <w:t xml:space="preserve">CT-ALT-26: Configurar silencio de 22:00 a 06:00, disparar una notificación a las 23:00 y verificar su entrega a las 06:00.</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C">
            <w:pPr>
              <w:pBdr/>
              <w:spacing w:line="230" w:lineRule="auto"/>
              <w:ind/>
              <w:rPr/>
            </w:pPr>
            <w:r>
              <w:rPr>
                <w:b/>
                <w:bCs/>
                <w:sz w:val="15"/>
                <w:szCs w:val="15"/>
                <w:rtl w:val="0"/>
              </w:rPr>
              <w:t xml:space="preserve">SYS-FN-27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D">
            <w:pPr>
              <w:pBdr/>
              <w:spacing w:line="230" w:lineRule="auto"/>
              <w:ind/>
              <w:jc w:val="center"/>
              <w:rPr/>
            </w:pPr>
            <w:r>
              <w:rPr>
                <w:sz w:val="15"/>
                <w:szCs w:val="15"/>
                <w:rtl w:val="0"/>
              </w:rPr>
              <w:t xml:space="preserve">O-StRS-03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E">
            <w:pPr>
              <w:pBdr/>
              <w:spacing w:line="230" w:lineRule="auto"/>
              <w:ind/>
              <w:jc w:val="both"/>
              <w:rPr/>
            </w:pPr>
            <w:r>
              <w:rPr>
                <w:sz w:val="15"/>
                <w:szCs w:val="15"/>
                <w:rtl w:val="0"/>
              </w:rPr>
              <w:t xml:space="preserve">El módulo de calificaciones deberá permitir que comprador y proveedor se evalúen mutuamente en una escala de 1 a 5 estrellas al finalizar la transacción, publicando el promedio en el perfil público de cada parte.</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0F">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0">
            <w:pPr>
              <w:pBdr/>
              <w:spacing w:line="230" w:lineRule="auto"/>
              <w:ind/>
              <w:rPr/>
            </w:pPr>
            <w:r>
              <w:rPr>
                <w:sz w:val="15"/>
                <w:szCs w:val="15"/>
                <w:rtl w:val="0"/>
              </w:rPr>
              <w:t xml:space="preserve">Calificaciones (M8)</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1">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2">
            <w:pPr>
              <w:pBdr/>
              <w:spacing w:line="230" w:lineRule="auto"/>
              <w:ind/>
              <w:rPr/>
            </w:pPr>
            <w:r>
              <w:rPr>
                <w:sz w:val="15"/>
                <w:szCs w:val="15"/>
                <w:rtl w:val="0"/>
              </w:rPr>
              <w:t xml:space="preserve">Benchmarking competitivo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3">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4">
            <w:pPr>
              <w:pBdr/>
              <w:spacing w:line="230" w:lineRule="auto"/>
              <w:ind/>
              <w:jc w:val="both"/>
              <w:rPr/>
            </w:pPr>
            <w:r>
              <w:rPr>
                <w:sz w:val="15"/>
                <w:szCs w:val="15"/>
                <w:rtl w:val="0"/>
              </w:rPr>
              <w:t xml:space="preserve">CT-CAL-27: Cerrar una transacción, emitir evaluación desde ambos lados y verificar la actualización del promedio en ambos perfiles.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5">
            <w:pPr>
              <w:pBdr/>
              <w:spacing w:line="230" w:lineRule="auto"/>
              <w:ind/>
              <w:rPr/>
            </w:pPr>
            <w:r>
              <w:rPr>
                <w:b/>
                <w:bCs/>
                <w:sz w:val="15"/>
                <w:szCs w:val="15"/>
                <w:rtl w:val="0"/>
              </w:rPr>
              <w:t xml:space="preserve">SYS-FN-28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6">
            <w:pPr>
              <w:pBdr/>
              <w:spacing w:line="230" w:lineRule="auto"/>
              <w:ind/>
              <w:jc w:val="center"/>
              <w:rPr/>
            </w:pPr>
            <w:r>
              <w:rPr>
                <w:sz w:val="15"/>
                <w:szCs w:val="15"/>
                <w:rtl w:val="0"/>
              </w:rPr>
              <w:t xml:space="preserve">O-StRS-03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7">
            <w:pPr>
              <w:pBdr/>
              <w:spacing w:line="230" w:lineRule="auto"/>
              <w:ind/>
              <w:jc w:val="both"/>
              <w:rPr/>
            </w:pPr>
            <w:r>
              <w:rPr>
                <w:sz w:val="15"/>
                <w:szCs w:val="15"/>
                <w:rtl w:val="0"/>
              </w:rPr>
              <w:t xml:space="preserve">El módulo de logística deberá generar un código QR único por transacción que el comprador escaneará al recibir la mercancía, cambiando el estado de la transacción a 'Entregado'.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8">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9">
            <w:pPr>
              <w:pBdr/>
              <w:spacing w:line="230" w:lineRule="auto"/>
              <w:ind/>
              <w:rPr/>
            </w:pPr>
            <w:r>
              <w:rPr>
                <w:sz w:val="15"/>
                <w:szCs w:val="15"/>
                <w:rtl w:val="0"/>
              </w:rPr>
              <w:t xml:space="preserve">Logística (M8)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A">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B">
            <w:pPr>
              <w:pBdr/>
              <w:spacing w:line="230" w:lineRule="auto"/>
              <w:ind/>
              <w:rPr/>
            </w:pPr>
            <w:r>
              <w:rPr>
                <w:sz w:val="15"/>
                <w:szCs w:val="15"/>
                <w:rtl w:val="0"/>
              </w:rPr>
              <w:t xml:space="preserve">Lluvia de ideas del equipo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C">
            <w:pPr>
              <w:pBdr/>
              <w:spacing w:line="230" w:lineRule="auto"/>
              <w:ind/>
              <w:jc w:val="center"/>
              <w:rPr/>
            </w:pPr>
            <w:r>
              <w:rPr>
                <w:b/>
                <w:bCs/>
                <w:sz w:val="15"/>
                <w:szCs w:val="15"/>
                <w:rtl w:val="0"/>
              </w:rPr>
              <w:t xml:space="preserve">D</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D">
            <w:pPr>
              <w:pBdr/>
              <w:spacing w:line="230" w:lineRule="auto"/>
              <w:ind/>
              <w:jc w:val="both"/>
              <w:rPr/>
            </w:pPr>
            <w:r>
              <w:rPr>
                <w:sz w:val="15"/>
                <w:szCs w:val="15"/>
                <w:rtl w:val="0"/>
              </w:rPr>
              <w:t xml:space="preserve">Demostración: generar el QR, escanearlo desde un dispositivo móvil y verificar el cambio de estado a 'Entregado'.</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E">
            <w:pPr>
              <w:pBdr/>
              <w:spacing w:line="230" w:lineRule="auto"/>
              <w:ind/>
              <w:rPr/>
            </w:pPr>
            <w:r>
              <w:rPr>
                <w:b/>
                <w:bCs/>
                <w:sz w:val="15"/>
                <w:szCs w:val="15"/>
                <w:rtl w:val="0"/>
              </w:rPr>
              <w:t xml:space="preserve">SYS-FN-29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1F">
            <w:pPr>
              <w:pBdr/>
              <w:spacing w:line="230" w:lineRule="auto"/>
              <w:ind/>
              <w:jc w:val="center"/>
              <w:rPr/>
            </w:pPr>
            <w:r>
              <w:rPr>
                <w:sz w:val="15"/>
                <w:szCs w:val="15"/>
                <w:rtl w:val="0"/>
              </w:rPr>
              <w:t xml:space="preserve">O-StRS-03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0">
            <w:pPr>
              <w:pBdr/>
              <w:spacing w:line="230" w:lineRule="auto"/>
              <w:ind/>
              <w:jc w:val="both"/>
              <w:rPr/>
            </w:pPr>
            <w:r>
              <w:rPr>
                <w:sz w:val="15"/>
                <w:szCs w:val="15"/>
                <w:rtl w:val="0"/>
              </w:rPr>
              <w:t xml:space="preserve">Cuando una transacción se encuentre en estado 'En Disputa', el módulo de calificaciones deberá suspender la habilitación de la evaluación mutua hasta que el administrador resuelva la controversia.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1">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2">
            <w:pPr>
              <w:pBdr/>
              <w:spacing w:line="230" w:lineRule="auto"/>
              <w:ind/>
              <w:rPr/>
            </w:pPr>
            <w:r>
              <w:rPr>
                <w:sz w:val="15"/>
                <w:szCs w:val="15"/>
                <w:rtl w:val="0"/>
              </w:rPr>
              <w:t xml:space="preserve">Calificaciones (M8)</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3">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4">
            <w:pPr>
              <w:pBdr/>
              <w:spacing w:line="230" w:lineRule="auto"/>
              <w:ind/>
              <w:rPr/>
            </w:pPr>
            <w:r>
              <w:rPr>
                <w:sz w:val="15"/>
                <w:szCs w:val="15"/>
                <w:rtl w:val="0"/>
              </w:rPr>
              <w:t xml:space="preserve">Escenario de uso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5">
            <w:pPr>
              <w:pBdr/>
              <w:spacing w:line="230" w:lineRule="auto"/>
              <w:ind/>
              <w:jc w:val="center"/>
              <w:rPr/>
            </w:pPr>
            <w:r>
              <w:rPr>
                <w:b/>
                <w:bCs/>
                <w:sz w:val="15"/>
                <w:szCs w:val="15"/>
                <w:rtl w:val="0"/>
              </w:rPr>
              <w:t xml:space="preserve">D</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6">
            <w:pPr>
              <w:pBdr/>
              <w:spacing w:line="230" w:lineRule="auto"/>
              <w:ind/>
              <w:jc w:val="both"/>
              <w:rPr/>
            </w:pPr>
            <w:r>
              <w:rPr>
                <w:sz w:val="15"/>
                <w:szCs w:val="15"/>
                <w:rtl w:val="0"/>
              </w:rPr>
              <w:t xml:space="preserve">Demostración: abrir una disputa y verificar que el control de evaluación queda deshabilitado para ambas partes.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7">
            <w:pPr>
              <w:pBdr/>
              <w:spacing w:line="230" w:lineRule="auto"/>
              <w:ind/>
              <w:rPr/>
            </w:pPr>
            <w:r>
              <w:rPr>
                <w:b/>
                <w:bCs/>
                <w:sz w:val="15"/>
                <w:szCs w:val="15"/>
                <w:rtl w:val="0"/>
              </w:rPr>
              <w:t xml:space="preserve">SYS-FN-30</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8">
            <w:pPr>
              <w:pBdr/>
              <w:spacing w:line="230" w:lineRule="auto"/>
              <w:ind/>
              <w:jc w:val="center"/>
              <w:rPr/>
            </w:pPr>
            <w:r>
              <w:rPr>
                <w:sz w:val="15"/>
                <w:szCs w:val="15"/>
                <w:rtl w:val="0"/>
              </w:rPr>
              <w:t xml:space="preserve">O-StRS-03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9">
            <w:pPr>
              <w:pBdr/>
              <w:spacing w:line="230" w:lineRule="auto"/>
              <w:ind/>
              <w:jc w:val="both"/>
              <w:rPr/>
            </w:pPr>
            <w:r>
              <w:rPr>
                <w:sz w:val="15"/>
                <w:szCs w:val="15"/>
                <w:rtl w:val="0"/>
              </w:rPr>
              <w:t xml:space="preserve">El módulo de reputación deberá otorgar una insignia visual al usuario que mantenga un promedio de calificación superior a 4.5 estrellas durante los últimos 30 días, destacándolo en los resultados de búsqueda.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A">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B">
            <w:pPr>
              <w:pBdr/>
              <w:spacing w:line="230" w:lineRule="auto"/>
              <w:ind/>
              <w:rPr/>
            </w:pPr>
            <w:r>
              <w:rPr>
                <w:sz w:val="15"/>
                <w:szCs w:val="15"/>
                <w:rtl w:val="0"/>
              </w:rPr>
              <w:t xml:space="preserve">Calificaciones (M8)</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C">
            <w:pPr>
              <w:pBdr/>
              <w:spacing w:line="230" w:lineRule="auto"/>
              <w:ind/>
              <w:jc w:val="center"/>
              <w:rPr/>
            </w:pPr>
            <w:r>
              <w:rPr>
                <w:sz w:val="15"/>
                <w:szCs w:val="15"/>
                <w:rtl w:val="0"/>
              </w:rPr>
              <w:t xml:space="preserve">Podría (C)</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D">
            <w:pPr>
              <w:pBdr/>
              <w:spacing w:line="230" w:lineRule="auto"/>
              <w:ind/>
              <w:rPr/>
            </w:pPr>
            <w:r>
              <w:rPr>
                <w:sz w:val="15"/>
                <w:szCs w:val="15"/>
                <w:rtl w:val="0"/>
              </w:rPr>
              <w:t xml:space="preserve">Benchmarking competitivo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E">
            <w:pPr>
              <w:pBdr/>
              <w:spacing w:line="230" w:lineRule="auto"/>
              <w:ind/>
              <w:jc w:val="center"/>
              <w:rPr/>
            </w:pPr>
            <w:r>
              <w:rPr>
                <w:b/>
                <w:bCs/>
                <w:sz w:val="15"/>
                <w:szCs w:val="15"/>
                <w:rtl w:val="0"/>
              </w:rPr>
              <w:t xml:space="preserve">I</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2F">
            <w:pPr>
              <w:pBdr/>
              <w:spacing w:line="230" w:lineRule="auto"/>
              <w:ind/>
              <w:jc w:val="both"/>
              <w:rPr/>
            </w:pPr>
            <w:r>
              <w:rPr>
                <w:sz w:val="15"/>
                <w:szCs w:val="15"/>
                <w:rtl w:val="0"/>
              </w:rPr>
              <w:t xml:space="preserve">Inspección del perfil de un usuario con promedio 4.8 y verificación de la insignia visible en los resultados de búsqueda.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0">
            <w:pPr>
              <w:pBdr/>
              <w:spacing w:line="230" w:lineRule="auto"/>
              <w:ind/>
              <w:rPr/>
            </w:pPr>
            <w:r>
              <w:rPr>
                <w:b/>
                <w:bCs/>
                <w:sz w:val="15"/>
                <w:szCs w:val="15"/>
                <w:rtl w:val="0"/>
              </w:rPr>
              <w:t xml:space="preserve">SYS-FN-31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1">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2">
            <w:pPr>
              <w:pBdr/>
              <w:spacing w:line="230" w:lineRule="auto"/>
              <w:ind/>
              <w:jc w:val="both"/>
              <w:rPr/>
            </w:pPr>
            <w:r>
              <w:rPr>
                <w:sz w:val="15"/>
                <w:szCs w:val="15"/>
                <w:rtl w:val="0"/>
              </w:rPr>
              <w:t xml:space="preserve">El módulo de soporte deberá permitir al usuario abrir un ticket de incidencia asociado a una transacción, gestionando los estados 'Abierto', 'En Disputa', 'Resuelto' y 'Cancelado con Reembolso'.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3">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4">
            <w:pPr>
              <w:pBdr/>
              <w:spacing w:line="230" w:lineRule="auto"/>
              <w:ind/>
              <w:rPr/>
            </w:pPr>
            <w:r>
              <w:rPr>
                <w:sz w:val="15"/>
                <w:szCs w:val="15"/>
                <w:rtl w:val="0"/>
              </w:rPr>
              <w:t xml:space="preserve">Soporte (M9)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5">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6">
            <w:pPr>
              <w:pBdr/>
              <w:spacing w:line="230" w:lineRule="auto"/>
              <w:ind/>
              <w:rPr/>
            </w:pPr>
            <w:r>
              <w:rPr>
                <w:sz w:val="15"/>
                <w:szCs w:val="15"/>
                <w:rtl w:val="0"/>
              </w:rPr>
              <w:t xml:space="preserve">Descomposición jerárquica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7">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8">
            <w:pPr>
              <w:pBdr/>
              <w:spacing w:line="230" w:lineRule="auto"/>
              <w:ind/>
              <w:jc w:val="both"/>
              <w:rPr/>
            </w:pPr>
            <w:r>
              <w:rPr>
                <w:sz w:val="15"/>
                <w:szCs w:val="15"/>
                <w:rtl w:val="0"/>
              </w:rPr>
              <w:t xml:space="preserve">CT-SOP-31: Recorrer el ciclo de vida completo del ticket y verificar la persistencia de cada transición de estado.</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9">
            <w:pPr>
              <w:pBdr/>
              <w:spacing w:line="230" w:lineRule="auto"/>
              <w:ind/>
              <w:rPr/>
            </w:pPr>
            <w:r>
              <w:rPr>
                <w:b/>
                <w:bCs/>
                <w:sz w:val="15"/>
                <w:szCs w:val="15"/>
                <w:rtl w:val="0"/>
              </w:rPr>
              <w:t xml:space="preserve">SYS-FN-32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A">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B">
            <w:pPr>
              <w:pBdr/>
              <w:spacing w:line="230" w:lineRule="auto"/>
              <w:ind/>
              <w:jc w:val="both"/>
              <w:rPr/>
            </w:pPr>
            <w:r>
              <w:rPr>
                <w:sz w:val="15"/>
                <w:szCs w:val="15"/>
                <w:rtl w:val="0"/>
              </w:rPr>
              <w:t xml:space="preserve">El módulo de soporte deberá escalar automáticamente a la Dirección General, responsable jerárquica del Administrador de la plataforma, todo ticket que permanezca en estado 'Abierto' sin respuesta del administrador durante más de 48 horas.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C">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D">
            <w:pPr>
              <w:pBdr/>
              <w:spacing w:line="230" w:lineRule="auto"/>
              <w:ind/>
              <w:rPr/>
            </w:pPr>
            <w:r>
              <w:rPr>
                <w:sz w:val="15"/>
                <w:szCs w:val="15"/>
                <w:rtl w:val="0"/>
              </w:rPr>
              <w:t xml:space="preserve">Soporte (M9)</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E">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3F">
            <w:pPr>
              <w:pBdr/>
              <w:spacing w:line="230" w:lineRule="auto"/>
              <w:ind/>
              <w:rPr/>
            </w:pPr>
            <w:r>
              <w:rPr>
                <w:sz w:val="15"/>
                <w:szCs w:val="15"/>
                <w:rtl w:val="0"/>
              </w:rPr>
              <w:t xml:space="preserve">Lluvia de ideas del equipo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0">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1">
            <w:pPr>
              <w:pBdr/>
              <w:spacing w:line="230" w:lineRule="auto"/>
              <w:ind/>
              <w:jc w:val="both"/>
              <w:rPr/>
            </w:pPr>
            <w:r>
              <w:rPr>
                <w:sz w:val="15"/>
                <w:szCs w:val="15"/>
                <w:rtl w:val="0"/>
              </w:rPr>
              <w:t xml:space="preserve">Análisis del proceso programado que detecta tickets con más de 48 h sin respuesta y verificación del correo de escalamiento.</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2">
            <w:pPr>
              <w:pBdr/>
              <w:spacing w:line="230" w:lineRule="auto"/>
              <w:ind/>
              <w:rPr/>
            </w:pPr>
            <w:r>
              <w:rPr>
                <w:b/>
                <w:bCs/>
                <w:sz w:val="15"/>
                <w:szCs w:val="15"/>
                <w:rtl w:val="0"/>
              </w:rPr>
              <w:t xml:space="preserve">SYS-FN-33</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3">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4">
            <w:pPr>
              <w:pBdr/>
              <w:spacing w:line="230" w:lineRule="auto"/>
              <w:ind/>
              <w:jc w:val="both"/>
              <w:rPr/>
            </w:pPr>
            <w:r>
              <w:rPr>
                <w:sz w:val="15"/>
                <w:szCs w:val="15"/>
                <w:rtl w:val="0"/>
              </w:rPr>
              <w:t xml:space="preserve">El panel del Administrador de la plataforma deberá presentar un tablero con los indicadores de usuarios activos en 24 horas, demandas publicadas y cotizaciones emitidas, actualizado en intervalos no mayores a 30 segundos.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5">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6">
            <w:pPr>
              <w:pBdr/>
              <w:spacing w:line="230" w:lineRule="auto"/>
              <w:ind/>
              <w:rPr/>
            </w:pPr>
            <w:r>
              <w:rPr>
                <w:sz w:val="15"/>
                <w:szCs w:val="15"/>
                <w:rtl w:val="0"/>
              </w:rPr>
              <w:t xml:space="preserve">Administración (M9)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7">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8">
            <w:pPr>
              <w:pBdr/>
              <w:spacing w:line="230" w:lineRule="auto"/>
              <w:ind/>
              <w:rPr/>
            </w:pPr>
            <w:r>
              <w:rPr>
                <w:sz w:val="15"/>
                <w:szCs w:val="15"/>
                <w:rtl w:val="0"/>
              </w:rPr>
              <w:t xml:space="preserve">Entrevista semiestructurada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9">
            <w:pPr>
              <w:pBdr/>
              <w:spacing w:line="230" w:lineRule="auto"/>
              <w:ind/>
              <w:jc w:val="center"/>
              <w:rPr/>
            </w:pPr>
            <w:r>
              <w:rPr>
                <w:b/>
                <w:bCs/>
                <w:sz w:val="15"/>
                <w:szCs w:val="15"/>
                <w:rtl w:val="0"/>
              </w:rPr>
              <w:t xml:space="preserve">I</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A">
            <w:pPr>
              <w:pBdr/>
              <w:spacing w:line="230" w:lineRule="auto"/>
              <w:ind/>
              <w:jc w:val="both"/>
              <w:rPr/>
            </w:pPr>
            <w:r>
              <w:rPr>
                <w:sz w:val="15"/>
                <w:szCs w:val="15"/>
                <w:rtl w:val="0"/>
              </w:rPr>
              <w:t xml:space="preserve">Inspección del tablero verificando la presencia de los tres indicadores y la marca de última actualización.</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B">
            <w:pPr>
              <w:pBdr/>
              <w:spacing w:line="230" w:lineRule="auto"/>
              <w:ind/>
              <w:rPr/>
            </w:pPr>
            <w:r>
              <w:rPr>
                <w:b/>
                <w:bCs/>
                <w:sz w:val="15"/>
                <w:szCs w:val="15"/>
                <w:rtl w:val="0"/>
              </w:rPr>
              <w:t xml:space="preserve">SYS-FN-34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C">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D">
            <w:pPr>
              <w:pBdr/>
              <w:spacing w:line="230" w:lineRule="auto"/>
              <w:ind/>
              <w:jc w:val="both"/>
              <w:rPr/>
            </w:pPr>
            <w:r>
              <w:rPr>
                <w:sz w:val="15"/>
                <w:szCs w:val="15"/>
                <w:rtl w:val="0"/>
              </w:rPr>
              <w:t xml:space="preserve">El módulo de administración deberá permitir exportar un reporte consolidado de transacciones en formatos CSV y XLSX, incluyendo identificador, monto, fecha, departamento, categoría y participantes.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E">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4F">
            <w:pPr>
              <w:pBdr/>
              <w:spacing w:line="230" w:lineRule="auto"/>
              <w:ind/>
              <w:rPr/>
            </w:pPr>
            <w:r>
              <w:rPr>
                <w:sz w:val="15"/>
                <w:szCs w:val="15"/>
                <w:rtl w:val="0"/>
              </w:rPr>
              <w:t xml:space="preserve">Administración (M9)</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0">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1">
            <w:pPr>
              <w:pBdr/>
              <w:spacing w:line="230" w:lineRule="auto"/>
              <w:ind/>
              <w:rPr/>
            </w:pPr>
            <w:r>
              <w:rPr>
                <w:sz w:val="15"/>
                <w:szCs w:val="15"/>
                <w:rtl w:val="0"/>
              </w:rPr>
              <w:t xml:space="preserve">Análisis normativo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2">
            <w:pPr>
              <w:pBdr/>
              <w:spacing w:line="230" w:lineRule="auto"/>
              <w:ind/>
              <w:jc w:val="center"/>
              <w:rPr/>
            </w:pPr>
            <w:r>
              <w:rPr>
                <w:b/>
                <w:bCs/>
                <w:sz w:val="15"/>
                <w:szCs w:val="15"/>
                <w:rtl w:val="0"/>
              </w:rPr>
              <w:t xml:space="preserve">T</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3">
            <w:pPr>
              <w:pBdr/>
              <w:spacing w:line="230" w:lineRule="auto"/>
              <w:ind/>
              <w:jc w:val="both"/>
              <w:rPr/>
            </w:pPr>
            <w:r>
              <w:rPr>
                <w:sz w:val="15"/>
                <w:szCs w:val="15"/>
                <w:rtl w:val="0"/>
              </w:rPr>
              <w:t xml:space="preserve">CT-ADM-34: Exportar un reporte mensual en ambos formatos y verificar la integridad de los seis campos requeridos.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4">
            <w:pPr>
              <w:pBdr/>
              <w:spacing w:line="230" w:lineRule="auto"/>
              <w:ind/>
              <w:rPr/>
            </w:pPr>
            <w:r>
              <w:rPr>
                <w:b/>
                <w:bCs/>
                <w:sz w:val="15"/>
                <w:szCs w:val="15"/>
                <w:rtl w:val="0"/>
              </w:rPr>
              <w:t xml:space="preserve">SYS-FN-35</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5">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6">
            <w:pPr>
              <w:pBdr/>
              <w:spacing w:line="230" w:lineRule="auto"/>
              <w:ind/>
              <w:jc w:val="both"/>
              <w:rPr/>
            </w:pPr>
            <w:r>
              <w:rPr>
                <w:sz w:val="15"/>
                <w:szCs w:val="15"/>
                <w:rtl w:val="0"/>
              </w:rPr>
              <w:t xml:space="preserve">El módulo de auditoría deberá registrar de forma inmutable toda operación de creación, modificación y cierre de transacciones, almacenando identificador de usuario, acción, marca temporal y dirección IP de origen.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7">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8">
            <w:pPr>
              <w:pBdr/>
              <w:spacing w:line="230" w:lineRule="auto"/>
              <w:ind/>
              <w:rPr/>
            </w:pPr>
            <w:r>
              <w:rPr>
                <w:sz w:val="15"/>
                <w:szCs w:val="15"/>
                <w:rtl w:val="0"/>
              </w:rPr>
              <w:t xml:space="preserve">Auditoría (M9)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9">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A">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B">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C">
            <w:pPr>
              <w:pBdr/>
              <w:spacing w:line="230" w:lineRule="auto"/>
              <w:ind/>
              <w:jc w:val="both"/>
              <w:rPr/>
            </w:pPr>
            <w:r>
              <w:rPr>
                <w:sz w:val="15"/>
                <w:szCs w:val="15"/>
                <w:rtl w:val="0"/>
              </w:rPr>
              <w:t xml:space="preserve">Análisis de la tabla de auditoría verificando la ausencia de permisos de UPDATE y DELETE sobre los registros generados.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D">
            <w:pPr>
              <w:pBdr/>
              <w:spacing w:line="230" w:lineRule="auto"/>
              <w:ind/>
              <w:rPr/>
            </w:pPr>
            <w:r>
              <w:rPr>
                <w:b/>
                <w:bCs/>
                <w:sz w:val="15"/>
                <w:szCs w:val="15"/>
                <w:rtl w:val="0"/>
              </w:rPr>
              <w:t xml:space="preserve">SYS-FN-36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E">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5F">
            <w:pPr>
              <w:pBdr/>
              <w:spacing w:line="230" w:lineRule="auto"/>
              <w:ind/>
              <w:jc w:val="both"/>
              <w:rPr/>
            </w:pPr>
            <w:r>
              <w:rPr>
                <w:sz w:val="15"/>
                <w:szCs w:val="15"/>
                <w:rtl w:val="0"/>
              </w:rPr>
              <w:t xml:space="preserve">El proceso de registro deberá presentar una declaración explícita de consentimiento para el tratamiento de datos personales conforme a la Ley No. 787 de Nicaragua, almacenando fecha y hora de aceptación.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0">
            <w:pPr>
              <w:pBdr/>
              <w:spacing w:line="230" w:lineRule="auto"/>
              <w:ind/>
              <w:jc w:val="center"/>
              <w:rPr/>
            </w:pPr>
            <w:r>
              <w:rPr>
                <w:sz w:val="15"/>
                <w:szCs w:val="15"/>
                <w:rtl w:val="0"/>
              </w:rPr>
              <w:t xml:space="preserve">F</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1">
            <w:pPr>
              <w:pBdr/>
              <w:spacing w:line="230" w:lineRule="auto"/>
              <w:ind/>
              <w:rPr/>
            </w:pPr>
            <w:r>
              <w:rPr>
                <w:sz w:val="15"/>
                <w:szCs w:val="15"/>
                <w:rtl w:val="0"/>
              </w:rPr>
              <w:t xml:space="preserve">Privacidad (M9)</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2">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3">
            <w:pPr>
              <w:pBdr/>
              <w:spacing w:line="230" w:lineRule="auto"/>
              <w:ind/>
              <w:rPr/>
            </w:pPr>
            <w:r>
              <w:rPr>
                <w:sz w:val="15"/>
                <w:szCs w:val="15"/>
                <w:rtl w:val="0"/>
              </w:rPr>
              <w:t xml:space="preserve">Análisis normativo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4">
            <w:pPr>
              <w:pBdr/>
              <w:spacing w:line="230" w:lineRule="auto"/>
              <w:ind/>
              <w:jc w:val="center"/>
              <w:rPr/>
            </w:pPr>
            <w:r>
              <w:rPr>
                <w:b/>
                <w:bCs/>
                <w:sz w:val="15"/>
                <w:szCs w:val="15"/>
                <w:rtl w:val="0"/>
              </w:rPr>
              <w:t xml:space="preserve">I</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5">
            <w:pPr>
              <w:pBdr/>
              <w:spacing w:line="230" w:lineRule="auto"/>
              <w:ind/>
              <w:jc w:val="both"/>
              <w:rPr/>
            </w:pPr>
            <w:r>
              <w:rPr>
                <w:sz w:val="15"/>
                <w:szCs w:val="15"/>
                <w:rtl w:val="0"/>
              </w:rPr>
              <w:t xml:space="preserve">Inspección del formulario de registro y del registro de aceptación con marca temporal en la bitácora de auditoría.</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6">
            <w:pPr>
              <w:pBdr/>
              <w:spacing w:line="230" w:lineRule="auto"/>
              <w:ind/>
              <w:rPr/>
            </w:pPr>
            <w:r>
              <w:rPr>
                <w:b/>
                <w:bCs/>
                <w:sz w:val="15"/>
                <w:szCs w:val="15"/>
                <w:rtl w:val="0"/>
              </w:rPr>
              <w:t xml:space="preserve">SYS-FN-37</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7">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8">
            <w:pPr>
              <w:pBdr/>
              <w:spacing w:line="230" w:lineRule="auto"/>
              <w:ind/>
              <w:jc w:val="both"/>
              <w:rPr/>
            </w:pPr>
            <w:r>
              <w:rPr>
                <w:sz w:val="15"/>
                <w:szCs w:val="15"/>
                <w:rtl w:val="0"/>
              </w:rPr>
              <w:t xml:space="preserve">El módulo de privacidad deberá permitir al usuario solicitar la cancelación de su cuenta, ejecutando la desactivación inmediata y programando la eliminación definitiva de sus datos personales tras 30 días.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9">
            <w:pPr>
              <w:pBdr/>
              <w:spacing w:line="230" w:lineRule="auto"/>
              <w:ind/>
              <w:jc w:val="center"/>
              <w:rPr/>
            </w:pPr>
            <w:r>
              <w:rPr>
                <w:sz w:val="15"/>
                <w:szCs w:val="15"/>
                <w:rtl w:val="0"/>
              </w:rPr>
              <w:t xml:space="preserve">F</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A">
            <w:pPr>
              <w:pBdr/>
              <w:spacing w:line="230" w:lineRule="auto"/>
              <w:ind/>
              <w:rPr/>
            </w:pPr>
            <w:r>
              <w:rPr>
                <w:sz w:val="15"/>
                <w:szCs w:val="15"/>
                <w:rtl w:val="0"/>
              </w:rPr>
              <w:t xml:space="preserve">Privacidad (M9)</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B">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C">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D">
            <w:pPr>
              <w:pBdr/>
              <w:spacing w:line="230" w:lineRule="auto"/>
              <w:ind/>
              <w:jc w:val="center"/>
              <w:rPr/>
            </w:pPr>
            <w:r>
              <w:rPr>
                <w:b/>
                <w:bCs/>
                <w:sz w:val="15"/>
                <w:szCs w:val="15"/>
                <w:rtl w:val="0"/>
              </w:rPr>
              <w:t xml:space="preserve">T</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6E">
            <w:pPr>
              <w:pBdr/>
              <w:spacing w:line="230" w:lineRule="auto"/>
              <w:ind/>
              <w:jc w:val="both"/>
              <w:rPr/>
            </w:pPr>
            <w:r>
              <w:rPr>
                <w:sz w:val="15"/>
                <w:szCs w:val="15"/>
                <w:rtl w:val="0"/>
              </w:rPr>
              <w:t xml:space="preserve">CT-PRV-37: Solicitar cancelación, verificar desactivación inmediata y la programación del borrado a 30 días.</w:t>
            </w:r>
            <w:r>
              <w:rPr>
                <w:rtl w:val="0"/>
              </w:rPr>
            </w:r>
            <w:r/>
          </w:p>
        </w:tc>
      </w:tr>
      <w:tr>
        <w:trPr>
          <w:cantSplit w:val="false"/>
        </w:trPr>
        <w:tc>
          <w:tcPr>
            <w:gridSpan w:val="9"/>
            <w:shd w:val="clear" w:color="auto" w:fill="d6e0f0"/>
            <w:tcBorders>
              <w:top w:val="single" w:color="000000" w:sz="4" w:space="0"/>
              <w:left w:val="single" w:color="000000" w:sz="4" w:space="0"/>
              <w:bottom w:val="single" w:color="000000" w:sz="4" w:space="0"/>
              <w:right w:val="single" w:color="000000" w:sz="4" w:space="0"/>
            </w:tcBorders>
            <w:tcMar>
              <w:left w:w="90" w:type="dxa"/>
              <w:top w:w="70" w:type="dxa"/>
              <w:right w:w="90" w:type="dxa"/>
              <w:bottom w:w="70" w:type="dxa"/>
            </w:tcMar>
          </w:tcPr>
          <w:p w14:paraId="0000026F">
            <w:pPr>
              <w:pBdr/>
              <w:spacing/>
              <w:ind/>
              <w:rPr>
                <w:color w:val="000000" w:themeColor="text1"/>
              </w:rPr>
            </w:pPr>
            <w:r>
              <w:rPr>
                <w:b/>
                <w:bCs/>
                <w:color w:val="000000" w:themeColor="text1"/>
                <w:sz w:val="17"/>
                <w:szCs w:val="17"/>
                <w:rtl w:val="0"/>
              </w:rPr>
              <w:t xml:space="preserve">B. REQUISITOS NO FUNCIONALES — ATRIBUTOS DE CALIDAD ISO/IEC 25010  (16 requisitos)</w:t>
            </w:r>
            <w:r>
              <w:rPr>
                <w:color w:val="000000" w:themeColor="text1"/>
              </w:rP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8">
            <w:pPr>
              <w:pBdr/>
              <w:spacing w:line="230" w:lineRule="auto"/>
              <w:ind/>
              <w:rPr/>
            </w:pPr>
            <w:r>
              <w:rPr>
                <w:b/>
                <w:bCs/>
                <w:sz w:val="15"/>
                <w:szCs w:val="15"/>
                <w:rtl w:val="0"/>
              </w:rPr>
              <w:t xml:space="preserve">SYS-NFN-01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9">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A">
            <w:pPr>
              <w:pBdr/>
              <w:spacing w:line="230" w:lineRule="auto"/>
              <w:ind/>
              <w:jc w:val="both"/>
              <w:rPr/>
            </w:pPr>
            <w:r>
              <w:rPr>
                <w:sz w:val="15"/>
                <w:szCs w:val="15"/>
                <w:rtl w:val="0"/>
              </w:rPr>
              <w:t xml:space="preserve">El sistema de base de datos deberá cifrar la totalidad de los datos almacenados en reposo utilizando el algoritmo AES-256, incluyendo las tablas de usuarios, demandas, cotizaciones y auditoría.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B">
            <w:pPr>
              <w:pBdr/>
              <w:spacing w:line="230" w:lineRule="auto"/>
              <w:ind/>
              <w:jc w:val="center"/>
              <w:rPr/>
            </w:pPr>
            <w:r>
              <w:rPr>
                <w:sz w:val="15"/>
                <w:szCs w:val="15"/>
                <w:rtl w:val="0"/>
              </w:rPr>
              <w:t xml:space="preserve">NF-Seg</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C">
            <w:pPr>
              <w:pBdr/>
              <w:spacing w:line="230" w:lineRule="auto"/>
              <w:ind/>
              <w:rPr/>
            </w:pPr>
            <w:r>
              <w:rPr>
                <w:sz w:val="15"/>
                <w:szCs w:val="15"/>
                <w:rtl w:val="0"/>
              </w:rPr>
              <w:t xml:space="preserve">Base de Datos (Capa 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D">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E">
            <w:pPr>
              <w:pBdr/>
              <w:spacing w:line="230" w:lineRule="auto"/>
              <w:ind/>
              <w:rPr/>
            </w:pPr>
            <w:r>
              <w:rPr>
                <w:sz w:val="15"/>
                <w:szCs w:val="15"/>
                <w:rtl w:val="0"/>
              </w:rPr>
              <w:t xml:space="preserve">ISO/IEC 25010 (fuente no humana)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7F">
            <w:pPr>
              <w:pBdr/>
              <w:spacing w:line="230" w:lineRule="auto"/>
              <w:ind/>
              <w:jc w:val="center"/>
              <w:rPr/>
            </w:pPr>
            <w:r>
              <w:rPr>
                <w:b/>
                <w:bCs/>
                <w:sz w:val="15"/>
                <w:szCs w:val="15"/>
                <w:rtl w:val="0"/>
              </w:rPr>
              <w:t xml:space="preserve">I</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0">
            <w:pPr>
              <w:pBdr/>
              <w:spacing w:line="230" w:lineRule="auto"/>
              <w:ind/>
              <w:jc w:val="both"/>
              <w:rPr/>
            </w:pPr>
            <w:r>
              <w:rPr>
                <w:sz w:val="15"/>
                <w:szCs w:val="15"/>
                <w:rtl w:val="0"/>
              </w:rPr>
              <w:t xml:space="preserve">Inspección de la configuración de cifrado de volúmenes de la base de datos y del algoritmo declarado por el proveedor cloud.</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1">
            <w:pPr>
              <w:pBdr/>
              <w:spacing w:line="230" w:lineRule="auto"/>
              <w:ind/>
              <w:rPr/>
            </w:pPr>
            <w:r>
              <w:rPr>
                <w:b/>
                <w:bCs/>
                <w:sz w:val="15"/>
                <w:szCs w:val="15"/>
                <w:rtl w:val="0"/>
              </w:rPr>
              <w:t xml:space="preserve">SYS-NFN-02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2">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3">
            <w:pPr>
              <w:pBdr/>
              <w:spacing w:line="230" w:lineRule="auto"/>
              <w:ind/>
              <w:jc w:val="both"/>
              <w:rPr/>
            </w:pPr>
            <w:r>
              <w:rPr>
                <w:sz w:val="15"/>
                <w:szCs w:val="15"/>
                <w:rtl w:val="0"/>
              </w:rPr>
              <w:t xml:space="preserve">Todas las comunicaciones entre el navegador del usuario y el servidor deberán realizarse exclusivamente mediante el protocolo TLS 1.3 o superior, con certificados emitidos por una autoridad reconocida.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4">
            <w:pPr>
              <w:pBdr/>
              <w:spacing w:line="230" w:lineRule="auto"/>
              <w:ind/>
              <w:jc w:val="center"/>
              <w:rPr/>
            </w:pPr>
            <w:r>
              <w:rPr>
                <w:sz w:val="15"/>
                <w:szCs w:val="15"/>
                <w:rtl w:val="0"/>
              </w:rPr>
              <w:t xml:space="preserve">NF-Seg</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5">
            <w:pPr>
              <w:pBdr/>
              <w:spacing w:line="230" w:lineRule="auto"/>
              <w:ind/>
              <w:rPr/>
            </w:pPr>
            <w:r>
              <w:rPr>
                <w:sz w:val="15"/>
                <w:szCs w:val="15"/>
                <w:rtl w:val="0"/>
              </w:rPr>
              <w:t xml:space="preserve">Infraestructura (Capa 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6">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7">
            <w:pPr>
              <w:pBdr/>
              <w:spacing w:line="230" w:lineRule="auto"/>
              <w:ind/>
              <w:rPr/>
            </w:pPr>
            <w:r>
              <w:rPr>
                <w:sz w:val="15"/>
                <w:szCs w:val="15"/>
                <w:rtl w:val="0"/>
              </w:rPr>
              <w:t xml:space="preserve">OWASP / 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8">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9">
            <w:pPr>
              <w:pBdr/>
              <w:spacing w:line="230" w:lineRule="auto"/>
              <w:ind/>
              <w:jc w:val="both"/>
              <w:rPr/>
            </w:pPr>
            <w:r>
              <w:rPr>
                <w:sz w:val="15"/>
                <w:szCs w:val="15"/>
                <w:rtl w:val="0"/>
              </w:rPr>
              <w:t xml:space="preserve">Análisis con herramienta de escaneo SSL verificando protocolo TLS 1.3 activo y ausencia de versiones obsoletas habilitadas.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A">
            <w:pPr>
              <w:pBdr/>
              <w:spacing w:line="230" w:lineRule="auto"/>
              <w:ind/>
              <w:rPr/>
            </w:pPr>
            <w:r>
              <w:rPr>
                <w:b/>
                <w:bCs/>
                <w:sz w:val="15"/>
                <w:szCs w:val="15"/>
                <w:rtl w:val="0"/>
              </w:rPr>
              <w:t xml:space="preserve">SYS-NFN-03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B">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C">
            <w:pPr>
              <w:pBdr/>
              <w:spacing w:line="230" w:lineRule="auto"/>
              <w:ind/>
              <w:jc w:val="both"/>
              <w:rPr/>
            </w:pPr>
            <w:r>
              <w:rPr>
                <w:sz w:val="15"/>
                <w:szCs w:val="15"/>
                <w:rtl w:val="0"/>
              </w:rPr>
              <w:t xml:space="preserve">La infraestructura deberá limitar las solicitudes entrantes a un máximo de 120 peticiones por minuto por dirección IP, rechazando el exceso con código de estado HTTP 429.</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D">
            <w:pPr>
              <w:pBdr/>
              <w:spacing w:line="230" w:lineRule="auto"/>
              <w:ind/>
              <w:jc w:val="center"/>
              <w:rPr/>
            </w:pPr>
            <w:r>
              <w:rPr>
                <w:sz w:val="15"/>
                <w:szCs w:val="15"/>
                <w:rtl w:val="0"/>
              </w:rPr>
              <w:t xml:space="preserve">NF-Seg</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E">
            <w:pPr>
              <w:pBdr/>
              <w:spacing w:line="230" w:lineRule="auto"/>
              <w:ind/>
              <w:rPr/>
            </w:pPr>
            <w:r>
              <w:rPr>
                <w:sz w:val="15"/>
                <w:szCs w:val="15"/>
                <w:rtl w:val="0"/>
              </w:rPr>
              <w:t xml:space="preserve">Infraestructura (Capa 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8F">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0">
            <w:pPr>
              <w:pBdr/>
              <w:spacing w:line="230" w:lineRule="auto"/>
              <w:ind/>
              <w:rPr/>
            </w:pPr>
            <w:r>
              <w:rPr>
                <w:sz w:val="15"/>
                <w:szCs w:val="15"/>
                <w:rtl w:val="0"/>
              </w:rPr>
              <w:t xml:space="preserve">OWASP / Análisis normativo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1">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2">
            <w:pPr>
              <w:pBdr/>
              <w:spacing w:line="230" w:lineRule="auto"/>
              <w:ind/>
              <w:jc w:val="both"/>
              <w:rPr/>
            </w:pPr>
            <w:r>
              <w:rPr>
                <w:sz w:val="15"/>
                <w:szCs w:val="15"/>
                <w:rtl w:val="0"/>
              </w:rPr>
              <w:t xml:space="preserve">Análisis mediante prueba de carga que emite 200 peticiones por minuto desde una IP y verifica respuestas 429 a partir de la 121.</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3">
            <w:pPr>
              <w:pBdr/>
              <w:spacing w:line="230" w:lineRule="auto"/>
              <w:ind/>
              <w:rPr/>
            </w:pPr>
            <w:r>
              <w:rPr>
                <w:b/>
                <w:bCs/>
                <w:sz w:val="15"/>
                <w:szCs w:val="15"/>
                <w:rtl w:val="0"/>
              </w:rPr>
              <w:t xml:space="preserve">SYS-NFN-04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4">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5">
            <w:pPr>
              <w:pBdr/>
              <w:spacing w:line="230" w:lineRule="auto"/>
              <w:ind/>
              <w:jc w:val="both"/>
              <w:rPr/>
            </w:pPr>
            <w:r>
              <w:rPr>
                <w:sz w:val="15"/>
                <w:szCs w:val="15"/>
                <w:rtl w:val="0"/>
              </w:rPr>
              <w:t xml:space="preserve">El módulo de auditoría deberá conservar los registros en almacenamiento de acceso rápido durante 90 días y en almacenamiento de archivo durante 7 años, conforme a la normativa fiscal y comercial nicaragüense.</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6">
            <w:pPr>
              <w:pBdr/>
              <w:spacing w:line="230" w:lineRule="auto"/>
              <w:ind/>
              <w:jc w:val="center"/>
              <w:rPr/>
            </w:pPr>
            <w:r>
              <w:rPr>
                <w:sz w:val="15"/>
                <w:szCs w:val="15"/>
                <w:rtl w:val="0"/>
              </w:rPr>
              <w:t xml:space="preserve">NF-Cum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7">
            <w:pPr>
              <w:pBdr/>
              <w:spacing w:line="230" w:lineRule="auto"/>
              <w:ind/>
              <w:rPr/>
            </w:pPr>
            <w:r>
              <w:rPr>
                <w:sz w:val="15"/>
                <w:szCs w:val="15"/>
                <w:rtl w:val="0"/>
              </w:rPr>
              <w:t xml:space="preserve">Auditoría (Capa 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8">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9">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A">
            <w:pPr>
              <w:pBdr/>
              <w:spacing w:line="230" w:lineRule="auto"/>
              <w:ind/>
              <w:jc w:val="center"/>
              <w:rPr/>
            </w:pPr>
            <w:r>
              <w:rPr>
                <w:b/>
                <w:bCs/>
                <w:sz w:val="15"/>
                <w:szCs w:val="15"/>
                <w:rtl w:val="0"/>
              </w:rPr>
              <w:t xml:space="preserve">I</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B">
            <w:pPr>
              <w:pBdr/>
              <w:spacing w:line="230" w:lineRule="auto"/>
              <w:ind/>
              <w:jc w:val="both"/>
              <w:rPr/>
            </w:pPr>
            <w:r>
              <w:rPr>
                <w:sz w:val="15"/>
                <w:szCs w:val="15"/>
                <w:rtl w:val="0"/>
              </w:rPr>
              <w:t xml:space="preserve">Inspección de las políticas de ciclo de vida del almacenamiento y verificación del archivado automático a los 90 días.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C">
            <w:pPr>
              <w:pBdr/>
              <w:spacing w:line="230" w:lineRule="auto"/>
              <w:ind/>
              <w:rPr/>
            </w:pPr>
            <w:r>
              <w:rPr>
                <w:b/>
                <w:bCs/>
                <w:sz w:val="15"/>
                <w:szCs w:val="15"/>
                <w:rtl w:val="0"/>
              </w:rPr>
              <w:t xml:space="preserve">SYS-NFN-05</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D">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E">
            <w:pPr>
              <w:pBdr/>
              <w:spacing w:line="230" w:lineRule="auto"/>
              <w:ind/>
              <w:jc w:val="both"/>
              <w:rPr/>
            </w:pPr>
            <w:r>
              <w:rPr>
                <w:sz w:val="15"/>
                <w:szCs w:val="15"/>
                <w:rtl w:val="0"/>
              </w:rPr>
              <w:t xml:space="preserve">El servidor deberá completar el procesamiento y la notificación de una cotización en un tiempo máximo de 4,0 segundos bajo condiciones de carga nominal, medido desde la confirmación del proveedor.</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9F">
            <w:pPr>
              <w:pBdr/>
              <w:spacing w:line="230" w:lineRule="auto"/>
              <w:ind/>
              <w:jc w:val="center"/>
              <w:rPr/>
            </w:pPr>
            <w:r>
              <w:rPr>
                <w:sz w:val="15"/>
                <w:szCs w:val="15"/>
                <w:rtl w:val="0"/>
              </w:rPr>
              <w:t xml:space="preserve">NF-Ren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0">
            <w:pPr>
              <w:pBdr/>
              <w:spacing w:line="230" w:lineRule="auto"/>
              <w:ind/>
              <w:rPr/>
            </w:pPr>
            <w:r>
              <w:rPr>
                <w:sz w:val="15"/>
                <w:szCs w:val="15"/>
                <w:rtl w:val="0"/>
              </w:rPr>
              <w:t xml:space="preserve">Backend (Capa 2 · M6)</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1">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2">
            <w:pPr>
              <w:pBdr/>
              <w:spacing w:line="230" w:lineRule="auto"/>
              <w:ind/>
              <w:rPr/>
            </w:pPr>
            <w:r>
              <w:rPr>
                <w:sz w:val="15"/>
                <w:szCs w:val="15"/>
                <w:rtl w:val="0"/>
              </w:rPr>
              <w:t xml:space="preserve">Benchmarking competitivo</w:t>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3">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4">
            <w:pPr>
              <w:pBdr/>
              <w:spacing w:line="230" w:lineRule="auto"/>
              <w:ind/>
              <w:jc w:val="both"/>
              <w:rPr/>
            </w:pPr>
            <w:r>
              <w:rPr>
                <w:sz w:val="15"/>
                <w:szCs w:val="15"/>
                <w:rtl w:val="0"/>
              </w:rPr>
              <w:t xml:space="preserve">Análisis de trazas de rendimiento con 50 cotizaciones simultáneas verificando percentil 95 por debajo de 4,0 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5">
            <w:pPr>
              <w:pBdr/>
              <w:spacing w:line="230" w:lineRule="auto"/>
              <w:ind/>
              <w:rPr/>
            </w:pPr>
            <w:r>
              <w:rPr>
                <w:b/>
                <w:bCs/>
                <w:sz w:val="15"/>
                <w:szCs w:val="15"/>
                <w:rtl w:val="0"/>
              </w:rPr>
              <w:t xml:space="preserve">SYS-NFN-06</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6">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7">
            <w:pPr>
              <w:pBdr/>
              <w:spacing w:line="230" w:lineRule="auto"/>
              <w:ind/>
              <w:jc w:val="both"/>
              <w:rPr/>
            </w:pPr>
            <w:r>
              <w:rPr>
                <w:sz w:val="15"/>
                <w:szCs w:val="15"/>
                <w:rtl w:val="0"/>
              </w:rPr>
              <w:t xml:space="preserve">El sistema deberá soportar un mínimo de 500 usuarios concurrentes autenticados sin que el tiempo de respuesta se degrade más de un 20% respecto de la línea base de rendimiento.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8">
            <w:pPr>
              <w:pBdr/>
              <w:spacing w:line="230" w:lineRule="auto"/>
              <w:ind/>
              <w:jc w:val="center"/>
              <w:rPr/>
            </w:pPr>
            <w:r>
              <w:rPr>
                <w:sz w:val="15"/>
                <w:szCs w:val="15"/>
                <w:rtl w:val="0"/>
              </w:rPr>
              <w:t xml:space="preserve">NF-Ren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9">
            <w:pPr>
              <w:pBdr/>
              <w:spacing w:line="230" w:lineRule="auto"/>
              <w:ind/>
              <w:rPr/>
            </w:pPr>
            <w:r>
              <w:rPr>
                <w:sz w:val="15"/>
                <w:szCs w:val="15"/>
                <w:rtl w:val="0"/>
              </w:rPr>
              <w:t xml:space="preserve">Infraestructura (Capa 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A">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B">
            <w:pPr>
              <w:pBdr/>
              <w:spacing w:line="230" w:lineRule="auto"/>
              <w:ind/>
              <w:rPr/>
            </w:pPr>
            <w:r>
              <w:rPr>
                <w:sz w:val="15"/>
                <w:szCs w:val="15"/>
                <w:rtl w:val="0"/>
              </w:rPr>
              <w:t xml:space="preserve">Benchmarking competitivo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C">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D">
            <w:pPr>
              <w:pBdr/>
              <w:spacing w:line="230" w:lineRule="auto"/>
              <w:ind/>
              <w:jc w:val="both"/>
              <w:rPr/>
            </w:pPr>
            <w:r>
              <w:rPr>
                <w:sz w:val="15"/>
                <w:szCs w:val="15"/>
                <w:rtl w:val="0"/>
              </w:rPr>
              <w:t xml:space="preserve">Prueba de carga con 500 usuarios virtuales concurrentes comparando tiempos de respuesta contra la línea base registrada.</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E">
            <w:pPr>
              <w:pBdr/>
              <w:spacing w:line="230" w:lineRule="auto"/>
              <w:ind/>
              <w:rPr/>
            </w:pPr>
            <w:r>
              <w:rPr>
                <w:b/>
                <w:bCs/>
                <w:sz w:val="15"/>
                <w:szCs w:val="15"/>
                <w:rtl w:val="0"/>
              </w:rPr>
              <w:t xml:space="preserve">SYS-NFN-07</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AF">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0">
            <w:pPr>
              <w:pBdr/>
              <w:spacing w:line="230" w:lineRule="auto"/>
              <w:ind/>
              <w:jc w:val="both"/>
              <w:rPr/>
            </w:pPr>
            <w:r>
              <w:rPr>
                <w:sz w:val="15"/>
                <w:szCs w:val="15"/>
                <w:rtl w:val="0"/>
              </w:rPr>
              <w:t xml:space="preserve">La arquitectura del backend deberá permitir el escalamiento horizontal mediante la incorporación de instancias adicionales, soportando un crecimiento del 200% en el número de usuarios durante el primer año.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1">
            <w:pPr>
              <w:pBdr/>
              <w:spacing w:line="230" w:lineRule="auto"/>
              <w:ind/>
              <w:jc w:val="center"/>
              <w:rPr/>
            </w:pPr>
            <w:r>
              <w:rPr>
                <w:sz w:val="15"/>
                <w:szCs w:val="15"/>
                <w:rtl w:val="0"/>
              </w:rPr>
              <w:t xml:space="preserve">NF-Esc</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2">
            <w:pPr>
              <w:pBdr/>
              <w:spacing w:line="230" w:lineRule="auto"/>
              <w:ind/>
              <w:rPr/>
            </w:pPr>
            <w:r>
              <w:rPr>
                <w:sz w:val="15"/>
                <w:szCs w:val="15"/>
                <w:rtl w:val="0"/>
              </w:rPr>
              <w:t xml:space="preserve">Infraestructura (Capa 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3">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4">
            <w:pPr>
              <w:pBdr/>
              <w:spacing w:line="230" w:lineRule="auto"/>
              <w:ind/>
              <w:rPr/>
            </w:pPr>
            <w:r>
              <w:rPr>
                <w:sz w:val="15"/>
                <w:szCs w:val="15"/>
                <w:rtl w:val="0"/>
              </w:rPr>
              <w:t xml:space="preserve">Descomposición jerárquica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5">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6">
            <w:pPr>
              <w:pBdr/>
              <w:spacing w:line="230" w:lineRule="auto"/>
              <w:ind/>
              <w:jc w:val="both"/>
              <w:rPr/>
            </w:pPr>
            <w:r>
              <w:rPr>
                <w:sz w:val="15"/>
                <w:szCs w:val="15"/>
                <w:rtl w:val="0"/>
              </w:rPr>
              <w:t xml:space="preserve">Análisis del diseño arquitectónico verificando la existencia de balanceo de carga y réplicas de lectura configurables.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7">
            <w:pPr>
              <w:pBdr/>
              <w:spacing w:line="230" w:lineRule="auto"/>
              <w:ind/>
              <w:rPr/>
            </w:pPr>
            <w:r>
              <w:rPr>
                <w:b/>
                <w:bCs/>
                <w:sz w:val="15"/>
                <w:szCs w:val="15"/>
                <w:rtl w:val="0"/>
              </w:rPr>
              <w:t xml:space="preserve">SYS-NFN-08</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8">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9">
            <w:pPr>
              <w:pBdr/>
              <w:spacing w:line="230" w:lineRule="auto"/>
              <w:ind/>
              <w:jc w:val="both"/>
              <w:rPr/>
            </w:pPr>
            <w:r>
              <w:rPr>
                <w:sz w:val="15"/>
                <w:szCs w:val="15"/>
                <w:rtl w:val="0"/>
              </w:rPr>
              <w:t xml:space="preserve">La página de inicio deberá completar su carga en menos de 2,5 segundos sobre conexiones 4G/LTE con latencia de 100 ms, y en menos de 5,0 segundos sobre conexiones 3G.</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A">
            <w:pPr>
              <w:pBdr/>
              <w:spacing w:line="230" w:lineRule="auto"/>
              <w:ind/>
              <w:jc w:val="center"/>
              <w:rPr/>
            </w:pPr>
            <w:r>
              <w:rPr>
                <w:sz w:val="15"/>
                <w:szCs w:val="15"/>
                <w:rtl w:val="0"/>
              </w:rPr>
              <w:t xml:space="preserve">NF-Ren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B">
            <w:pPr>
              <w:pBdr/>
              <w:spacing w:line="230" w:lineRule="auto"/>
              <w:ind/>
              <w:rPr/>
            </w:pPr>
            <w:r>
              <w:rPr>
                <w:sz w:val="15"/>
                <w:szCs w:val="15"/>
                <w:rtl w:val="0"/>
              </w:rPr>
              <w:t xml:space="preserve">Frontend (Capa 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C">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D">
            <w:pPr>
              <w:pBdr/>
              <w:spacing w:line="230" w:lineRule="auto"/>
              <w:ind/>
              <w:rPr/>
            </w:pPr>
            <w:r>
              <w:rPr>
                <w:sz w:val="15"/>
                <w:szCs w:val="15"/>
                <w:rtl w:val="0"/>
              </w:rPr>
              <w:t xml:space="preserve">Observación contextual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E">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BF">
            <w:pPr>
              <w:pBdr/>
              <w:spacing w:line="230" w:lineRule="auto"/>
              <w:ind/>
              <w:jc w:val="both"/>
              <w:rPr/>
            </w:pPr>
            <w:r>
              <w:rPr>
                <w:sz w:val="15"/>
                <w:szCs w:val="15"/>
                <w:rtl w:val="0"/>
              </w:rPr>
              <w:t xml:space="preserve">Análisis de rendimiento simulando condiciones de red 4G y 3G, verificando ambos umbrales en tres mediciones consecutivas.</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0">
            <w:pPr>
              <w:pBdr/>
              <w:spacing w:line="230" w:lineRule="auto"/>
              <w:ind/>
              <w:rPr/>
            </w:pPr>
            <w:r>
              <w:rPr>
                <w:b/>
                <w:bCs/>
                <w:sz w:val="15"/>
                <w:szCs w:val="15"/>
                <w:rtl w:val="0"/>
              </w:rPr>
              <w:t xml:space="preserve">SYS-NFN-09</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1">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2">
            <w:pPr>
              <w:pBdr/>
              <w:spacing w:line="230" w:lineRule="auto"/>
              <w:ind/>
              <w:jc w:val="both"/>
              <w:rPr/>
            </w:pPr>
            <w:r>
              <w:rPr>
                <w:sz w:val="15"/>
                <w:szCs w:val="15"/>
                <w:rtl w:val="0"/>
              </w:rPr>
              <w:t xml:space="preserve">La interfaz deberá adaptarse a resoluciones de pantalla desde 320 px de ancho, manteniendo la totalidad de las funciones operativas sin desplazamiento horizontal.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3">
            <w:pPr>
              <w:pBdr/>
              <w:spacing w:line="230" w:lineRule="auto"/>
              <w:ind/>
              <w:jc w:val="center"/>
              <w:rPr/>
            </w:pPr>
            <w:r>
              <w:rPr>
                <w:sz w:val="15"/>
                <w:szCs w:val="15"/>
                <w:rtl w:val="0"/>
              </w:rPr>
              <w:t xml:space="preserve">NF-Usa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4">
            <w:pPr>
              <w:pBdr/>
              <w:spacing w:line="230" w:lineRule="auto"/>
              <w:ind/>
              <w:rPr/>
            </w:pPr>
            <w:r>
              <w:rPr>
                <w:sz w:val="15"/>
                <w:szCs w:val="15"/>
                <w:rtl w:val="0"/>
              </w:rPr>
              <w:t xml:space="preserve">Frontend (Capa 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5">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6">
            <w:pPr>
              <w:pBdr/>
              <w:spacing w:line="230" w:lineRule="auto"/>
              <w:ind/>
              <w:rPr/>
            </w:pPr>
            <w:r>
              <w:rPr>
                <w:sz w:val="15"/>
                <w:szCs w:val="15"/>
                <w:rtl w:val="0"/>
              </w:rPr>
              <w:t xml:space="preserve">Observación contextual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7">
            <w:pPr>
              <w:pBdr/>
              <w:spacing w:line="230" w:lineRule="auto"/>
              <w:ind/>
              <w:jc w:val="center"/>
              <w:rPr/>
            </w:pPr>
            <w:r>
              <w:rPr>
                <w:b/>
                <w:bCs/>
                <w:sz w:val="15"/>
                <w:szCs w:val="15"/>
                <w:rtl w:val="0"/>
              </w:rPr>
              <w:t xml:space="preserve">D</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8">
            <w:pPr>
              <w:pBdr/>
              <w:spacing w:line="230" w:lineRule="auto"/>
              <w:ind/>
              <w:jc w:val="both"/>
              <w:rPr/>
            </w:pPr>
            <w:r>
              <w:rPr>
                <w:sz w:val="15"/>
                <w:szCs w:val="15"/>
                <w:rtl w:val="0"/>
              </w:rPr>
              <w:t xml:space="preserve">Demostración del flujo completo de publicación de demanda en un dispositivo móvil de 320 px sin scroll horizontal.</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9">
            <w:pPr>
              <w:pBdr/>
              <w:spacing w:line="230" w:lineRule="auto"/>
              <w:ind/>
              <w:rPr/>
            </w:pPr>
            <w:r>
              <w:rPr>
                <w:b/>
                <w:bCs/>
                <w:sz w:val="15"/>
                <w:szCs w:val="15"/>
                <w:rtl w:val="0"/>
              </w:rPr>
              <w:t xml:space="preserve">SYS-NFN-10</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A">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B">
            <w:pPr>
              <w:pBdr/>
              <w:spacing w:line="230" w:lineRule="auto"/>
              <w:ind/>
              <w:jc w:val="both"/>
              <w:rPr/>
            </w:pPr>
            <w:r>
              <w:rPr>
                <w:sz w:val="15"/>
                <w:szCs w:val="15"/>
                <w:rtl w:val="0"/>
              </w:rPr>
              <w:t xml:space="preserve">Los recursos estáticos deberán entregarse comprimidos y minificados, con un peso máximo de 2,5 MB por página en la vista inicial.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C">
            <w:pPr>
              <w:pBdr/>
              <w:spacing w:line="230" w:lineRule="auto"/>
              <w:ind/>
              <w:jc w:val="center"/>
              <w:rPr/>
            </w:pPr>
            <w:r>
              <w:rPr>
                <w:sz w:val="15"/>
                <w:szCs w:val="15"/>
                <w:rtl w:val="0"/>
              </w:rPr>
              <w:t xml:space="preserve">NF-Ren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D">
            <w:pPr>
              <w:pBdr/>
              <w:spacing w:line="230" w:lineRule="auto"/>
              <w:ind/>
              <w:rPr/>
            </w:pPr>
            <w:r>
              <w:rPr>
                <w:sz w:val="15"/>
                <w:szCs w:val="15"/>
                <w:rtl w:val="0"/>
              </w:rPr>
              <w:t xml:space="preserve">Frontend (Capa 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E">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CF">
            <w:pPr>
              <w:pBdr/>
              <w:spacing w:line="230" w:lineRule="auto"/>
              <w:ind/>
              <w:rPr/>
            </w:pPr>
            <w:r>
              <w:rPr>
                <w:sz w:val="15"/>
                <w:szCs w:val="15"/>
                <w:rtl w:val="0"/>
              </w:rPr>
              <w:t xml:space="preserve">Benchmarking competitivo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0">
            <w:pPr>
              <w:pBdr/>
              <w:spacing w:line="230" w:lineRule="auto"/>
              <w:ind/>
              <w:jc w:val="center"/>
              <w:rPr/>
            </w:pPr>
            <w:r>
              <w:rPr>
                <w:b/>
                <w:bCs/>
                <w:sz w:val="15"/>
                <w:szCs w:val="15"/>
                <w:rtl w:val="0"/>
              </w:rPr>
              <w:t xml:space="preserve">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1">
            <w:pPr>
              <w:pBdr/>
              <w:spacing w:line="230" w:lineRule="auto"/>
              <w:ind/>
              <w:jc w:val="both"/>
              <w:rPr/>
            </w:pPr>
            <w:r>
              <w:rPr>
                <w:sz w:val="15"/>
                <w:szCs w:val="15"/>
                <w:rtl w:val="0"/>
              </w:rPr>
              <w:t xml:space="preserve">Análisis del payload de la página de inicio con herramienta de auditoría web verificando un total inferior a 2,5 MB.</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2">
            <w:pPr>
              <w:pBdr/>
              <w:spacing w:line="230" w:lineRule="auto"/>
              <w:ind/>
              <w:rPr/>
            </w:pPr>
            <w:r>
              <w:rPr>
                <w:b/>
                <w:bCs/>
                <w:sz w:val="15"/>
                <w:szCs w:val="15"/>
                <w:rtl w:val="0"/>
              </w:rPr>
              <w:t xml:space="preserve">SYS-NFN-11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3">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4">
            <w:pPr>
              <w:pBdr/>
              <w:spacing w:line="230" w:lineRule="auto"/>
              <w:ind/>
              <w:jc w:val="both"/>
              <w:rPr/>
            </w:pPr>
            <w:r>
              <w:rPr>
                <w:sz w:val="15"/>
                <w:szCs w:val="15"/>
                <w:rtl w:val="0"/>
              </w:rPr>
              <w:t xml:space="preserve">El frontend deberá presentar ayuda contextual en todos los formularios críticos y una sección de tutoriales en video con una duración no superior a 3 minutos por módulo.</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5">
            <w:pPr>
              <w:pBdr/>
              <w:spacing w:line="230" w:lineRule="auto"/>
              <w:ind/>
              <w:jc w:val="center"/>
              <w:rPr/>
            </w:pPr>
            <w:r>
              <w:rPr>
                <w:sz w:val="15"/>
                <w:szCs w:val="15"/>
                <w:rtl w:val="0"/>
              </w:rPr>
              <w:t xml:space="preserve">NF-Usa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6">
            <w:pPr>
              <w:pBdr/>
              <w:spacing w:line="230" w:lineRule="auto"/>
              <w:ind/>
              <w:rPr/>
            </w:pPr>
            <w:r>
              <w:rPr>
                <w:sz w:val="15"/>
                <w:szCs w:val="15"/>
                <w:rtl w:val="0"/>
              </w:rPr>
              <w:t xml:space="preserve">Frontend (Capa 1)</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7">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8">
            <w:pPr>
              <w:pBdr/>
              <w:spacing w:line="230" w:lineRule="auto"/>
              <w:ind/>
              <w:rPr/>
            </w:pPr>
            <w:r>
              <w:rPr>
                <w:sz w:val="15"/>
                <w:szCs w:val="15"/>
                <w:rtl w:val="0"/>
              </w:rPr>
              <w:t xml:space="preserve">Observación contextual</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9">
            <w:pPr>
              <w:pBdr/>
              <w:spacing w:line="230" w:lineRule="auto"/>
              <w:ind/>
              <w:jc w:val="center"/>
              <w:rPr/>
            </w:pPr>
            <w:r>
              <w:rPr>
                <w:b/>
                <w:bCs/>
                <w:sz w:val="15"/>
                <w:szCs w:val="15"/>
                <w:rtl w:val="0"/>
              </w:rPr>
              <w:t xml:space="preserve">I</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A">
            <w:pPr>
              <w:pBdr/>
              <w:spacing w:line="230" w:lineRule="auto"/>
              <w:ind/>
              <w:jc w:val="both"/>
              <w:rPr/>
            </w:pPr>
            <w:r>
              <w:rPr>
                <w:sz w:val="15"/>
                <w:szCs w:val="15"/>
                <w:rtl w:val="0"/>
              </w:rPr>
              <w:t xml:space="preserve">Inspección de la presencia de ayuda contextual en los formularios de registro, demanda y cotización, y de la sección de tutoriales.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B">
            <w:pPr>
              <w:pBdr/>
              <w:spacing w:line="230" w:lineRule="auto"/>
              <w:ind/>
              <w:rPr/>
            </w:pPr>
            <w:r>
              <w:rPr>
                <w:b/>
                <w:bCs/>
                <w:sz w:val="15"/>
                <w:szCs w:val="15"/>
                <w:rtl w:val="0"/>
              </w:rPr>
              <w:t xml:space="preserve">SYS-NFN-12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C">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D">
            <w:pPr>
              <w:pBdr/>
              <w:spacing w:line="230" w:lineRule="auto"/>
              <w:ind/>
              <w:jc w:val="both"/>
              <w:rPr/>
            </w:pPr>
            <w:r>
              <w:rPr>
                <w:sz w:val="15"/>
                <w:szCs w:val="15"/>
                <w:rtl w:val="0"/>
              </w:rPr>
              <w:t xml:space="preserve">La interfaz web deberá ser completamente operable mediante teclado, cumpliendo los criterios de éxito 2.1.1 y 2.1.2 de la norma WCAG 2.1 nivel AA.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E">
            <w:pPr>
              <w:pBdr/>
              <w:spacing w:line="230" w:lineRule="auto"/>
              <w:ind/>
              <w:jc w:val="center"/>
              <w:rPr/>
            </w:pPr>
            <w:r>
              <w:rPr>
                <w:sz w:val="15"/>
                <w:szCs w:val="15"/>
                <w:rtl w:val="0"/>
              </w:rPr>
              <w:t xml:space="preserve">NF-Acc</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DF">
            <w:pPr>
              <w:pBdr/>
              <w:spacing w:line="230" w:lineRule="auto"/>
              <w:ind/>
              <w:rPr/>
            </w:pPr>
            <w:r>
              <w:rPr>
                <w:sz w:val="15"/>
                <w:szCs w:val="15"/>
                <w:rtl w:val="0"/>
              </w:rPr>
              <w:t xml:space="preserve">Frontend (Capa 1)</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0">
            <w:pPr>
              <w:pBdr/>
              <w:spacing w:line="230" w:lineRule="auto"/>
              <w:ind/>
              <w:jc w:val="center"/>
              <w:rPr/>
            </w:pPr>
            <w:r>
              <w:rPr>
                <w:sz w:val="15"/>
                <w:szCs w:val="15"/>
                <w:rtl w:val="0"/>
              </w:rPr>
              <w:t xml:space="preserve">Podría (C)</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1">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2">
            <w:pPr>
              <w:pBdr/>
              <w:spacing w:line="230" w:lineRule="auto"/>
              <w:ind/>
              <w:jc w:val="center"/>
              <w:rPr/>
            </w:pPr>
            <w:r>
              <w:rPr>
                <w:b/>
                <w:bCs/>
                <w:sz w:val="15"/>
                <w:szCs w:val="15"/>
                <w:rtl w:val="0"/>
              </w:rPr>
              <w:t xml:space="preserve">D</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3">
            <w:pPr>
              <w:pBdr/>
              <w:spacing w:line="230" w:lineRule="auto"/>
              <w:ind/>
              <w:jc w:val="both"/>
              <w:rPr/>
            </w:pPr>
            <w:r>
              <w:rPr>
                <w:sz w:val="15"/>
                <w:szCs w:val="15"/>
                <w:rtl w:val="0"/>
              </w:rPr>
              <w:t xml:space="preserve">Demostración de navegación completa por los flujos principales sin uso de dispositivo apuntador.</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4">
            <w:pPr>
              <w:pBdr/>
              <w:spacing w:line="230" w:lineRule="auto"/>
              <w:ind/>
              <w:rPr/>
            </w:pPr>
            <w:r>
              <w:rPr>
                <w:b/>
                <w:bCs/>
                <w:sz w:val="15"/>
                <w:szCs w:val="15"/>
                <w:rtl w:val="0"/>
              </w:rPr>
              <w:t xml:space="preserve">SYS-NFN-13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5">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6">
            <w:pPr>
              <w:pBdr/>
              <w:spacing w:line="230" w:lineRule="auto"/>
              <w:ind/>
              <w:jc w:val="both"/>
              <w:rPr/>
            </w:pPr>
            <w:r>
              <w:rPr>
                <w:sz w:val="15"/>
                <w:szCs w:val="15"/>
                <w:rtl w:val="0"/>
              </w:rPr>
              <w:t xml:space="preserve">La plataforma deberá mantener una disponibilidad mensual igual o superior al 99,0 %, excluyendo las ventanas de mantenimiento programado comunicadas con 72 horas de antelación.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7">
            <w:pPr>
              <w:pBdr/>
              <w:spacing w:line="230" w:lineRule="auto"/>
              <w:ind/>
              <w:jc w:val="center"/>
              <w:rPr/>
            </w:pPr>
            <w:r>
              <w:rPr>
                <w:sz w:val="15"/>
                <w:szCs w:val="15"/>
                <w:rtl w:val="0"/>
              </w:rPr>
              <w:t xml:space="preserve">NF-Fia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8">
            <w:pPr>
              <w:pBdr/>
              <w:spacing w:line="230" w:lineRule="auto"/>
              <w:ind/>
              <w:rPr/>
            </w:pPr>
            <w:r>
              <w:rPr>
                <w:sz w:val="15"/>
                <w:szCs w:val="15"/>
                <w:rtl w:val="0"/>
              </w:rPr>
              <w:t xml:space="preserve">Infraestructura (Capa 4)</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9">
            <w:pPr>
              <w:pBdr/>
              <w:spacing w:line="230" w:lineRule="auto"/>
              <w:ind/>
              <w:jc w:val="center"/>
              <w:rPr/>
            </w:pPr>
            <w:r>
              <w:rPr>
                <w:sz w:val="15"/>
                <w:szCs w:val="15"/>
                <w:rtl w:val="0"/>
              </w:rPr>
              <w:t xml:space="preserve">Debe (M)</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A">
            <w:pPr>
              <w:pBdr/>
              <w:spacing w:line="230" w:lineRule="auto"/>
              <w:ind/>
              <w:rPr/>
            </w:pPr>
            <w:r>
              <w:rPr>
                <w:sz w:val="15"/>
                <w:szCs w:val="15"/>
                <w:rtl w:val="0"/>
              </w:rPr>
              <w:t xml:space="preserve">Benchmarking competitivo</w:t>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B">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C">
            <w:pPr>
              <w:pBdr/>
              <w:spacing w:line="230" w:lineRule="auto"/>
              <w:ind/>
              <w:jc w:val="both"/>
              <w:rPr/>
            </w:pPr>
            <w:r>
              <w:rPr>
                <w:sz w:val="15"/>
                <w:szCs w:val="15"/>
                <w:rtl w:val="0"/>
              </w:rPr>
              <w:t xml:space="preserve">Análisis de los registros de monitoreo de disponibilidad durante un período de 30 días consecutivos.</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D">
            <w:pPr>
              <w:pBdr/>
              <w:spacing w:line="230" w:lineRule="auto"/>
              <w:ind/>
              <w:rPr/>
            </w:pPr>
            <w:r>
              <w:rPr>
                <w:b/>
                <w:bCs/>
                <w:sz w:val="15"/>
                <w:szCs w:val="15"/>
                <w:rtl w:val="0"/>
              </w:rPr>
              <w:t xml:space="preserve">SYS-NFN-14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E">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EF">
            <w:pPr>
              <w:pBdr/>
              <w:spacing w:line="230" w:lineRule="auto"/>
              <w:ind/>
              <w:jc w:val="both"/>
              <w:rPr/>
            </w:pPr>
            <w:r>
              <w:rPr>
                <w:sz w:val="15"/>
                <w:szCs w:val="15"/>
                <w:rtl w:val="0"/>
              </w:rPr>
              <w:t xml:space="preserve">El sistema de base de datos deberá ejecutar un respaldo completo diario a las 02:00 hora local con retención de 30 días, y respaldos incrementales cada 6 horas.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0">
            <w:pPr>
              <w:pBdr/>
              <w:spacing w:line="230" w:lineRule="auto"/>
              <w:ind/>
              <w:jc w:val="center"/>
              <w:rPr/>
            </w:pPr>
            <w:r>
              <w:rPr>
                <w:sz w:val="15"/>
                <w:szCs w:val="15"/>
                <w:rtl w:val="0"/>
              </w:rPr>
              <w:t xml:space="preserve">NF-Fia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1">
            <w:pPr>
              <w:pBdr/>
              <w:spacing w:line="230" w:lineRule="auto"/>
              <w:ind/>
              <w:rPr/>
            </w:pPr>
            <w:r>
              <w:rPr>
                <w:sz w:val="15"/>
                <w:szCs w:val="15"/>
                <w:rtl w:val="0"/>
              </w:rPr>
              <w:t xml:space="preserve">Base de Datos (Capa 4)</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2">
            <w:pPr>
              <w:pBdr/>
              <w:spacing w:line="230" w:lineRule="auto"/>
              <w:ind/>
              <w:jc w:val="center"/>
              <w:rPr/>
            </w:pPr>
            <w:r>
              <w:rPr>
                <w:sz w:val="15"/>
                <w:szCs w:val="15"/>
                <w:rtl w:val="0"/>
              </w:rPr>
              <w:t xml:space="preserve">Debe (M)</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3">
            <w:pPr>
              <w:pBdr/>
              <w:spacing w:line="230" w:lineRule="auto"/>
              <w:ind/>
              <w:rPr/>
            </w:pPr>
            <w:r>
              <w:rPr>
                <w:sz w:val="15"/>
                <w:szCs w:val="15"/>
                <w:rtl w:val="0"/>
              </w:rPr>
              <w:t xml:space="preserve">ISO/IEC 25010 (fuente no humana)</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4">
            <w:pPr>
              <w:pBdr/>
              <w:spacing w:line="230" w:lineRule="auto"/>
              <w:ind/>
              <w:jc w:val="center"/>
              <w:rPr/>
            </w:pPr>
            <w:r>
              <w:rPr>
                <w:b/>
                <w:bCs/>
                <w:sz w:val="15"/>
                <w:szCs w:val="15"/>
                <w:rtl w:val="0"/>
              </w:rPr>
              <w:t xml:space="preserve">I</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5">
            <w:pPr>
              <w:pBdr/>
              <w:spacing w:line="230" w:lineRule="auto"/>
              <w:ind/>
              <w:jc w:val="both"/>
              <w:rPr/>
            </w:pPr>
            <w:r>
              <w:rPr>
                <w:sz w:val="15"/>
                <w:szCs w:val="15"/>
                <w:rtl w:val="0"/>
              </w:rPr>
              <w:t xml:space="preserve">Inspección de la programación de respaldos y ejecución de una restauración de prueba a un punto en el tiempo.</w:t>
            </w:r>
            <w:r>
              <w:rPr>
                <w:rtl w:val="0"/>
              </w:rPr>
            </w:r>
            <w:r/>
          </w:p>
        </w:tc>
      </w:tr>
      <w:tr>
        <w:trPr>
          <w:cantSplit w:val="false"/>
        </w:trPr>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6">
            <w:pPr>
              <w:pBdr/>
              <w:spacing w:line="230" w:lineRule="auto"/>
              <w:ind/>
              <w:rPr/>
            </w:pPr>
            <w:r>
              <w:rPr>
                <w:b/>
                <w:bCs/>
                <w:sz w:val="15"/>
                <w:szCs w:val="15"/>
                <w:rtl w:val="0"/>
              </w:rPr>
              <w:t xml:space="preserve">SYS-NFN-15</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7">
            <w:pPr>
              <w:pBdr/>
              <w:spacing w:line="230" w:lineRule="auto"/>
              <w:ind/>
              <w:jc w:val="center"/>
              <w:rPr/>
            </w:pPr>
            <w:r>
              <w:rPr>
                <w:sz w:val="15"/>
                <w:szCs w:val="15"/>
                <w:rtl w:val="0"/>
              </w:rPr>
              <w:t xml:space="preserve">O-StRS-02</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8">
            <w:pPr>
              <w:pBdr/>
              <w:spacing w:line="230" w:lineRule="auto"/>
              <w:ind/>
              <w:jc w:val="both"/>
              <w:rPr/>
            </w:pPr>
            <w:r>
              <w:rPr>
                <w:sz w:val="15"/>
                <w:szCs w:val="15"/>
                <w:rtl w:val="0"/>
              </w:rPr>
              <w:t xml:space="preserve">El código fuente del backend deberá mantener una cobertura de pruebas unitarias superior al 80%, verificada de forma automática en cada integración continua.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9">
            <w:pPr>
              <w:pBdr/>
              <w:spacing w:line="230" w:lineRule="auto"/>
              <w:ind/>
              <w:jc w:val="center"/>
              <w:rPr/>
            </w:pPr>
            <w:r>
              <w:rPr>
                <w:sz w:val="15"/>
                <w:szCs w:val="15"/>
                <w:rtl w:val="0"/>
              </w:rPr>
              <w:t xml:space="preserve">NF-Man</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A">
            <w:pPr>
              <w:pBdr/>
              <w:spacing w:line="230" w:lineRule="auto"/>
              <w:ind/>
              <w:rPr/>
            </w:pPr>
            <w:r>
              <w:rPr>
                <w:sz w:val="15"/>
                <w:szCs w:val="15"/>
                <w:rtl w:val="0"/>
              </w:rPr>
              <w:t xml:space="preserve">Backend (Capa 3)</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B">
            <w:pPr>
              <w:pBdr/>
              <w:spacing w:line="230" w:lineRule="auto"/>
              <w:ind/>
              <w:jc w:val="center"/>
              <w:rPr/>
            </w:pPr>
            <w:r>
              <w:rPr>
                <w:sz w:val="15"/>
                <w:szCs w:val="15"/>
                <w:rtl w:val="0"/>
              </w:rPr>
              <w:t xml:space="preserve">Debería (S)</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C">
            <w:pPr>
              <w:pBdr/>
              <w:spacing w:line="230" w:lineRule="auto"/>
              <w:ind/>
              <w:rPr/>
            </w:pPr>
            <w:r>
              <w:rPr>
                <w:sz w:val="15"/>
                <w:szCs w:val="15"/>
                <w:rtl w:val="0"/>
              </w:rPr>
              <w:t xml:space="preserve">Descomposición jerárquica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D">
            <w:pPr>
              <w:pBdr/>
              <w:spacing w:line="230" w:lineRule="auto"/>
              <w:ind/>
              <w:jc w:val="center"/>
              <w:rPr/>
            </w:pPr>
            <w:r>
              <w:rPr>
                <w:b/>
                <w:bCs/>
                <w:sz w:val="15"/>
                <w:szCs w:val="15"/>
                <w:rtl w:val="0"/>
              </w:rPr>
              <w:t xml:space="preserve">A</w:t>
            </w:r>
            <w:r>
              <w:rPr>
                <w:rtl w:val="0"/>
              </w:rPr>
            </w:r>
            <w:r/>
          </w:p>
        </w:tc>
        <w:tc>
          <w:tcPr>
            <w:shd w:val="clear" w:color="auto" w:fill="f7f9fc"/>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E">
            <w:pPr>
              <w:pBdr/>
              <w:spacing w:line="230" w:lineRule="auto"/>
              <w:ind/>
              <w:jc w:val="both"/>
              <w:rPr/>
            </w:pPr>
            <w:r>
              <w:rPr>
                <w:sz w:val="15"/>
                <w:szCs w:val="15"/>
                <w:rtl w:val="0"/>
              </w:rPr>
              <w:t xml:space="preserve">Análisis del reporte de cobertura generado por el pipeline de integración continua en la rama principal.</w:t>
            </w:r>
            <w:r>
              <w:rPr>
                <w:rtl w:val="0"/>
              </w:rPr>
            </w:r>
            <w:r/>
          </w:p>
        </w:tc>
      </w:tr>
      <w:tr>
        <w:trPr>
          <w:cantSplit w:val="false"/>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2FF">
            <w:pPr>
              <w:pBdr/>
              <w:spacing w:line="230" w:lineRule="auto"/>
              <w:ind/>
              <w:rPr/>
            </w:pPr>
            <w:r>
              <w:rPr>
                <w:b/>
                <w:bCs/>
                <w:sz w:val="15"/>
                <w:szCs w:val="15"/>
                <w:rtl w:val="0"/>
              </w:rPr>
              <w:t xml:space="preserve">SYS-NFN-16</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0">
            <w:pPr>
              <w:pBdr/>
              <w:spacing w:line="230" w:lineRule="auto"/>
              <w:ind/>
              <w:jc w:val="center"/>
              <w:rPr/>
            </w:pPr>
            <w:r>
              <w:rPr>
                <w:sz w:val="15"/>
                <w:szCs w:val="15"/>
                <w:rtl w:val="0"/>
              </w:rPr>
              <w:t xml:space="preserve">O-StRS-02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1">
            <w:pPr>
              <w:pBdr/>
              <w:spacing w:line="230" w:lineRule="auto"/>
              <w:ind/>
              <w:jc w:val="both"/>
              <w:rPr/>
            </w:pPr>
            <w:r>
              <w:rPr>
                <w:sz w:val="15"/>
                <w:szCs w:val="15"/>
                <w:rtl w:val="0"/>
              </w:rPr>
              <w:t xml:space="preserve">Todos los servicios expuestos por la API deberán estar documentados conforme al estándar OpenAPI 3.0, incluyendo parámetros, códigos de respuesta y ejemplos de carga útil.</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2">
            <w:pPr>
              <w:pBdr/>
              <w:spacing w:line="230" w:lineRule="auto"/>
              <w:ind/>
              <w:jc w:val="center"/>
              <w:rPr/>
            </w:pPr>
            <w:r>
              <w:rPr>
                <w:sz w:val="15"/>
                <w:szCs w:val="15"/>
                <w:rtl w:val="0"/>
              </w:rPr>
              <w:t xml:space="preserve">NF-Man</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3">
            <w:pPr>
              <w:pBdr/>
              <w:spacing w:line="230" w:lineRule="auto"/>
              <w:ind/>
              <w:rPr/>
            </w:pPr>
            <w:r>
              <w:rPr>
                <w:sz w:val="15"/>
                <w:szCs w:val="15"/>
                <w:rtl w:val="0"/>
              </w:rPr>
              <w:t xml:space="preserve">Backend (Capa 2)</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4">
            <w:pPr>
              <w:pBdr/>
              <w:spacing w:line="230" w:lineRule="auto"/>
              <w:ind/>
              <w:jc w:val="center"/>
              <w:rPr/>
            </w:pPr>
            <w:r>
              <w:rPr>
                <w:sz w:val="15"/>
                <w:szCs w:val="15"/>
                <w:rtl w:val="0"/>
              </w:rPr>
              <w:t xml:space="preserve">Debería (S)</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5">
            <w:pPr>
              <w:pBdr/>
              <w:spacing w:line="230" w:lineRule="auto"/>
              <w:ind/>
              <w:rPr/>
            </w:pPr>
            <w:r>
              <w:rPr>
                <w:sz w:val="15"/>
                <w:szCs w:val="15"/>
                <w:rtl w:val="0"/>
              </w:rPr>
              <w:t xml:space="preserve">Análisis normativo</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6">
            <w:pPr>
              <w:pBdr/>
              <w:spacing w:line="230" w:lineRule="auto"/>
              <w:ind/>
              <w:jc w:val="center"/>
              <w:rPr/>
            </w:pPr>
            <w:r>
              <w:rPr>
                <w:b/>
                <w:bCs/>
                <w:sz w:val="15"/>
                <w:szCs w:val="15"/>
                <w:rtl w:val="0"/>
              </w:rPr>
              <w:t xml:space="preserve">I</w:t>
            </w:r>
            <w:r>
              <w:rPr>
                <w:rtl w:val="0"/>
              </w:rPr>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vAlign w:val="center"/>
          </w:tcPr>
          <w:p w14:paraId="00000307">
            <w:pPr>
              <w:pBdr/>
              <w:spacing w:line="230" w:lineRule="auto"/>
              <w:ind/>
              <w:jc w:val="both"/>
              <w:rPr/>
            </w:pPr>
            <w:r>
              <w:rPr>
                <w:sz w:val="15"/>
                <w:szCs w:val="15"/>
                <w:rtl w:val="0"/>
              </w:rPr>
              <w:t xml:space="preserve">Inspección de la especificación OpenAPI verificando que la totalidad de los servicios publicados se encuentran documentados.</w:t>
            </w:r>
            <w:r>
              <w:rPr>
                <w:rtl w:val="0"/>
              </w:rPr>
            </w:r>
            <w:r/>
          </w:p>
        </w:tc>
      </w:tr>
    </w:tbl>
    <w:p w14:paraId="5B1C42A0">
      <w:pPr>
        <w:pBdr/>
        <w:shd w:val="nil" w:color="000000"/>
        <w:spacing/>
        <w:ind/>
        <w:rPr/>
      </w:pPr>
      <w:r>
        <w:rPr>
          <w:highlight w:val="none"/>
        </w:rPr>
      </w:r>
      <w:r/>
    </w:p>
    <w:p w14:paraId="2F3D7D4A">
      <w:pPr>
        <w:pBdr/>
        <w:shd w:val="nil" w:color="auto"/>
        <w:spacing/>
        <w:ind/>
        <w:rPr>
          <w:highlight w:val="none"/>
        </w:rPr>
      </w:pPr>
      <w:r>
        <w:rPr>
          <w:lang w:val="es-ES"/>
        </w:rPr>
        <w:t xml:space="preserve">Nota: </w:t>
      </w:r>
      <w:r>
        <w:t xml:space="preserve">SYS-FN-03 figura en el módulo Administración porque la acción la ejecuta el Administrador de la plataforma. La arquitectura lo aloja en M1, por constituir la transición final de la máquina de estados de la cuenta, y conserva su exposición en M9. La divergencia es deliberada y consta en la nota de la sección 2.9.2 del documento 3.</w:t>
        <w:br w:type="page" w:clear="all"/>
      </w:r>
      <w:r>
        <w:rPr>
          <w:highlight w:val="none"/>
        </w:rPr>
      </w:r>
    </w:p>
    <w:p w14:paraId="00000309">
      <w:pPr>
        <w:pStyle w:val="939"/>
        <w:pBdr/>
        <w:spacing w:after="140" w:before="260"/>
        <w:ind/>
        <w:rPr>
          <w:color w:val="000000" w:themeColor="text1"/>
        </w:rPr>
      </w:pPr>
      <w:r/>
      <w:bookmarkStart w:id="68" w:name="_Toc32"/>
      <w:r>
        <w:rPr>
          <w:color w:val="000000" w:themeColor="text1"/>
        </w:rPr>
      </w:r>
      <w:bookmarkStart w:id="34" w:name="_uosxx46otdd6"/>
      <w:r>
        <w:rPr>
          <w:color w:val="000000" w:themeColor="text1"/>
        </w:rPr>
      </w:r>
      <w:bookmarkEnd w:id="34"/>
      <w:r>
        <w:rPr>
          <w:b/>
          <w:bCs/>
          <w:color w:val="000000" w:themeColor="text1"/>
          <w:sz w:val="25"/>
          <w:szCs w:val="25"/>
          <w:rtl w:val="0"/>
        </w:rPr>
        <w:t xml:space="preserve">3.1 Resumen cuantitativo del catálogo</w:t>
      </w:r>
      <w:r/>
      <w:bookmarkEnd w:id="68"/>
      <w:r/>
      <w:r>
        <w:rPr>
          <w:color w:val="000000" w:themeColor="text1"/>
        </w:rPr>
      </w:r>
    </w:p>
    <w:tbl>
      <w:tblPr>
        <w:tblStyle w:val="950"/>
        <w:tblW w:w="9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60"/>
        <w:gridCol w:w="3160"/>
        <w:gridCol w:w="3160"/>
        <w:tblGridChange w:id="4">
          <w:tblGrid>
            <w:gridCol w:w="3160"/>
            <w:gridCol w:w="3160"/>
            <w:gridCol w:w="3160"/>
          </w:tblGrid>
        </w:tblGridChange>
      </w:tblGrid>
      <w:tr>
        <w:trPr>
          <w:cantSplit w:val="false"/>
          <w:tblHeader/>
        </w:trPr>
        <w:tc>
          <w:tcPr>
            <w:shd w:val="clear" w:color="000000" w:themeColor="text1" w:fill="000000" w:themeFill="text1"/>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0A">
            <w:pPr>
              <w:pBdr/>
              <w:spacing w:line="230" w:lineRule="auto"/>
              <w:ind/>
              <w:jc w:val="center"/>
              <w:rPr/>
            </w:pPr>
            <w:r>
              <w:rPr>
                <w:b/>
                <w:bCs/>
                <w:color w:val="ffffff"/>
                <w:sz w:val="19"/>
                <w:szCs w:val="19"/>
                <w:rtl w:val="0"/>
              </w:rPr>
              <w:t xml:space="preserve">Distribución por tipo</w:t>
            </w:r>
            <w:r>
              <w:rPr>
                <w:rtl w:val="0"/>
              </w:rPr>
            </w:r>
            <w:r/>
          </w:p>
        </w:tc>
        <w:tc>
          <w:tcPr>
            <w:shd w:val="clear" w:color="000000" w:themeColor="text1" w:fill="000000" w:themeFill="text1"/>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0B">
            <w:pPr>
              <w:pBdr/>
              <w:spacing w:line="230" w:lineRule="auto"/>
              <w:ind/>
              <w:jc w:val="center"/>
              <w:rPr/>
            </w:pPr>
            <w:r>
              <w:rPr>
                <w:b/>
                <w:bCs/>
                <w:color w:val="ffffff"/>
                <w:sz w:val="19"/>
                <w:szCs w:val="19"/>
                <w:rtl w:val="0"/>
              </w:rPr>
              <w:t xml:space="preserve">Distribución por prioridad (MoSCoW)</w:t>
            </w:r>
            <w:r>
              <w:rPr>
                <w:rtl w:val="0"/>
              </w:rPr>
            </w:r>
            <w:r/>
          </w:p>
        </w:tc>
        <w:tc>
          <w:tcPr>
            <w:shd w:val="clear" w:color="000000" w:themeColor="text1" w:fill="000000" w:themeFill="text1"/>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0C">
            <w:pPr>
              <w:pBdr/>
              <w:spacing w:line="230" w:lineRule="auto"/>
              <w:ind/>
              <w:jc w:val="center"/>
              <w:rPr/>
            </w:pPr>
            <w:r>
              <w:rPr>
                <w:b/>
                <w:bCs/>
                <w:color w:val="ffffff"/>
                <w:sz w:val="19"/>
                <w:szCs w:val="19"/>
                <w:rtl w:val="0"/>
              </w:rPr>
              <w:t xml:space="preserve">Distribución por método de verificación</w:t>
            </w:r>
            <w:r>
              <w:rPr>
                <w:rtl w:val="0"/>
              </w:rPr>
            </w:r>
            <w:r/>
          </w:p>
        </w:tc>
      </w:tr>
      <w:tr>
        <w:trPr>
          <w:cantSplit w:val="false"/>
        </w:trPr>
        <w:tc>
          <w:tcPr>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0D">
            <w:pPr>
              <w:pBdr/>
              <w:spacing w:line="230" w:lineRule="auto"/>
              <w:ind/>
              <w:rPr/>
            </w:pPr>
            <w:r>
              <w:rPr>
                <w:sz w:val="19"/>
                <w:szCs w:val="19"/>
                <w:rtl w:val="0"/>
              </w:rPr>
              <w:t xml:space="preserve">Funcionales: 37</w:t>
            </w:r>
            <w:r>
              <w:rPr>
                <w:rtl w:val="0"/>
              </w:rPr>
            </w:r>
            <w:r/>
          </w:p>
          <w:p w14:paraId="0000030E">
            <w:pPr>
              <w:pBdr/>
              <w:spacing w:line="230" w:lineRule="auto"/>
              <w:ind/>
              <w:rPr/>
            </w:pPr>
            <w:r>
              <w:rPr>
                <w:sz w:val="19"/>
                <w:szCs w:val="19"/>
                <w:rtl w:val="0"/>
              </w:rPr>
              <w:t xml:space="preserve">No funcionales: 16</w:t>
            </w:r>
            <w:r>
              <w:rPr>
                <w:rtl w:val="0"/>
              </w:rPr>
            </w:r>
            <w:r/>
          </w:p>
          <w:p w14:paraId="0000030F">
            <w:pPr>
              <w:pBdr/>
              <w:spacing w:line="230" w:lineRule="auto"/>
              <w:ind/>
              <w:rPr/>
            </w:pPr>
            <w:r>
              <w:rPr>
                <w:sz w:val="19"/>
                <w:szCs w:val="19"/>
                <w:rtl w:val="0"/>
              </w:rPr>
              <w:t xml:space="preserve">TOTAL: 53</w:t>
            </w:r>
            <w:r>
              <w:rPr>
                <w:rtl w:val="0"/>
              </w:rPr>
            </w:r>
            <w:r/>
          </w:p>
        </w:tc>
        <w:tc>
          <w:tcPr>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10">
            <w:pPr>
              <w:pBdr/>
              <w:spacing w:line="230" w:lineRule="auto"/>
              <w:ind/>
              <w:rPr/>
            </w:pPr>
            <w:r>
              <w:rPr>
                <w:sz w:val="19"/>
                <w:szCs w:val="19"/>
                <w:rtl w:val="0"/>
              </w:rPr>
              <w:t xml:space="preserve">Debe (M): 28</w:t>
            </w:r>
            <w:r>
              <w:rPr>
                <w:rtl w:val="0"/>
              </w:rPr>
            </w:r>
            <w:r/>
          </w:p>
          <w:p w14:paraId="00000311">
            <w:pPr>
              <w:pBdr/>
              <w:spacing w:line="230" w:lineRule="auto"/>
              <w:ind/>
              <w:rPr/>
            </w:pPr>
            <w:r>
              <w:rPr>
                <w:sz w:val="19"/>
                <w:szCs w:val="19"/>
                <w:rtl w:val="0"/>
              </w:rPr>
              <w:t xml:space="preserve">Debería (S): 19</w:t>
            </w:r>
            <w:r>
              <w:rPr>
                <w:rtl w:val="0"/>
              </w:rPr>
            </w:r>
            <w:r/>
          </w:p>
          <w:p w14:paraId="00000312">
            <w:pPr>
              <w:pBdr/>
              <w:spacing w:line="230" w:lineRule="auto"/>
              <w:ind/>
              <w:rPr/>
            </w:pPr>
            <w:r>
              <w:rPr>
                <w:sz w:val="19"/>
                <w:szCs w:val="19"/>
                <w:rtl w:val="0"/>
              </w:rPr>
              <w:t xml:space="preserve">Podría (C): 6</w:t>
            </w:r>
            <w:r>
              <w:rPr>
                <w:rtl w:val="0"/>
              </w:rPr>
            </w:r>
            <w:r/>
          </w:p>
        </w:tc>
        <w:tc>
          <w:tcPr>
            <w:tcBorders>
              <w:top w:val="single" w:color="b8c4d9" w:sz="4" w:space="0"/>
              <w:left w:val="single" w:color="b8c4d9" w:sz="4" w:space="0"/>
              <w:bottom w:val="single" w:color="b8c4d9" w:sz="4" w:space="0"/>
              <w:right w:val="single" w:color="b8c4d9" w:sz="4" w:space="0"/>
            </w:tcBorders>
            <w:tcMar>
              <w:left w:w="80" w:type="dxa"/>
              <w:top w:w="60" w:type="dxa"/>
              <w:right w:w="80" w:type="dxa"/>
              <w:bottom w:w="60" w:type="dxa"/>
            </w:tcMar>
            <w:vAlign w:val="center"/>
          </w:tcPr>
          <w:p w14:paraId="00000313">
            <w:pPr>
              <w:pBdr/>
              <w:spacing w:line="230" w:lineRule="auto"/>
              <w:ind/>
              <w:rPr/>
            </w:pPr>
            <w:r>
              <w:rPr>
                <w:sz w:val="19"/>
                <w:szCs w:val="19"/>
                <w:rtl w:val="0"/>
              </w:rPr>
              <w:t xml:space="preserve">Prueba (Test) (T): 26</w:t>
            </w:r>
            <w:r>
              <w:rPr>
                <w:rtl w:val="0"/>
              </w:rPr>
            </w:r>
            <w:r/>
          </w:p>
          <w:p w14:paraId="00000314">
            <w:pPr>
              <w:pBdr/>
              <w:spacing w:line="230" w:lineRule="auto"/>
              <w:ind/>
              <w:rPr/>
            </w:pPr>
            <w:r>
              <w:rPr>
                <w:sz w:val="19"/>
                <w:szCs w:val="19"/>
                <w:rtl w:val="0"/>
              </w:rPr>
              <w:t xml:space="preserve">Demostración (D): 6</w:t>
            </w:r>
            <w:r>
              <w:rPr>
                <w:rtl w:val="0"/>
              </w:rPr>
            </w:r>
            <w:r/>
          </w:p>
          <w:p w14:paraId="00000315">
            <w:pPr>
              <w:pBdr/>
              <w:spacing w:line="230" w:lineRule="auto"/>
              <w:ind/>
              <w:rPr/>
            </w:pPr>
            <w:r>
              <w:rPr>
                <w:sz w:val="19"/>
                <w:szCs w:val="19"/>
                <w:rtl w:val="0"/>
              </w:rPr>
              <w:t xml:space="preserve">Análisis (A): 12</w:t>
            </w:r>
            <w:r>
              <w:rPr>
                <w:rtl w:val="0"/>
              </w:rPr>
            </w:r>
            <w:r/>
          </w:p>
          <w:p w14:paraId="00000316">
            <w:pPr>
              <w:pBdr/>
              <w:spacing w:line="230" w:lineRule="auto"/>
              <w:ind/>
              <w:rPr/>
            </w:pPr>
            <w:r>
              <w:rPr>
                <w:sz w:val="19"/>
                <w:szCs w:val="19"/>
                <w:rtl w:val="0"/>
              </w:rPr>
              <w:t xml:space="preserve">Inspección (I): 9</w:t>
            </w:r>
            <w:r>
              <w:rPr>
                <w:rtl w:val="0"/>
              </w:rPr>
            </w:r>
            <w:r/>
          </w:p>
        </w:tc>
      </w:tr>
    </w:tbl>
    <w:p w14:paraId="00000317">
      <w:pPr>
        <w:pBdr/>
        <w:spacing w:after="140" w:line="300" w:lineRule="auto"/>
        <w:ind/>
        <w:jc w:val="both"/>
        <w:rPr/>
      </w:pPr>
      <w:r>
        <w:rPr>
          <w:rtl w:val="0"/>
        </w:rPr>
        <w:t xml:space="preserve">El catálogo reúne 53 requisitos, la proporción entre requisitos funcionales y no funcionales resulta coherente con un sistema transaccional en el que la lógica de negocio concentra la mayor parte del esfuerzo, sin que ello desplace los atributos de calidad, que quedan representados en las ocho características del modelo ISO/IEC 25010 relevantes para el dominio.</w:t>
      </w:r>
      <w:r/>
    </w:p>
    <w:p w14:paraId="00000318">
      <w:pPr>
        <w:pBdr/>
        <w:spacing w:after="140" w:line="300" w:lineRule="auto"/>
        <w:ind/>
        <w:jc w:val="both"/>
        <w:rPr/>
        <w:sectPr>
          <w:footerReference w:type="default" r:id="rId10"/>
          <w:footnotePr/>
          <w:endnotePr/>
          <w:type w:val="nextPage"/>
          <w:pgSz w:h="12240" w:orient="landscape" w:w="15840"/>
          <w:pgMar w:top="720" w:right="720" w:bottom="720" w:left="720" w:header="708" w:footer="708" w:gutter="0"/>
          <w:cols w:num="1" w:sep="0" w:space="1701" w:equalWidth="1"/>
        </w:sectPr>
      </w:pPr>
      <w:r>
        <w:rPr>
          <w:rtl w:val="0"/>
        </w:rPr>
        <w:t xml:space="preserve">La distribución de los métodos de verificación evidencia el predominio de la prueba ejecutable, coherente con la decisión de especificación adoptada en 2.5: si un requisito no puede derivar en un caso de prueba, su redacción es defectuosa y debe reformularse antes de pasar a construcción.</w:t>
      </w:r>
      <w:r/>
    </w:p>
    <w:p w14:paraId="00000319">
      <w:pPr>
        <w:pStyle w:val="938"/>
        <w:pBdr/>
        <w:spacing w:after="180" w:before="320"/>
        <w:ind/>
        <w:rPr>
          <w:color w:val="000000" w:themeColor="text1"/>
        </w:rPr>
      </w:pPr>
      <w:r/>
      <w:bookmarkStart w:id="69" w:name="_Toc33"/>
      <w:r>
        <w:rPr>
          <w:color w:val="000000" w:themeColor="text1"/>
        </w:rPr>
      </w:r>
      <w:bookmarkStart w:id="35" w:name="_stxe62p04k1"/>
      <w:r>
        <w:rPr>
          <w:color w:val="000000" w:themeColor="text1"/>
        </w:rPr>
      </w:r>
      <w:bookmarkEnd w:id="35"/>
      <w:r>
        <w:rPr>
          <w:b/>
          <w:bCs/>
          <w:color w:val="000000" w:themeColor="text1"/>
          <w:sz w:val="30"/>
          <w:szCs w:val="30"/>
          <w:rtl w:val="0"/>
        </w:rPr>
        <w:t xml:space="preserve">4. Conclusiones</w:t>
      </w:r>
      <w:r/>
      <w:bookmarkEnd w:id="69"/>
      <w:r/>
      <w:r>
        <w:rPr>
          <w:color w:val="000000" w:themeColor="text1"/>
        </w:rPr>
      </w:r>
    </w:p>
    <w:p w14:paraId="0000031A">
      <w:pPr>
        <w:pBdr/>
        <w:spacing w:after="140" w:line="300" w:lineRule="auto"/>
        <w:ind/>
        <w:jc w:val="both"/>
        <w:rPr/>
      </w:pPr>
      <w:r>
        <w:rPr>
          <w:sz w:val="22"/>
          <w:szCs w:val="22"/>
          <w:rtl w:val="0"/>
        </w:rPr>
        <w:t xml:space="preserve">El levantamiento de requerimientos de la plataforma AbasteceNi permitió transformar un conjunto de necesidades informales y dispersas, observadas en el comercio minorista y en la producción agrícola del occidente nicaragüense, en un catálogo de 53 requisitos bien formados, atómicos, medibles y trazables, redactados conforme a la sintaxis canónica de ISO/IEC/IEEE 29148:2011.</w:t>
      </w:r>
      <w:r>
        <w:rPr>
          <w:rtl w:val="0"/>
        </w:rPr>
      </w:r>
      <w:r/>
    </w:p>
    <w:p w14:paraId="0000031B">
      <w:pPr>
        <w:pBdr/>
        <w:spacing w:after="140" w:line="300" w:lineRule="auto"/>
        <w:ind/>
        <w:jc w:val="both"/>
        <w:rPr/>
      </w:pPr>
      <w:r>
        <w:rPr>
          <w:sz w:val="22"/>
          <w:szCs w:val="22"/>
          <w:rtl w:val="0"/>
        </w:rPr>
        <w:t xml:space="preserve">La combinación de siete técnicas de elicitación pertenecientes a tres familias distintas —contextuales, directas y estructuradas, complementadas con fuentes no humanas— respondió a la primera regla de oro del SWEBOK y compensó de forma deliberada las restricciones impuestas por la naturaleza simulada del caso de estudio. Las técnicas contextuales resultaron determinantes: buena parte de los requisitos hoy catalogados como indispensables no habrían emergido de una entrevista, porque los propios comerciantes no verbalizan un proceso que ejecutan de manera automática.</w:t>
      </w:r>
      <w:r>
        <w:rPr>
          <w:rtl w:val="0"/>
        </w:rPr>
      </w:r>
      <w:r/>
    </w:p>
    <w:p w14:paraId="0000031C">
      <w:pPr>
        <w:pBdr/>
        <w:spacing w:after="140" w:line="300" w:lineRule="auto"/>
        <w:ind/>
        <w:jc w:val="both"/>
        <w:rPr/>
      </w:pPr>
      <w:r>
        <w:rPr>
          <w:sz w:val="22"/>
          <w:szCs w:val="22"/>
          <w:rtl w:val="0"/>
        </w:rPr>
        <w:t xml:space="preserve">La elección del lenguaje natural estructurado en formato actor-acción, complementado con atributos, cuantificación Planguage y criterios de aceptación en formato BDD, se sustentó en la evaluación explícita de los trece factores de decisión del SWEBOK y no en una preferencia estilística. El resultado equilibra dos exigencias que suelen entrar en tensión: la legibilidad para partes interesadas sin formación técnica y la precisión suficiente para derivar casos de prueba ejecutables.</w:t>
      </w:r>
      <w:r>
        <w:rPr>
          <w:rtl w:val="0"/>
        </w:rPr>
      </w:r>
      <w:r/>
    </w:p>
    <w:p w14:paraId="0000031D">
      <w:pPr>
        <w:pBdr/>
        <w:spacing w:after="140" w:line="300" w:lineRule="auto"/>
        <w:ind/>
        <w:jc w:val="both"/>
        <w:rPr>
          <w:sz w:val="22"/>
          <w:szCs w:val="22"/>
        </w:rPr>
      </w:pPr>
      <w:r>
        <w:rPr>
          <w:sz w:val="22"/>
          <w:szCs w:val="22"/>
          <w:rtl w:val="0"/>
        </w:rPr>
        <w:t xml:space="preserve">El equipo reconoce que la especificación no está cerrada. Conforme al apartado 5.3.1 de la norma, la ingeniería de requisitos es iterativa y recursiva; las siguientes fases del proyecto refinarán este documento a medida que el análisis descienda hacia niveles de mayor detalle y que la validación con las partes interesadas revele omisiones. La estrategia híbrida de documentación adoptada en 2.5 está diseñada precisamente para absorber esa evolución sin que el lector pierda la visión completa del conjunto.</w:t>
      </w:r>
      <w:r>
        <w:rPr>
          <w:sz w:val="22"/>
          <w:szCs w:val="22"/>
        </w:rPr>
      </w:r>
    </w:p>
    <w:p w14:paraId="0000031E">
      <w:pPr>
        <w:pBdr/>
        <w:spacing w:after="140" w:line="300" w:lineRule="auto"/>
        <w:ind/>
        <w:jc w:val="both"/>
        <w:rPr>
          <w:sz w:val="22"/>
          <w:szCs w:val="22"/>
        </w:rPr>
      </w:pPr>
      <w:r>
        <w:rPr>
          <w:rtl w:val="0"/>
        </w:rPr>
      </w:r>
      <w:r>
        <w:rPr>
          <w:sz w:val="22"/>
          <w:szCs w:val="22"/>
        </w:rPr>
      </w:r>
    </w:p>
    <w:p w14:paraId="0000031F">
      <w:pPr>
        <w:pBdr/>
        <w:spacing w:after="140" w:line="300" w:lineRule="auto"/>
        <w:ind/>
        <w:jc w:val="both"/>
        <w:rPr>
          <w:sz w:val="22"/>
          <w:szCs w:val="22"/>
        </w:rPr>
      </w:pPr>
      <w:r>
        <w:rPr>
          <w:rtl w:val="0"/>
        </w:rPr>
      </w:r>
      <w:r>
        <w:rPr>
          <w:sz w:val="22"/>
          <w:szCs w:val="22"/>
        </w:rPr>
      </w:r>
    </w:p>
    <w:p w14:paraId="00000320">
      <w:pPr>
        <w:pBdr/>
        <w:spacing w:after="140" w:line="300" w:lineRule="auto"/>
        <w:ind/>
        <w:jc w:val="both"/>
        <w:rPr>
          <w:sz w:val="22"/>
          <w:szCs w:val="22"/>
        </w:rPr>
      </w:pPr>
      <w:r>
        <w:rPr>
          <w:rtl w:val="0"/>
        </w:rPr>
      </w:r>
      <w:r>
        <w:rPr>
          <w:sz w:val="22"/>
          <w:szCs w:val="22"/>
        </w:rPr>
      </w:r>
    </w:p>
    <w:p w14:paraId="00000321">
      <w:pPr>
        <w:pBdr/>
        <w:spacing w:after="140" w:line="300" w:lineRule="auto"/>
        <w:ind/>
        <w:jc w:val="both"/>
        <w:rPr>
          <w:sz w:val="22"/>
          <w:szCs w:val="22"/>
        </w:rPr>
      </w:pPr>
      <w:r>
        <w:rPr>
          <w:rtl w:val="0"/>
        </w:rPr>
      </w:r>
      <w:r>
        <w:rPr>
          <w:sz w:val="22"/>
          <w:szCs w:val="22"/>
        </w:rPr>
      </w:r>
    </w:p>
    <w:p w14:paraId="00000322">
      <w:pPr>
        <w:pBdr/>
        <w:spacing w:after="140" w:line="300" w:lineRule="auto"/>
        <w:ind/>
        <w:jc w:val="both"/>
        <w:rPr>
          <w:sz w:val="22"/>
          <w:szCs w:val="22"/>
        </w:rPr>
      </w:pPr>
      <w:r>
        <w:rPr>
          <w:rtl w:val="0"/>
        </w:rPr>
      </w:r>
      <w:r>
        <w:rPr>
          <w:sz w:val="22"/>
          <w:szCs w:val="22"/>
        </w:rPr>
      </w:r>
    </w:p>
    <w:p w14:paraId="00000323">
      <w:pPr>
        <w:pBdr/>
        <w:spacing w:after="140" w:line="300" w:lineRule="auto"/>
        <w:ind/>
        <w:jc w:val="both"/>
        <w:rPr>
          <w:sz w:val="22"/>
          <w:szCs w:val="22"/>
        </w:rPr>
      </w:pPr>
      <w:r>
        <w:rPr>
          <w:rtl w:val="0"/>
        </w:rPr>
      </w:r>
      <w:r>
        <w:rPr>
          <w:sz w:val="22"/>
          <w:szCs w:val="22"/>
        </w:rPr>
      </w:r>
    </w:p>
    <w:p w14:paraId="00000324">
      <w:pPr>
        <w:pBdr/>
        <w:spacing w:after="140" w:line="300" w:lineRule="auto"/>
        <w:ind/>
        <w:jc w:val="both"/>
        <w:rPr>
          <w:sz w:val="22"/>
          <w:szCs w:val="22"/>
        </w:rPr>
      </w:pPr>
      <w:r>
        <w:rPr>
          <w:rtl w:val="0"/>
        </w:rPr>
      </w:r>
      <w:r>
        <w:rPr>
          <w:sz w:val="22"/>
          <w:szCs w:val="22"/>
        </w:rPr>
      </w:r>
    </w:p>
    <w:p w14:paraId="00000325">
      <w:pPr>
        <w:pBdr/>
        <w:spacing w:after="140" w:line="300" w:lineRule="auto"/>
        <w:ind/>
        <w:jc w:val="both"/>
        <w:rPr>
          <w:sz w:val="22"/>
          <w:szCs w:val="22"/>
        </w:rPr>
      </w:pPr>
      <w:r>
        <w:rPr>
          <w:rtl w:val="0"/>
        </w:rPr>
      </w:r>
      <w:r>
        <w:rPr>
          <w:sz w:val="22"/>
          <w:szCs w:val="22"/>
        </w:rPr>
      </w:r>
    </w:p>
    <w:p w14:paraId="00000326">
      <w:pPr>
        <w:pBdr/>
        <w:spacing w:after="140" w:line="300" w:lineRule="auto"/>
        <w:ind/>
        <w:jc w:val="both"/>
        <w:rPr>
          <w:sz w:val="22"/>
          <w:szCs w:val="22"/>
        </w:rPr>
      </w:pPr>
      <w:r>
        <w:rPr>
          <w:rtl w:val="0"/>
        </w:rPr>
      </w:r>
      <w:r>
        <w:rPr>
          <w:sz w:val="22"/>
          <w:szCs w:val="22"/>
        </w:rPr>
      </w:r>
    </w:p>
    <w:p w14:paraId="00000327">
      <w:pPr>
        <w:pBdr/>
        <w:spacing w:after="140" w:line="300" w:lineRule="auto"/>
        <w:ind/>
        <w:jc w:val="both"/>
        <w:rPr>
          <w:sz w:val="22"/>
          <w:szCs w:val="22"/>
        </w:rPr>
      </w:pPr>
      <w:r>
        <w:rPr>
          <w:rtl w:val="0"/>
        </w:rPr>
      </w:r>
      <w:r>
        <w:rPr>
          <w:sz w:val="22"/>
          <w:szCs w:val="22"/>
        </w:rPr>
      </w:r>
    </w:p>
    <w:p w14:paraId="00000328">
      <w:pPr>
        <w:pBdr/>
        <w:spacing w:after="140" w:line="300" w:lineRule="auto"/>
        <w:ind/>
        <w:jc w:val="both"/>
        <w:rPr>
          <w:sz w:val="22"/>
          <w:szCs w:val="22"/>
        </w:rPr>
      </w:pPr>
      <w:r>
        <w:rPr>
          <w:rtl w:val="0"/>
        </w:rPr>
      </w:r>
      <w:r>
        <w:rPr>
          <w:sz w:val="22"/>
          <w:szCs w:val="22"/>
        </w:rPr>
      </w:r>
    </w:p>
    <w:p w14:paraId="489428B1">
      <w:pPr>
        <w:pBdr/>
        <w:spacing w:after="140" w:line="300" w:lineRule="auto"/>
        <w:ind/>
        <w:jc w:val="both"/>
        <w:rPr/>
      </w:pPr>
      <w:r/>
    </w:p>
    <w:p w14:paraId="00000329">
      <w:pPr>
        <w:pBdr/>
        <w:spacing w:after="140" w:line="300" w:lineRule="auto"/>
        <w:ind/>
        <w:jc w:val="both"/>
        <w:rPr/>
      </w:pPr>
      <w:r>
        <w:rPr>
          <w:rtl w:val="0"/>
        </w:rPr>
      </w:r>
      <w:r/>
    </w:p>
    <w:p w14:paraId="0000032A">
      <w:pPr>
        <w:pStyle w:val="938"/>
        <w:pBdr/>
        <w:spacing w:after="180" w:before="320"/>
        <w:ind/>
        <w:rPr>
          <w:color w:val="000000" w:themeColor="text1"/>
        </w:rPr>
      </w:pPr>
      <w:r/>
      <w:bookmarkStart w:id="70" w:name="_Toc34"/>
      <w:r>
        <w:rPr>
          <w:color w:val="000000" w:themeColor="text1"/>
        </w:rPr>
      </w:r>
      <w:bookmarkStart w:id="36" w:name="_v7j54zqa7kef"/>
      <w:r>
        <w:rPr>
          <w:color w:val="000000" w:themeColor="text1"/>
        </w:rPr>
      </w:r>
      <w:bookmarkEnd w:id="36"/>
      <w:r>
        <w:rPr>
          <w:b/>
          <w:bCs/>
          <w:color w:val="000000" w:themeColor="text1"/>
          <w:sz w:val="30"/>
          <w:szCs w:val="30"/>
          <w:rtl w:val="0"/>
        </w:rPr>
        <w:t xml:space="preserve">5. Referencias normativas y bibliográficas</w:t>
      </w:r>
      <w:r/>
      <w:bookmarkEnd w:id="70"/>
      <w:r/>
      <w:r>
        <w:rPr>
          <w:color w:val="000000" w:themeColor="text1"/>
        </w:rPr>
      </w:r>
    </w:p>
    <w:p w14:paraId="0000032B">
      <w:pPr>
        <w:pBdr/>
        <w:spacing w:after="110" w:line="290" w:lineRule="auto"/>
        <w:ind w:hanging="400" w:left="400"/>
        <w:jc w:val="both"/>
        <w:rPr/>
      </w:pPr>
      <w:r>
        <w:rPr>
          <w:sz w:val="21"/>
          <w:szCs w:val="21"/>
          <w:rtl w:val="0"/>
        </w:rPr>
        <w:t xml:space="preserve">[1] ISO/IEC/IEEE 29148:2011. Systems and software engineering — Life cycle processes — Requirements engineering. ISO, 2011. (Capítulo 5: Conceptos.)</w:t>
      </w:r>
      <w:r>
        <w:rPr>
          <w:rtl w:val="0"/>
        </w:rPr>
      </w:r>
      <w:r/>
    </w:p>
    <w:p w14:paraId="0000032C">
      <w:pPr>
        <w:pBdr/>
        <w:spacing w:after="110" w:line="290" w:lineRule="auto"/>
        <w:ind w:hanging="400" w:left="400"/>
        <w:jc w:val="both"/>
        <w:rPr/>
      </w:pPr>
      <w:r>
        <w:rPr>
          <w:sz w:val="21"/>
          <w:szCs w:val="21"/>
          <w:rtl w:val="0"/>
        </w:rPr>
        <w:t xml:space="preserve">[2] IEEE Computer Society. SWEBOK Guide Version 4.0a: Guide to the Software Engineering Body of Knowledge. IEEE, septiembre de 2025. Área de conocimiento 01 — Software Requirements, Tema 2: Requirements Elicitation.</w:t>
      </w:r>
      <w:r>
        <w:rPr>
          <w:rtl w:val="0"/>
        </w:rPr>
      </w:r>
      <w:r/>
    </w:p>
    <w:p w14:paraId="0000032D">
      <w:pPr>
        <w:pBdr/>
        <w:spacing w:after="110" w:line="290" w:lineRule="auto"/>
        <w:ind w:hanging="400" w:left="400"/>
        <w:jc w:val="both"/>
        <w:rPr/>
      </w:pPr>
      <w:r>
        <w:rPr>
          <w:sz w:val="21"/>
          <w:szCs w:val="21"/>
          <w:rtl w:val="0"/>
        </w:rPr>
        <w:t xml:space="preserve">[3] IEEE Computer Society. SWEBOK Guide Version 4.0a. Área de conocimiento 01 — Software Requirements, Tema 4: Requirements Specification.</w:t>
      </w:r>
      <w:r>
        <w:rPr>
          <w:rtl w:val="0"/>
        </w:rPr>
      </w:r>
      <w:r/>
    </w:p>
    <w:p w14:paraId="0000032E">
      <w:pPr>
        <w:pBdr/>
        <w:spacing w:after="110" w:line="290" w:lineRule="auto"/>
        <w:ind w:hanging="400" w:left="400"/>
        <w:jc w:val="both"/>
        <w:rPr/>
      </w:pPr>
      <w:r>
        <w:rPr>
          <w:sz w:val="21"/>
          <w:szCs w:val="21"/>
          <w:rtl w:val="0"/>
        </w:rPr>
        <w:t xml:space="preserve">[4] ISO/IEC 25010:2011. Systems and software engineering — Systems and software Quality Requirements and Evaluation (SQuaRE) — System and software quality models. ISO, 2011.</w:t>
      </w:r>
      <w:r>
        <w:rPr>
          <w:rtl w:val="0"/>
        </w:rPr>
      </w:r>
      <w:r/>
    </w:p>
    <w:p w14:paraId="0000032F">
      <w:pPr>
        <w:pBdr/>
        <w:spacing w:after="110" w:line="290" w:lineRule="auto"/>
        <w:ind w:hanging="400" w:left="400"/>
        <w:jc w:val="both"/>
        <w:rPr/>
      </w:pPr>
      <w:r>
        <w:rPr>
          <w:sz w:val="21"/>
          <w:szCs w:val="21"/>
          <w:rtl w:val="0"/>
        </w:rPr>
        <w:t xml:space="preserve">[5] Wiegers, K. y Beatty, J. Software Requirements, 3ª edición. Microsoft Press, 2013. (Capítulos 6, 7 y 15.)</w:t>
      </w:r>
      <w:r>
        <w:rPr>
          <w:rtl w:val="0"/>
        </w:rPr>
      </w:r>
      <w:r/>
    </w:p>
    <w:p w14:paraId="00000330">
      <w:pPr>
        <w:pBdr/>
        <w:spacing w:after="110" w:line="290" w:lineRule="auto"/>
        <w:ind w:hanging="400" w:left="400"/>
        <w:jc w:val="both"/>
        <w:rPr/>
      </w:pPr>
      <w:r>
        <w:rPr>
          <w:sz w:val="21"/>
          <w:szCs w:val="21"/>
          <w:rtl w:val="0"/>
        </w:rPr>
        <w:t xml:space="preserve">[6] Sommerville, I. Software Engineering, 10ª edición. Pearson, 2016. (Secciones 4.3 y 4.4.)</w:t>
      </w:r>
      <w:r>
        <w:rPr>
          <w:rtl w:val="0"/>
        </w:rPr>
      </w:r>
      <w:r/>
    </w:p>
    <w:p w14:paraId="00000331">
      <w:pPr>
        <w:pBdr/>
        <w:spacing w:after="110" w:line="290" w:lineRule="auto"/>
        <w:ind w:hanging="400" w:left="400"/>
        <w:jc w:val="both"/>
        <w:rPr/>
      </w:pPr>
      <w:r>
        <w:rPr>
          <w:sz w:val="21"/>
          <w:szCs w:val="21"/>
          <w:rtl w:val="0"/>
        </w:rPr>
        <w:t xml:space="preserve">[7] Gilb, T. Competitive Engineering: A Handbook for Systems Engineering, Requirements Engineering, and Software Engineering Using Planguage. Elsevier, 2005.</w:t>
      </w:r>
      <w:r>
        <w:rPr>
          <w:rtl w:val="0"/>
        </w:rPr>
      </w:r>
      <w:r/>
    </w:p>
    <w:p w14:paraId="00000332">
      <w:pPr>
        <w:pBdr/>
        <w:spacing w:after="110" w:line="290" w:lineRule="auto"/>
        <w:ind w:hanging="400" w:left="400"/>
        <w:jc w:val="both"/>
        <w:rPr/>
      </w:pPr>
      <w:r>
        <w:rPr>
          <w:sz w:val="21"/>
          <w:szCs w:val="21"/>
          <w:rtl w:val="0"/>
        </w:rPr>
        <w:t xml:space="preserve">[8] Cockburn, A. Writing Effective Use Cases. Addison-Wesley, 2001.</w:t>
      </w:r>
      <w:r>
        <w:rPr>
          <w:rtl w:val="0"/>
        </w:rPr>
      </w:r>
      <w:r/>
    </w:p>
    <w:p w14:paraId="00000333">
      <w:pPr>
        <w:pBdr/>
        <w:spacing w:after="110" w:line="290" w:lineRule="auto"/>
        <w:ind w:hanging="400" w:left="400"/>
        <w:jc w:val="both"/>
        <w:rPr/>
      </w:pPr>
      <w:r>
        <w:rPr>
          <w:sz w:val="21"/>
          <w:szCs w:val="21"/>
          <w:rtl w:val="0"/>
        </w:rPr>
        <w:t xml:space="preserve">[9] North, D. Introducing BDD. Better Software Magazine, 2006.</w:t>
      </w:r>
      <w:r>
        <w:rPr>
          <w:rtl w:val="0"/>
        </w:rPr>
      </w:r>
      <w:r/>
    </w:p>
    <w:p w14:paraId="00000334">
      <w:pPr>
        <w:pBdr/>
        <w:spacing w:after="110" w:line="290" w:lineRule="auto"/>
        <w:ind w:hanging="400" w:left="400"/>
        <w:jc w:val="both"/>
        <w:rPr/>
      </w:pPr>
      <w:r>
        <w:rPr>
          <w:sz w:val="21"/>
          <w:szCs w:val="21"/>
          <w:rtl w:val="0"/>
        </w:rPr>
        <w:t xml:space="preserve">[10] Ley No. 787, Ley de Protección de Datos Personales de Nicaragua. Asamblea Nacional de Nicaragua, 2012.</w:t>
      </w:r>
      <w:r>
        <w:rPr>
          <w:rtl w:val="0"/>
        </w:rPr>
      </w:r>
      <w:r/>
    </w:p>
    <w:p w14:paraId="00000335">
      <w:pPr>
        <w:pBdr/>
        <w:spacing w:after="110" w:line="290" w:lineRule="auto"/>
        <w:ind w:hanging="400" w:left="400"/>
        <w:jc w:val="both"/>
        <w:rPr/>
      </w:pPr>
      <w:r>
        <w:rPr>
          <w:sz w:val="21"/>
          <w:szCs w:val="21"/>
          <w:rtl w:val="0"/>
        </w:rPr>
        <w:t xml:space="preserve">[11] OWASP Foundation. OWASP Top 10. Documento de referencia sobre riesgos críticos en aplicaciones web.</w:t>
      </w:r>
      <w:r>
        <w:rPr>
          <w:rtl w:val="0"/>
        </w:rPr>
      </w:r>
      <w:r/>
    </w:p>
    <w:p w14:paraId="00000336">
      <w:pPr>
        <w:pBdr/>
        <w:spacing w:after="110" w:line="290" w:lineRule="auto"/>
        <w:ind w:hanging="400" w:left="400"/>
        <w:jc w:val="both"/>
        <w:rPr/>
      </w:pPr>
      <w:r>
        <w:rPr>
          <w:sz w:val="21"/>
          <w:szCs w:val="21"/>
          <w:rtl w:val="0"/>
        </w:rPr>
        <w:t xml:space="preserve">[12] W3C. Web Content Accessibility Guidelines (WCAG) 2.1. Recomendación del W3C, 2018.</w:t>
      </w:r>
      <w:r>
        <w:rPr>
          <w:rtl w:val="0"/>
        </w:rPr>
      </w:r>
      <w:r/>
    </w:p>
    <w:p w14:paraId="265EEDA3">
      <w:pPr>
        <w:pBdr/>
        <w:spacing w:after="140" w:line="300" w:lineRule="auto"/>
        <w:ind/>
        <w:jc w:val="both"/>
        <w:rPr/>
      </w:pPr>
      <w:r>
        <w:rPr>
          <w:highlight w:val="none"/>
          <w:rtl w:val="0"/>
        </w:rPr>
      </w:r>
      <w:r/>
    </w:p>
    <w:p w14:paraId="554269CC">
      <w:pPr>
        <w:pBdr/>
        <w:spacing w:after="140" w:line="300" w:lineRule="auto"/>
        <w:ind/>
        <w:jc w:val="both"/>
        <w:rPr>
          <w:highlight w:val="none"/>
        </w:rPr>
      </w:pPr>
      <w:r>
        <w:rPr>
          <w:highlight w:val="none"/>
          <w:rtl w:val="0"/>
        </w:rPr>
      </w:r>
      <w:r>
        <w:rPr>
          <w:highlight w:val="none"/>
        </w:rPr>
      </w:r>
    </w:p>
    <w:p w14:paraId="3CE70831">
      <w:pPr>
        <w:pBdr/>
        <w:spacing w:after="140" w:line="300" w:lineRule="auto"/>
        <w:ind/>
        <w:jc w:val="both"/>
        <w:rPr>
          <w:highlight w:val="none"/>
        </w:rPr>
      </w:pPr>
      <w:r>
        <w:rPr>
          <w:rtl w:val="0"/>
        </w:rPr>
        <w:t xml:space="preserve">Registro de cambios — versión 1.1</w:t>
      </w:r>
      <w:r>
        <w:rPr>
          <w:highlight w:val="none"/>
        </w:rPr>
      </w:r>
    </w:p>
    <w:p w14:paraId="032B0545">
      <w:pPr>
        <w:pBdr/>
        <w:spacing w:after="140" w:line="300" w:lineRule="auto"/>
        <w:ind/>
        <w:jc w:val="both"/>
        <w:rPr/>
      </w:pPr>
      <w:r>
        <w:rPr>
          <w:rtl w:val="0"/>
        </w:rPr>
      </w:r>
      <w:r/>
    </w:p>
    <w:p w14:paraId="6E1388A3">
      <w:pPr>
        <w:pBdr/>
        <w:spacing w:after="140" w:line="300" w:lineRule="auto"/>
        <w:ind/>
        <w:jc w:val="both"/>
        <w:rPr/>
      </w:pPr>
      <w:r>
        <w:rPr>
          <w:rtl w:val="0"/>
        </w:rPr>
        <w:t xml:space="preserve">Altas: ninguna. Bajas: ninguna. El catálogo conserva sus cincuenta y tres requisitos y su distribución MoSCoW de veintiocho «Debe», diecinueve «Debería» y seis «Podría».</w:t>
      </w:r>
      <w:r/>
    </w:p>
    <w:p w14:paraId="0600C5D6">
      <w:pPr>
        <w:pBdr/>
        <w:spacing w:after="140" w:line="300" w:lineRule="auto"/>
        <w:ind/>
        <w:jc w:val="both"/>
        <w:rPr/>
      </w:pPr>
      <w:r>
        <w:rPr>
          <w:rtl w:val="0"/>
        </w:rPr>
      </w:r>
      <w:r/>
    </w:p>
    <w:p w14:paraId="00000337">
      <w:pPr>
        <w:pBdr/>
        <w:spacing w:after="140" w:line="300" w:lineRule="auto"/>
        <w:ind/>
        <w:jc w:val="both"/>
        <w:rPr/>
      </w:pPr>
      <w:r>
        <w:rPr>
          <w:rtl w:val="0"/>
        </w:rPr>
        <w:t xml:space="preserve">Modificaciones: precisión del estado terminal de la negociación en SYS-FN-20 y de su criterio de aceptación; declaración expresa del umbral de compromiso del MVP en la sección 2.7; anotación de la columna de módulo con el identificador de módulo o de capa correspondiente; unificación del nombre del rol administrador; corrección del separador decimal; y renumeración de las técnicas de elicitación como 2.4.1 a 2.4.7. Ninguna modificación altera cifra alguna del resumen cuantitativo.</w:t>
      </w:r>
      <w:r/>
    </w:p>
    <w:sectPr>
      <w:footerReference w:type="default" r:id="rId11"/>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409020205020404"/>
  </w:font>
  <w:font w:name="Noto Sans Symbols">
    <w:panose1 w:val="020B0502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38">
    <w:pPr>
      <w:pBdr/>
      <w:spacing/>
      <w:ind/>
      <w:jc w:val="center"/>
      <w:rPr/>
    </w:pPr>
    <w:r>
      <w:rPr>
        <w:rFonts w:ascii="Calibri" w:hAnsi="Calibri" w:eastAsia="Calibri" w:cs="Calibri"/>
        <w:color w:val="888888"/>
        <w:sz w:val="17"/>
        <w:szCs w:val="17"/>
        <w:rtl w:val="0"/>
      </w:rPr>
      <w:t xml:space="preserve">AbasteceNi — Documento de Levantamiento de Requerimientos · Página </w:t>
    </w:r>
    <w:r>
      <w:rPr>
        <w:rFonts w:ascii="Calibri" w:hAnsi="Calibri" w:eastAsia="Calibri" w:cs="Calibri"/>
        <w:color w:val="888888"/>
        <w:sz w:val="17"/>
        <w:szCs w:val="17"/>
      </w:rPr>
      <w:fldChar w:fldCharType="begin"/>
      <w:instrText xml:space="preserve">PAGE</w:instrText>
      <w:fldChar w:fldCharType="separate"/>
      <w:fldChar w:fldCharType="end"/>
    </w:r>
    <w:r>
      <w:rPr>
        <w:rFonts w:ascii="Calibri" w:hAnsi="Calibri" w:eastAsia="Calibri" w:cs="Calibri"/>
        <w:color w:val="888888"/>
        <w:sz w:val="17"/>
        <w:szCs w:val="17"/>
        <w:rtl w:val="0"/>
      </w:rPr>
      <w:t xml:space="preserve"> de </w:t>
    </w:r>
    <w:r>
      <w:rPr>
        <w:rFonts w:ascii="Calibri" w:hAnsi="Calibri" w:eastAsia="Calibri" w:cs="Calibri"/>
        <w:color w:val="888888"/>
        <w:sz w:val="17"/>
        <w:szCs w:val="17"/>
      </w:rPr>
      <w:fldChar w:fldCharType="begin"/>
      <w:instrText xml:space="preserve">NUMPAGES</w:instrText>
      <w:fldChar w:fldCharType="separate"/>
      <w:fldChar w:fldCharType="end"/>
    </w: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39">
    <w:pPr>
      <w:pBdr/>
      <w:spacing/>
      <w:ind/>
      <w:jc w:val="center"/>
      <w:rPr/>
    </w:pPr>
    <w:r>
      <w:rPr>
        <w:rFonts w:ascii="Calibri" w:hAnsi="Calibri" w:eastAsia="Calibri" w:cs="Calibri"/>
        <w:color w:val="888888"/>
        <w:sz w:val="17"/>
        <w:szCs w:val="17"/>
        <w:rtl w:val="0"/>
      </w:rPr>
      <w:t xml:space="preserve">AbasteceNi — Documento de Levantamiento de Requerimientos  ·  Página </w:t>
    </w:r>
    <w:r>
      <w:rPr>
        <w:rFonts w:ascii="Calibri" w:hAnsi="Calibri" w:eastAsia="Calibri" w:cs="Calibri"/>
        <w:color w:val="888888"/>
        <w:sz w:val="17"/>
        <w:szCs w:val="17"/>
      </w:rPr>
      <w:fldChar w:fldCharType="begin"/>
      <w:instrText xml:space="preserve">PAGE</w:instrText>
      <w:fldChar w:fldCharType="separate"/>
      <w:fldChar w:fldCharType="end"/>
    </w:r>
    <w:r>
      <w:rPr>
        <w:rFonts w:ascii="Calibri" w:hAnsi="Calibri" w:eastAsia="Calibri" w:cs="Calibri"/>
        <w:color w:val="888888"/>
        <w:sz w:val="17"/>
        <w:szCs w:val="17"/>
        <w:rtl w:val="0"/>
      </w:rPr>
      <w:t xml:space="preserve"> de </w:t>
    </w:r>
    <w:r>
      <w:rPr>
        <w:rFonts w:ascii="Calibri" w:hAnsi="Calibri" w:eastAsia="Calibri" w:cs="Calibri"/>
        <w:color w:val="888888"/>
        <w:sz w:val="17"/>
        <w:szCs w:val="17"/>
      </w:rPr>
      <w:fldChar w:fldCharType="begin"/>
      <w:instrText xml:space="preserve">NUMPAGES</w:instrText>
      <w:fldChar w:fldCharType="separate"/>
      <w:fldChar w:fldCharType="end"/>
    </w:r>
    <w:r>
      <w:rPr>
        <w:rtl w:val="0"/>
      </w:r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3A">
    <w:pPr>
      <w:pBdr/>
      <w:spacing/>
      <w:ind/>
      <w:jc w:val="center"/>
      <w:rPr/>
    </w:pPr>
    <w:r>
      <w:rPr>
        <w:rFonts w:ascii="Calibri" w:hAnsi="Calibri" w:eastAsia="Calibri" w:cs="Calibri"/>
        <w:color w:val="888888"/>
        <w:sz w:val="17"/>
        <w:szCs w:val="17"/>
        <w:rtl w:val="0"/>
      </w:rPr>
      <w:t xml:space="preserve">AbasteceNi — Documento de Levantamiento de Requerimientos  ·  Página </w:t>
    </w:r>
    <w:r>
      <w:rPr>
        <w:rFonts w:ascii="Calibri" w:hAnsi="Calibri" w:eastAsia="Calibri" w:cs="Calibri"/>
        <w:color w:val="888888"/>
        <w:sz w:val="17"/>
        <w:szCs w:val="17"/>
      </w:rPr>
      <w:fldChar w:fldCharType="begin"/>
      <w:instrText xml:space="preserve">PAGE</w:instrText>
      <w:fldChar w:fldCharType="separate"/>
      <w:fldChar w:fldCharType="end"/>
    </w:r>
    <w:r>
      <w:rPr>
        <w:rFonts w:ascii="Calibri" w:hAnsi="Calibri" w:eastAsia="Calibri" w:cs="Calibri"/>
        <w:color w:val="888888"/>
        <w:sz w:val="17"/>
        <w:szCs w:val="17"/>
        <w:rtl w:val="0"/>
      </w:rPr>
      <w:t xml:space="preserve"> de </w:t>
    </w:r>
    <w:r>
      <w:rPr>
        <w:rFonts w:ascii="Calibri" w:hAnsi="Calibri" w:eastAsia="Calibri" w:cs="Calibri"/>
        <w:color w:val="888888"/>
        <w:sz w:val="17"/>
        <w:szCs w:val="17"/>
      </w:rPr>
      <w:fldChar w:fldCharType="begin"/>
      <w:instrText xml:space="preserve">NUMPAGES</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8" w:left="504"/>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abstractNum w:abstractNumId="1">
    <w:lvl w:ilvl="0">
      <w:isLgl w:val="false"/>
      <w:lvlJc w:val="left"/>
      <w:lvlText w:val="%1."/>
      <w:numFmt w:val="decimal"/>
      <w:pPr>
        <w:pBdr/>
        <w:spacing/>
        <w:ind w:hanging="288" w:left="504"/>
      </w:pPr>
      <w:rPr/>
      <w:start w:val="1"/>
      <w:suff w:val="tab"/>
    </w:lvl>
    <w:lvl w:ilvl="1">
      <w:isLgl w:val="false"/>
      <w:lvlJc w:val="left"/>
      <w:lvlText w:val=""/>
      <w:numFmt w:val="bullet"/>
      <w:pPr>
        <w:pBdr/>
        <w:spacing/>
        <w:ind w:firstLine="0" w:left="0"/>
      </w:pPr>
      <w:rPr/>
      <w:start w:val="0"/>
      <w:suff w:val="tab"/>
    </w:lvl>
    <w:lvl w:ilvl="2">
      <w:isLgl w:val="false"/>
      <w:lvlJc w:val="left"/>
      <w:lvlText w:val=""/>
      <w:numFmt w:val="bullet"/>
      <w:pPr>
        <w:pBdr/>
        <w:spacing/>
        <w:ind w:firstLine="0" w:left="0"/>
      </w:pPr>
      <w:rPr/>
      <w:start w:val="0"/>
      <w:suff w:val="tab"/>
    </w:lvl>
    <w:lvl w:ilvl="3">
      <w:isLgl w:val="false"/>
      <w:lvlJc w:val="left"/>
      <w:lvlText w:val=""/>
      <w:numFmt w:val="bullet"/>
      <w:pPr>
        <w:pBdr/>
        <w:spacing/>
        <w:ind w:firstLine="0" w:left="0"/>
      </w:pPr>
      <w:rPr/>
      <w:start w:val="0"/>
      <w:suff w:val="tab"/>
    </w:lvl>
    <w:lvl w:ilvl="4">
      <w:isLgl w:val="false"/>
      <w:lvlJc w:val="left"/>
      <w:lvlText w:val=""/>
      <w:numFmt w:val="bullet"/>
      <w:pPr>
        <w:pBdr/>
        <w:spacing/>
        <w:ind w:firstLine="0" w:left="0"/>
      </w:pPr>
      <w:rPr/>
      <w:start w:val="0"/>
      <w:suff w:val="tab"/>
    </w:lvl>
    <w:lvl w:ilvl="5">
      <w:isLgl w:val="false"/>
      <w:lvlJc w:val="left"/>
      <w:lvlText w:val=""/>
      <w:numFmt w:val="bullet"/>
      <w:pPr>
        <w:pBdr/>
        <w:spacing/>
        <w:ind w:firstLine="0" w:left="0"/>
      </w:pPr>
      <w:rPr/>
      <w:start w:val="0"/>
      <w:suff w:val="tab"/>
    </w:lvl>
    <w:lvl w:ilvl="6">
      <w:isLgl w:val="false"/>
      <w:lvlJc w:val="left"/>
      <w:lvlText w:val=""/>
      <w:numFmt w:val="bullet"/>
      <w:pPr>
        <w:pBdr/>
        <w:spacing/>
        <w:ind w:firstLine="0" w:left="0"/>
      </w:pPr>
      <w:rPr/>
      <w:start w:val="0"/>
      <w:suff w:val="tab"/>
    </w:lvl>
    <w:lvl w:ilvl="7">
      <w:isLgl w:val="false"/>
      <w:lvlJc w:val="left"/>
      <w:lvlText w:val=""/>
      <w:numFmt w:val="bullet"/>
      <w:pPr>
        <w:pBdr/>
        <w:spacing/>
        <w:ind w:firstLine="0" w:left="0"/>
      </w:pPr>
      <w:rPr/>
      <w:start w:val="0"/>
      <w:suff w:val="tab"/>
    </w:lvl>
    <w:lvl w:ilvl="8">
      <w:isLgl w:val="false"/>
      <w:lvlJc w:val="left"/>
      <w:lvlText w:val=""/>
      <w:numFmt w:val="bullet"/>
      <w:pPr>
        <w:pBdr/>
        <w:spacing/>
        <w:ind w:firstLine="0" w:left="0"/>
      </w:pPr>
      <w:rPr/>
      <w:start w:val="0"/>
      <w:suff w:val="tab"/>
    </w:lvl>
  </w:abstractNum>
  <w:abstractNum w:abstractNumId="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NI"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Table Grid"/>
    <w:basedOn w:val="75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Light"/>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1"/>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2"/>
    <w:basedOn w:val="7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3"/>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4"/>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5"/>
    <w:basedOn w:val="7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w:basedOn w:val="7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w:basedOn w:val="7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1"/>
    <w:basedOn w:val="7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5"/>
    <w:basedOn w:val="7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6"/>
    <w:basedOn w:val="7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w:basedOn w:val="7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7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7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7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7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7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7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1"/>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2"/>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3"/>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4"/>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5"/>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6"/>
    <w:basedOn w:val="7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9">
    <w:name w:val="Grid Table 6 Colorful - Accent 1"/>
    <w:basedOn w:val="7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0">
    <w:name w:val="Grid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1">
    <w:name w:val="Grid Table 6 Colorful - Accent 3"/>
    <w:basedOn w:val="7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2">
    <w:name w:val="Grid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3">
    <w:name w:val="Grid Table 6 Colorful - Accent 5"/>
    <w:basedOn w:val="7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6 Colorful - Accent 6"/>
    <w:basedOn w:val="7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7 Colorful"/>
    <w:basedOn w:val="7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1"/>
    <w:basedOn w:val="7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2"/>
    <w:basedOn w:val="7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3"/>
    <w:basedOn w:val="7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4"/>
    <w:basedOn w:val="7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5"/>
    <w:basedOn w:val="7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6"/>
    <w:basedOn w:val="7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1"/>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2"/>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3"/>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4"/>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5"/>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6"/>
    <w:basedOn w:val="7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w:basedOn w:val="7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1"/>
    <w:basedOn w:val="7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2"/>
    <w:basedOn w:val="7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3"/>
    <w:basedOn w:val="7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4"/>
    <w:basedOn w:val="7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5"/>
    <w:basedOn w:val="7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6"/>
    <w:basedOn w:val="7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1"/>
    <w:basedOn w:val="7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2"/>
    <w:basedOn w:val="7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3"/>
    <w:basedOn w:val="7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4"/>
    <w:basedOn w:val="7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5"/>
    <w:basedOn w:val="7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6"/>
    <w:basedOn w:val="7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w:basedOn w:val="7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1"/>
    <w:basedOn w:val="7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2"/>
    <w:basedOn w:val="7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3"/>
    <w:basedOn w:val="7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4"/>
    <w:basedOn w:val="7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5"/>
    <w:basedOn w:val="7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6"/>
    <w:basedOn w:val="7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w:basedOn w:val="7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1"/>
    <w:basedOn w:val="7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2"/>
    <w:basedOn w:val="7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3"/>
    <w:basedOn w:val="7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4"/>
    <w:basedOn w:val="7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5"/>
    <w:basedOn w:val="7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6"/>
    <w:basedOn w:val="7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6 Colorful"/>
    <w:basedOn w:val="7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1"/>
    <w:basedOn w:val="7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2"/>
    <w:basedOn w:val="7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3"/>
    <w:basedOn w:val="7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4"/>
    <w:basedOn w:val="7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5"/>
    <w:basedOn w:val="7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6"/>
    <w:basedOn w:val="7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w:basedOn w:val="7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5">
    <w:name w:val="List Table 7 Colorful - Accent 1"/>
    <w:basedOn w:val="7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6">
    <w:name w:val="List Table 7 Colorful - Accent 2"/>
    <w:basedOn w:val="7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7">
    <w:name w:val="List Table 7 Colorful - Accent 3"/>
    <w:basedOn w:val="7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8">
    <w:name w:val="List Table 7 Colorful - Accent 4"/>
    <w:basedOn w:val="7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9">
    <w:name w:val="List Table 7 Colorful - Accent 5"/>
    <w:basedOn w:val="7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0">
    <w:name w:val="List Table 7 Colorful - Accent 6"/>
    <w:basedOn w:val="7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1">
    <w:name w:val="Lined - Accent"/>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1"/>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2"/>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3"/>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4"/>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5"/>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6"/>
    <w:basedOn w:val="7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w:basedOn w:val="7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1"/>
    <w:basedOn w:val="7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2"/>
    <w:basedOn w:val="7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3"/>
    <w:basedOn w:val="7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4"/>
    <w:basedOn w:val="7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5"/>
    <w:basedOn w:val="7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6"/>
    <w:basedOn w:val="7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w:basedOn w:val="7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1"/>
    <w:basedOn w:val="7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2"/>
    <w:basedOn w:val="7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3"/>
    <w:basedOn w:val="7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4"/>
    <w:basedOn w:val="7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5"/>
    <w:basedOn w:val="7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6"/>
    <w:basedOn w:val="7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name w:val="Heading 7"/>
    <w:basedOn w:val="937"/>
    <w:next w:val="937"/>
    <w:link w:val="8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3">
    <w:name w:val="Heading 8"/>
    <w:basedOn w:val="937"/>
    <w:next w:val="937"/>
    <w:link w:val="8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4">
    <w:name w:val="Heading 9"/>
    <w:basedOn w:val="937"/>
    <w:next w:val="937"/>
    <w:link w:val="8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5" w:default="1">
    <w:name w:val="Default Paragraph Font"/>
    <w:uiPriority w:val="1"/>
    <w:semiHidden/>
    <w:unhideWhenUsed/>
    <w:pPr>
      <w:pBdr/>
      <w:spacing/>
      <w:ind/>
    </w:pPr>
  </w:style>
  <w:style w:type="numbering" w:styleId="886" w:default="1">
    <w:name w:val="No List"/>
    <w:uiPriority w:val="99"/>
    <w:semiHidden/>
    <w:unhideWhenUsed/>
    <w:pPr>
      <w:pBdr/>
      <w:spacing/>
      <w:ind/>
    </w:pPr>
  </w:style>
  <w:style w:type="character" w:styleId="887">
    <w:name w:val="Heading 1 Char"/>
    <w:basedOn w:val="885"/>
    <w:link w:val="938"/>
    <w:uiPriority w:val="9"/>
    <w:pPr>
      <w:pBdr/>
      <w:spacing/>
      <w:ind/>
    </w:pPr>
    <w:rPr>
      <w:rFonts w:ascii="Arial" w:hAnsi="Arial" w:eastAsia="Arial" w:cs="Arial"/>
      <w:color w:val="0f4761" w:themeColor="accent1" w:themeShade="BF"/>
      <w:sz w:val="40"/>
      <w:szCs w:val="40"/>
    </w:rPr>
  </w:style>
  <w:style w:type="character" w:styleId="888">
    <w:name w:val="Heading 2 Char"/>
    <w:basedOn w:val="885"/>
    <w:link w:val="939"/>
    <w:uiPriority w:val="9"/>
    <w:pPr>
      <w:pBdr/>
      <w:spacing/>
      <w:ind/>
    </w:pPr>
    <w:rPr>
      <w:rFonts w:ascii="Arial" w:hAnsi="Arial" w:eastAsia="Arial" w:cs="Arial"/>
      <w:color w:val="0f4761" w:themeColor="accent1" w:themeShade="BF"/>
      <w:sz w:val="32"/>
      <w:szCs w:val="32"/>
    </w:rPr>
  </w:style>
  <w:style w:type="character" w:styleId="889">
    <w:name w:val="Heading 3 Char"/>
    <w:basedOn w:val="885"/>
    <w:link w:val="940"/>
    <w:uiPriority w:val="9"/>
    <w:pPr>
      <w:pBdr/>
      <w:spacing/>
      <w:ind/>
    </w:pPr>
    <w:rPr>
      <w:rFonts w:ascii="Arial" w:hAnsi="Arial" w:eastAsia="Arial" w:cs="Arial"/>
      <w:color w:val="0f4761" w:themeColor="accent1" w:themeShade="BF"/>
      <w:sz w:val="28"/>
      <w:szCs w:val="28"/>
    </w:rPr>
  </w:style>
  <w:style w:type="character" w:styleId="890">
    <w:name w:val="Heading 4 Char"/>
    <w:basedOn w:val="885"/>
    <w:link w:val="941"/>
    <w:uiPriority w:val="9"/>
    <w:pPr>
      <w:pBdr/>
      <w:spacing/>
      <w:ind/>
    </w:pPr>
    <w:rPr>
      <w:rFonts w:ascii="Arial" w:hAnsi="Arial" w:eastAsia="Arial" w:cs="Arial"/>
      <w:i/>
      <w:iCs/>
      <w:color w:val="0f4761" w:themeColor="accent1" w:themeShade="BF"/>
    </w:rPr>
  </w:style>
  <w:style w:type="character" w:styleId="891">
    <w:name w:val="Heading 5 Char"/>
    <w:basedOn w:val="885"/>
    <w:link w:val="942"/>
    <w:uiPriority w:val="9"/>
    <w:pPr>
      <w:pBdr/>
      <w:spacing/>
      <w:ind/>
    </w:pPr>
    <w:rPr>
      <w:rFonts w:ascii="Arial" w:hAnsi="Arial" w:eastAsia="Arial" w:cs="Arial"/>
      <w:color w:val="0f4761" w:themeColor="accent1" w:themeShade="BF"/>
    </w:rPr>
  </w:style>
  <w:style w:type="character" w:styleId="892">
    <w:name w:val="Heading 6 Char"/>
    <w:basedOn w:val="885"/>
    <w:link w:val="943"/>
    <w:uiPriority w:val="9"/>
    <w:pPr>
      <w:pBdr/>
      <w:spacing/>
      <w:ind/>
    </w:pPr>
    <w:rPr>
      <w:rFonts w:ascii="Arial" w:hAnsi="Arial" w:eastAsia="Arial" w:cs="Arial"/>
      <w:i/>
      <w:iCs/>
      <w:color w:val="595959" w:themeColor="text1" w:themeTint="A6"/>
    </w:rPr>
  </w:style>
  <w:style w:type="character" w:styleId="893">
    <w:name w:val="Heading 7 Char"/>
    <w:basedOn w:val="885"/>
    <w:link w:val="882"/>
    <w:uiPriority w:val="9"/>
    <w:pPr>
      <w:pBdr/>
      <w:spacing/>
      <w:ind/>
    </w:pPr>
    <w:rPr>
      <w:rFonts w:ascii="Arial" w:hAnsi="Arial" w:eastAsia="Arial" w:cs="Arial"/>
      <w:color w:val="595959" w:themeColor="text1" w:themeTint="A6"/>
    </w:rPr>
  </w:style>
  <w:style w:type="character" w:styleId="894">
    <w:name w:val="Heading 8 Char"/>
    <w:basedOn w:val="885"/>
    <w:link w:val="883"/>
    <w:uiPriority w:val="9"/>
    <w:pPr>
      <w:pBdr/>
      <w:spacing/>
      <w:ind/>
    </w:pPr>
    <w:rPr>
      <w:rFonts w:ascii="Arial" w:hAnsi="Arial" w:eastAsia="Arial" w:cs="Arial"/>
      <w:i/>
      <w:iCs/>
      <w:color w:val="272727" w:themeColor="text1" w:themeTint="D8"/>
    </w:rPr>
  </w:style>
  <w:style w:type="character" w:styleId="895">
    <w:name w:val="Heading 9 Char"/>
    <w:basedOn w:val="885"/>
    <w:link w:val="884"/>
    <w:uiPriority w:val="9"/>
    <w:pPr>
      <w:pBdr/>
      <w:spacing/>
      <w:ind/>
    </w:pPr>
    <w:rPr>
      <w:rFonts w:ascii="Arial" w:hAnsi="Arial" w:eastAsia="Arial" w:cs="Arial"/>
      <w:i/>
      <w:iCs/>
      <w:color w:val="272727" w:themeColor="text1" w:themeTint="D8"/>
    </w:rPr>
  </w:style>
  <w:style w:type="character" w:styleId="896">
    <w:name w:val="Title Char"/>
    <w:basedOn w:val="885"/>
    <w:link w:val="944"/>
    <w:uiPriority w:val="10"/>
    <w:pPr>
      <w:pBdr/>
      <w:spacing/>
      <w:ind/>
    </w:pPr>
    <w:rPr>
      <w:rFonts w:ascii="Arial" w:hAnsi="Arial" w:eastAsia="Arial" w:cs="Arial"/>
      <w:spacing w:val="-10"/>
      <w:sz w:val="56"/>
      <w:szCs w:val="56"/>
    </w:rPr>
  </w:style>
  <w:style w:type="character" w:styleId="897">
    <w:name w:val="Subtitle Char"/>
    <w:basedOn w:val="885"/>
    <w:link w:val="945"/>
    <w:uiPriority w:val="11"/>
    <w:pPr>
      <w:pBdr/>
      <w:spacing/>
      <w:ind/>
    </w:pPr>
    <w:rPr>
      <w:color w:val="595959" w:themeColor="text1" w:themeTint="A6"/>
      <w:spacing w:val="15"/>
      <w:sz w:val="28"/>
      <w:szCs w:val="28"/>
    </w:rPr>
  </w:style>
  <w:style w:type="paragraph" w:styleId="898">
    <w:name w:val="Quote"/>
    <w:basedOn w:val="937"/>
    <w:next w:val="937"/>
    <w:link w:val="899"/>
    <w:uiPriority w:val="29"/>
    <w:qFormat/>
    <w:pPr>
      <w:pBdr/>
      <w:spacing w:before="160"/>
      <w:ind/>
      <w:jc w:val="center"/>
    </w:pPr>
    <w:rPr>
      <w:i/>
      <w:iCs/>
      <w:color w:val="404040" w:themeColor="text1" w:themeTint="BF"/>
    </w:rPr>
  </w:style>
  <w:style w:type="character" w:styleId="899">
    <w:name w:val="Quote Char"/>
    <w:basedOn w:val="885"/>
    <w:link w:val="898"/>
    <w:uiPriority w:val="29"/>
    <w:pPr>
      <w:pBdr/>
      <w:spacing/>
      <w:ind/>
    </w:pPr>
    <w:rPr>
      <w:i/>
      <w:iCs/>
      <w:color w:val="404040" w:themeColor="text1" w:themeTint="BF"/>
    </w:rPr>
  </w:style>
  <w:style w:type="paragraph" w:styleId="900">
    <w:name w:val="List Paragraph"/>
    <w:basedOn w:val="937"/>
    <w:uiPriority w:val="34"/>
    <w:qFormat/>
    <w:pPr>
      <w:pBdr/>
      <w:spacing/>
      <w:ind w:left="720"/>
      <w:contextualSpacing w:val="true"/>
    </w:pPr>
  </w:style>
  <w:style w:type="character" w:styleId="901">
    <w:name w:val="Intense Emphasis"/>
    <w:basedOn w:val="885"/>
    <w:uiPriority w:val="21"/>
    <w:qFormat/>
    <w:pPr>
      <w:pBdr/>
      <w:spacing/>
      <w:ind/>
    </w:pPr>
    <w:rPr>
      <w:i/>
      <w:iCs/>
      <w:color w:val="0f4761" w:themeColor="accent1" w:themeShade="BF"/>
    </w:rPr>
  </w:style>
  <w:style w:type="paragraph" w:styleId="902">
    <w:name w:val="Intense Quote"/>
    <w:basedOn w:val="937"/>
    <w:next w:val="937"/>
    <w:link w:val="9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3">
    <w:name w:val="Intense Quote Char"/>
    <w:basedOn w:val="885"/>
    <w:link w:val="902"/>
    <w:uiPriority w:val="30"/>
    <w:pPr>
      <w:pBdr/>
      <w:spacing/>
      <w:ind/>
    </w:pPr>
    <w:rPr>
      <w:i/>
      <w:iCs/>
      <w:color w:val="0f4761" w:themeColor="accent1" w:themeShade="BF"/>
    </w:rPr>
  </w:style>
  <w:style w:type="character" w:styleId="904">
    <w:name w:val="Intense Reference"/>
    <w:basedOn w:val="885"/>
    <w:uiPriority w:val="32"/>
    <w:qFormat/>
    <w:pPr>
      <w:pBdr/>
      <w:spacing/>
      <w:ind/>
    </w:pPr>
    <w:rPr>
      <w:b/>
      <w:bCs/>
      <w:smallCaps/>
      <w:color w:val="0f4761" w:themeColor="accent1" w:themeShade="BF"/>
      <w:spacing w:val="5"/>
    </w:rPr>
  </w:style>
  <w:style w:type="paragraph" w:styleId="905">
    <w:name w:val="No Spacing"/>
    <w:basedOn w:val="937"/>
    <w:uiPriority w:val="1"/>
    <w:qFormat/>
    <w:pPr>
      <w:pBdr/>
      <w:spacing w:after="0" w:line="240" w:lineRule="auto"/>
      <w:ind/>
    </w:pPr>
  </w:style>
  <w:style w:type="character" w:styleId="906">
    <w:name w:val="Subtle Emphasis"/>
    <w:basedOn w:val="885"/>
    <w:uiPriority w:val="19"/>
    <w:qFormat/>
    <w:pPr>
      <w:pBdr/>
      <w:spacing/>
      <w:ind/>
    </w:pPr>
    <w:rPr>
      <w:i/>
      <w:iCs/>
      <w:color w:val="404040" w:themeColor="text1" w:themeTint="BF"/>
    </w:rPr>
  </w:style>
  <w:style w:type="character" w:styleId="907">
    <w:name w:val="Emphasis"/>
    <w:basedOn w:val="885"/>
    <w:uiPriority w:val="20"/>
    <w:qFormat/>
    <w:pPr>
      <w:pBdr/>
      <w:spacing/>
      <w:ind/>
    </w:pPr>
    <w:rPr>
      <w:i/>
      <w:iCs/>
    </w:rPr>
  </w:style>
  <w:style w:type="character" w:styleId="908">
    <w:name w:val="Strong"/>
    <w:basedOn w:val="885"/>
    <w:uiPriority w:val="22"/>
    <w:qFormat/>
    <w:pPr>
      <w:pBdr/>
      <w:spacing/>
      <w:ind/>
    </w:pPr>
    <w:rPr>
      <w:b/>
      <w:bCs/>
    </w:rPr>
  </w:style>
  <w:style w:type="character" w:styleId="909">
    <w:name w:val="Subtle Reference"/>
    <w:basedOn w:val="885"/>
    <w:uiPriority w:val="31"/>
    <w:qFormat/>
    <w:pPr>
      <w:pBdr/>
      <w:spacing/>
      <w:ind/>
    </w:pPr>
    <w:rPr>
      <w:smallCaps/>
      <w:color w:val="5a5a5a" w:themeColor="text1" w:themeTint="A5"/>
    </w:rPr>
  </w:style>
  <w:style w:type="character" w:styleId="910">
    <w:name w:val="Book Title"/>
    <w:basedOn w:val="885"/>
    <w:uiPriority w:val="33"/>
    <w:qFormat/>
    <w:pPr>
      <w:pBdr/>
      <w:spacing/>
      <w:ind/>
    </w:pPr>
    <w:rPr>
      <w:b/>
      <w:bCs/>
      <w:i/>
      <w:iCs/>
      <w:spacing w:val="5"/>
    </w:rPr>
  </w:style>
  <w:style w:type="paragraph" w:styleId="911">
    <w:name w:val="Header"/>
    <w:basedOn w:val="937"/>
    <w:link w:val="912"/>
    <w:uiPriority w:val="99"/>
    <w:unhideWhenUsed/>
    <w:pPr>
      <w:pBdr/>
      <w:tabs>
        <w:tab w:val="center" w:leader="none" w:pos="4844"/>
        <w:tab w:val="right" w:leader="none" w:pos="9689"/>
      </w:tabs>
      <w:spacing w:after="0" w:line="240" w:lineRule="auto"/>
      <w:ind/>
    </w:pPr>
  </w:style>
  <w:style w:type="character" w:styleId="912">
    <w:name w:val="Header Char"/>
    <w:basedOn w:val="885"/>
    <w:link w:val="911"/>
    <w:uiPriority w:val="99"/>
    <w:pPr>
      <w:pBdr/>
      <w:spacing/>
      <w:ind/>
    </w:pPr>
  </w:style>
  <w:style w:type="paragraph" w:styleId="913">
    <w:name w:val="Footer"/>
    <w:basedOn w:val="937"/>
    <w:link w:val="914"/>
    <w:uiPriority w:val="99"/>
    <w:unhideWhenUsed/>
    <w:pPr>
      <w:pBdr/>
      <w:tabs>
        <w:tab w:val="center" w:leader="none" w:pos="4844"/>
        <w:tab w:val="right" w:leader="none" w:pos="9689"/>
      </w:tabs>
      <w:spacing w:after="0" w:line="240" w:lineRule="auto"/>
      <w:ind/>
    </w:pPr>
  </w:style>
  <w:style w:type="character" w:styleId="914">
    <w:name w:val="Footer Char"/>
    <w:basedOn w:val="885"/>
    <w:link w:val="913"/>
    <w:uiPriority w:val="99"/>
    <w:pPr>
      <w:pBdr/>
      <w:spacing/>
      <w:ind/>
    </w:pPr>
  </w:style>
  <w:style w:type="paragraph" w:styleId="915">
    <w:name w:val="Caption"/>
    <w:basedOn w:val="937"/>
    <w:next w:val="937"/>
    <w:uiPriority w:val="35"/>
    <w:unhideWhenUsed/>
    <w:qFormat/>
    <w:pPr>
      <w:pBdr/>
      <w:spacing w:after="200" w:line="240" w:lineRule="auto"/>
      <w:ind/>
    </w:pPr>
    <w:rPr>
      <w:i/>
      <w:iCs/>
      <w:color w:val="0e2841" w:themeColor="text2"/>
      <w:sz w:val="18"/>
      <w:szCs w:val="18"/>
    </w:rPr>
  </w:style>
  <w:style w:type="paragraph" w:styleId="916">
    <w:name w:val="footnote text"/>
    <w:basedOn w:val="937"/>
    <w:link w:val="917"/>
    <w:uiPriority w:val="99"/>
    <w:semiHidden/>
    <w:unhideWhenUsed/>
    <w:pPr>
      <w:pBdr/>
      <w:spacing w:after="0" w:line="240" w:lineRule="auto"/>
      <w:ind/>
    </w:pPr>
    <w:rPr>
      <w:sz w:val="20"/>
      <w:szCs w:val="20"/>
    </w:rPr>
  </w:style>
  <w:style w:type="character" w:styleId="917">
    <w:name w:val="Footnote Text Char"/>
    <w:basedOn w:val="885"/>
    <w:link w:val="916"/>
    <w:uiPriority w:val="99"/>
    <w:semiHidden/>
    <w:pPr>
      <w:pBdr/>
      <w:spacing/>
      <w:ind/>
    </w:pPr>
    <w:rPr>
      <w:sz w:val="20"/>
      <w:szCs w:val="20"/>
    </w:rPr>
  </w:style>
  <w:style w:type="character" w:styleId="918">
    <w:name w:val="footnote reference"/>
    <w:basedOn w:val="885"/>
    <w:uiPriority w:val="99"/>
    <w:semiHidden/>
    <w:unhideWhenUsed/>
    <w:pPr>
      <w:pBdr/>
      <w:spacing/>
      <w:ind/>
    </w:pPr>
    <w:rPr>
      <w:vertAlign w:val="superscript"/>
    </w:rPr>
  </w:style>
  <w:style w:type="paragraph" w:styleId="919">
    <w:name w:val="endnote text"/>
    <w:basedOn w:val="937"/>
    <w:link w:val="920"/>
    <w:uiPriority w:val="99"/>
    <w:semiHidden/>
    <w:unhideWhenUsed/>
    <w:pPr>
      <w:pBdr/>
      <w:spacing w:after="0" w:line="240" w:lineRule="auto"/>
      <w:ind/>
    </w:pPr>
    <w:rPr>
      <w:sz w:val="20"/>
      <w:szCs w:val="20"/>
    </w:rPr>
  </w:style>
  <w:style w:type="character" w:styleId="920">
    <w:name w:val="Endnote Text Char"/>
    <w:basedOn w:val="885"/>
    <w:link w:val="919"/>
    <w:uiPriority w:val="99"/>
    <w:semiHidden/>
    <w:pPr>
      <w:pBdr/>
      <w:spacing/>
      <w:ind/>
    </w:pPr>
    <w:rPr>
      <w:sz w:val="20"/>
      <w:szCs w:val="20"/>
    </w:rPr>
  </w:style>
  <w:style w:type="character" w:styleId="921">
    <w:name w:val="endnote reference"/>
    <w:basedOn w:val="885"/>
    <w:uiPriority w:val="99"/>
    <w:semiHidden/>
    <w:unhideWhenUsed/>
    <w:pPr>
      <w:pBdr/>
      <w:spacing/>
      <w:ind/>
    </w:pPr>
    <w:rPr>
      <w:vertAlign w:val="superscript"/>
    </w:rPr>
  </w:style>
  <w:style w:type="character" w:styleId="922">
    <w:name w:val="Hyperlink"/>
    <w:basedOn w:val="885"/>
    <w:uiPriority w:val="99"/>
    <w:unhideWhenUsed/>
    <w:pPr>
      <w:pBdr/>
      <w:spacing/>
      <w:ind/>
    </w:pPr>
    <w:rPr>
      <w:color w:val="0563c1" w:themeColor="hyperlink"/>
      <w:u w:val="single"/>
    </w:rPr>
  </w:style>
  <w:style w:type="character" w:styleId="923">
    <w:name w:val="FollowedHyperlink"/>
    <w:basedOn w:val="885"/>
    <w:uiPriority w:val="99"/>
    <w:semiHidden/>
    <w:unhideWhenUsed/>
    <w:pPr>
      <w:pBdr/>
      <w:spacing/>
      <w:ind/>
    </w:pPr>
    <w:rPr>
      <w:color w:val="954f72" w:themeColor="followedHyperlink"/>
      <w:u w:val="single"/>
    </w:rPr>
  </w:style>
  <w:style w:type="paragraph" w:styleId="924">
    <w:name w:val="toc 1"/>
    <w:basedOn w:val="937"/>
    <w:next w:val="937"/>
    <w:uiPriority w:val="39"/>
    <w:unhideWhenUsed/>
    <w:pPr>
      <w:pBdr/>
      <w:spacing w:after="100"/>
      <w:ind/>
    </w:pPr>
  </w:style>
  <w:style w:type="paragraph" w:styleId="925">
    <w:name w:val="toc 2"/>
    <w:basedOn w:val="937"/>
    <w:next w:val="937"/>
    <w:uiPriority w:val="39"/>
    <w:unhideWhenUsed/>
    <w:pPr>
      <w:pBdr/>
      <w:spacing w:after="100"/>
      <w:ind w:left="220"/>
    </w:pPr>
  </w:style>
  <w:style w:type="paragraph" w:styleId="926">
    <w:name w:val="toc 3"/>
    <w:basedOn w:val="937"/>
    <w:next w:val="937"/>
    <w:uiPriority w:val="39"/>
    <w:unhideWhenUsed/>
    <w:pPr>
      <w:pBdr/>
      <w:spacing w:after="100"/>
      <w:ind w:left="440"/>
    </w:pPr>
  </w:style>
  <w:style w:type="paragraph" w:styleId="927">
    <w:name w:val="toc 4"/>
    <w:basedOn w:val="937"/>
    <w:next w:val="937"/>
    <w:uiPriority w:val="39"/>
    <w:unhideWhenUsed/>
    <w:pPr>
      <w:pBdr/>
      <w:spacing w:after="100"/>
      <w:ind w:left="660"/>
    </w:pPr>
  </w:style>
  <w:style w:type="paragraph" w:styleId="928">
    <w:name w:val="toc 5"/>
    <w:basedOn w:val="937"/>
    <w:next w:val="937"/>
    <w:uiPriority w:val="39"/>
    <w:unhideWhenUsed/>
    <w:pPr>
      <w:pBdr/>
      <w:spacing w:after="100"/>
      <w:ind w:left="880"/>
    </w:pPr>
  </w:style>
  <w:style w:type="paragraph" w:styleId="929">
    <w:name w:val="toc 6"/>
    <w:basedOn w:val="937"/>
    <w:next w:val="937"/>
    <w:uiPriority w:val="39"/>
    <w:unhideWhenUsed/>
    <w:pPr>
      <w:pBdr/>
      <w:spacing w:after="100"/>
      <w:ind w:left="1100"/>
    </w:pPr>
  </w:style>
  <w:style w:type="paragraph" w:styleId="930">
    <w:name w:val="toc 7"/>
    <w:basedOn w:val="937"/>
    <w:next w:val="937"/>
    <w:uiPriority w:val="39"/>
    <w:unhideWhenUsed/>
    <w:pPr>
      <w:pBdr/>
      <w:spacing w:after="100"/>
      <w:ind w:left="1320"/>
    </w:pPr>
  </w:style>
  <w:style w:type="paragraph" w:styleId="931">
    <w:name w:val="toc 8"/>
    <w:basedOn w:val="937"/>
    <w:next w:val="937"/>
    <w:uiPriority w:val="39"/>
    <w:unhideWhenUsed/>
    <w:pPr>
      <w:pBdr/>
      <w:spacing w:after="100"/>
      <w:ind w:left="1540"/>
    </w:pPr>
  </w:style>
  <w:style w:type="paragraph" w:styleId="932">
    <w:name w:val="toc 9"/>
    <w:basedOn w:val="937"/>
    <w:next w:val="937"/>
    <w:uiPriority w:val="39"/>
    <w:unhideWhenUsed/>
    <w:pPr>
      <w:pBdr/>
      <w:spacing w:after="100"/>
      <w:ind w:left="1760"/>
    </w:pPr>
  </w:style>
  <w:style w:type="character" w:styleId="933">
    <w:name w:val="Placeholder Text"/>
    <w:basedOn w:val="885"/>
    <w:uiPriority w:val="99"/>
    <w:semiHidden/>
    <w:pPr>
      <w:pBdr/>
      <w:spacing/>
      <w:ind/>
    </w:pPr>
    <w:rPr>
      <w:color w:val="666666"/>
    </w:rPr>
  </w:style>
  <w:style w:type="paragraph" w:styleId="934">
    <w:name w:val="TOC Heading"/>
    <w:uiPriority w:val="39"/>
    <w:unhideWhenUsed/>
    <w:pPr>
      <w:pBdr/>
      <w:spacing/>
      <w:ind/>
    </w:pPr>
  </w:style>
  <w:style w:type="paragraph" w:styleId="935">
    <w:name w:val="table of figures"/>
    <w:basedOn w:val="937"/>
    <w:next w:val="937"/>
    <w:uiPriority w:val="99"/>
    <w:unhideWhenUsed/>
    <w:pPr>
      <w:pBdr/>
      <w:spacing w:after="0" w:afterAutospacing="0"/>
      <w:ind/>
    </w:pPr>
  </w:style>
  <w:style w:type="table" w:styleId="936">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7" w:default="1">
    <w:name w:val="Normal"/>
    <w:pPr>
      <w:pBdr/>
      <w:spacing/>
      <w:ind/>
    </w:pPr>
  </w:style>
  <w:style w:type="paragraph" w:styleId="938">
    <w:name w:val="Heading 1"/>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32"/>
      <w:szCs w:val="32"/>
      <w:u w:val="none"/>
      <w:shd w:val="clear" w:color="auto" w:fill="auto"/>
      <w:vertAlign w:val="baseline"/>
    </w:rPr>
  </w:style>
  <w:style w:type="paragraph" w:styleId="939">
    <w:name w:val="Heading 2"/>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6"/>
      <w:szCs w:val="26"/>
      <w:u w:val="none"/>
      <w:shd w:val="clear" w:color="auto" w:fill="auto"/>
      <w:vertAlign w:val="baseline"/>
    </w:rPr>
  </w:style>
  <w:style w:type="paragraph" w:styleId="940">
    <w:name w:val="Heading 3"/>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4"/>
      <w:szCs w:val="24"/>
      <w:u w:val="none"/>
      <w:shd w:val="clear" w:color="auto" w:fill="auto"/>
      <w:vertAlign w:val="baseline"/>
    </w:rPr>
  </w:style>
  <w:style w:type="paragraph" w:styleId="941">
    <w:name w:val="Heading 4"/>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iCs/>
      <w:smallCaps w:val="0"/>
      <w:strike w:val="0"/>
      <w:color w:val="2e74b5"/>
      <w:sz w:val="20"/>
      <w:szCs w:val="20"/>
      <w:u w:val="none"/>
      <w:shd w:val="clear" w:color="auto" w:fill="auto"/>
      <w:vertAlign w:val="baseline"/>
    </w:rPr>
  </w:style>
  <w:style w:type="paragraph" w:styleId="942">
    <w:name w:val="Heading 5"/>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0"/>
      <w:szCs w:val="20"/>
      <w:u w:val="none"/>
      <w:shd w:val="clear" w:color="auto" w:fill="auto"/>
      <w:vertAlign w:val="baseline"/>
    </w:rPr>
  </w:style>
  <w:style w:type="paragraph" w:styleId="943">
    <w:name w:val="Heading 6"/>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0"/>
      <w:szCs w:val="20"/>
      <w:u w:val="none"/>
      <w:shd w:val="clear" w:color="auto" w:fill="auto"/>
      <w:vertAlign w:val="baseline"/>
    </w:rPr>
  </w:style>
  <w:style w:type="paragraph" w:styleId="944">
    <w:name w:val="Title"/>
    <w:basedOn w:val="937"/>
    <w:next w:val="9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000000"/>
      <w:sz w:val="56"/>
      <w:szCs w:val="56"/>
      <w:u w:val="none"/>
      <w:shd w:val="clear" w:color="auto" w:fill="auto"/>
      <w:vertAlign w:val="baseline"/>
    </w:rPr>
  </w:style>
  <w:style w:type="paragraph" w:styleId="945">
    <w:name w:val="Subtitle"/>
    <w:basedOn w:val="937"/>
    <w:next w:val="937"/>
    <w:pPr>
      <w:pBdr/>
      <w:spacing/>
      <w:ind/>
    </w:pPr>
    <w:rPr>
      <w:color w:val="595959"/>
      <w:sz w:val="28"/>
      <w:szCs w:val="28"/>
    </w:rPr>
  </w:style>
  <w:style w:type="table" w:styleId="946">
    <w:name w:val="StGen0"/>
    <w:basedOn w:val="93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StGen1"/>
    <w:basedOn w:val="93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StGen2"/>
    <w:basedOn w:val="93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StGen3"/>
    <w:basedOn w:val="93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StGen4"/>
    <w:basedOn w:val="936"/>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2026-10-03T17:46:30Z</dcterms:modified>
</cp:coreProperties>
</file>