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500"/>
        <w:ind/>
        <w:rPr>
          <w:lang w:val="es-ES"/>
        </w:rPr>
      </w:pPr>
      <w:r>
        <w:rPr>
          <w:lang w:val="es-ES" w:bidi="es-ES"/>
        </w:rPr>
      </w:r>
      <w:r>
        <w:rPr>
          <w:lang w:val="es-ES"/>
        </w:rPr>
      </w:r>
    </w:p>
    <w:p>
      <w:pPr>
        <w:pBdr/>
        <w:spacing w:after="100"/>
        <w:ind/>
        <w:jc w:val="center"/>
        <w:rPr>
          <w:color w:val="000000" w:themeColor="text1"/>
        </w:rPr>
      </w:pPr>
      <w:r>
        <w:rPr>
          <w:rFonts w:ascii="Calibri" w:hAnsi="Calibri" w:eastAsia="Calibri" w:cs="Calibri"/>
          <w:b/>
          <w:bCs/>
          <w:color w:val="000000" w:themeColor="text1"/>
          <w:sz w:val="30"/>
          <w:szCs w:val="30"/>
          <w:lang w:val="es-ES"/>
        </w:rPr>
        <w:t xml:space="preserve">UNIVERSIDAD NACIONAL DE INGENIERÍA</w:t>
      </w:r>
      <w:r>
        <w:rPr>
          <w:color w:val="000000" w:themeColor="text1"/>
        </w:rPr>
      </w:r>
    </w:p>
    <w:p>
      <w:pPr>
        <w:pBdr/>
        <w:spacing w:after="100"/>
        <w:ind/>
        <w:jc w:val="center"/>
        <w:rPr>
          <w:color w:val="000000" w:themeColor="text1"/>
        </w:rPr>
      </w:pPr>
      <w:r>
        <w:rPr>
          <w:rFonts w:ascii="Calibri" w:hAnsi="Calibri" w:eastAsia="Calibri" w:cs="Calibri"/>
          <w:b/>
          <w:bCs/>
          <w:color w:val="000000" w:themeColor="text1"/>
          <w:sz w:val="26"/>
          <w:szCs w:val="26"/>
          <w:lang w:val="es-ES"/>
        </w:rPr>
        <w:t xml:space="preserve">ÁREA DACTIC</w:t>
      </w:r>
      <w:r>
        <w:rPr>
          <w:color w:val="000000" w:themeColor="text1"/>
        </w:rPr>
      </w:r>
    </w:p>
    <w:p>
      <w:pPr>
        <w:pBdr/>
        <w:spacing w:after="400"/>
        <w:ind/>
        <w:jc w:val="center"/>
        <w:rPr>
          <w:color w:val="262626" w:themeColor="text1" w:themeTint="D9"/>
        </w:rPr>
      </w:pPr>
      <w:r>
        <w:rPr>
          <w:rFonts w:ascii="Calibri" w:hAnsi="Calibri" w:eastAsia="Calibri" w:cs="Calibri"/>
          <w:b w:val="0"/>
          <w:bCs w:val="0"/>
          <w:color w:val="262626" w:themeColor="text1" w:themeTint="D9"/>
          <w:sz w:val="24"/>
          <w:szCs w:val="24"/>
          <w:lang w:val="es-ES"/>
        </w:rPr>
        <w:t xml:space="preserve">Programa Académico de Ingeniería en Computación</w:t>
      </w:r>
      <w:r>
        <w:rPr>
          <w:color w:val="262626" w:themeColor="text1" w:themeTint="D9"/>
        </w:rPr>
      </w:r>
    </w:p>
    <w:p>
      <w:pPr>
        <w:pBdr/>
        <w:spacing w:after="700"/>
        <w:ind/>
        <w:jc w:val="center"/>
        <w:rPr>
          <w:rFonts w:ascii="Calibri" w:hAnsi="Calibri" w:eastAsia="Calibri" w:cs="Calibri"/>
          <w:b/>
          <w:bCs/>
          <w:color w:val="262626" w:themeColor="text1" w:themeTint="D9"/>
          <w:sz w:val="26"/>
          <w:szCs w:val="26"/>
          <w:highlight w:val="none"/>
        </w:rPr>
      </w:pPr>
      <w:r>
        <w:rPr>
          <w:rFonts w:ascii="Calibri" w:hAnsi="Calibri" w:eastAsia="Calibri" w:cs="Calibri"/>
          <w:b/>
          <w:bCs/>
          <w:color w:val="262626" w:themeColor="text1" w:themeTint="D9"/>
          <w:sz w:val="26"/>
          <w:szCs w:val="26"/>
          <w:lang w:val="es-ES"/>
        </w:rPr>
        <w:t xml:space="preserve">INGENIERÍA DE SOFTWARE I</w:t>
      </w:r>
      <w:r>
        <w:rPr>
          <w:rFonts w:ascii="Calibri" w:hAnsi="Calibri" w:eastAsia="Calibri" w:cs="Calibri"/>
          <w:b/>
          <w:bCs/>
          <w:color w:val="262626" w:themeColor="text1" w:themeTint="D9"/>
          <w:sz w:val="26"/>
          <w:szCs w:val="26"/>
          <w:highlight w:val="none"/>
        </w:rPr>
      </w:r>
    </w:p>
    <w:p w14:paraId="6878B431">
      <w:pPr>
        <w:pBdr/>
        <w:spacing w:after="700"/>
        <w:ind/>
        <w:jc w:val="center"/>
        <w:rPr>
          <w:lang w:val="es-ES"/>
        </w:rPr>
      </w:pPr>
      <w:r>
        <w:rPr>
          <w:rFonts w:ascii="Calibri" w:hAnsi="Calibri" w:eastAsia="Calibri" w:cs="Calibri"/>
          <w:b/>
          <w:bCs/>
          <w:color w:val="1f3864"/>
          <w:sz w:val="26"/>
          <w:szCs w:val="26"/>
          <w:highlight w:val="none"/>
          <w:lang w:val="es-ES" w:bidi="es-ES"/>
        </w:rPr>
      </w:r>
      <w:r>
        <mc:AlternateContent>
          <mc:Choice Requires="wpg">
            <w:drawing>
              <wp:inline xmlns:wp="http://schemas.openxmlformats.org/drawingml/2006/wordprocessingDrawing" distT="0" distB="0" distL="0" distR="0">
                <wp:extent cx="2266122" cy="1398791"/>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550411" name="Imagen 1"/>
                        <pic:cNvPicPr>
                          <a:picLocks noChangeAspect="1"/>
                        </pic:cNvPicPr>
                        <pic:nvPr/>
                      </pic:nvPicPr>
                      <pic:blipFill rotWithShape="1">
                        <a:blip r:embed="rId11"/>
                        <a:stretch/>
                      </pic:blipFill>
                      <pic:spPr bwMode="auto">
                        <a:xfrm rot="0" flipH="0" flipV="0">
                          <a:off x="0" y="0"/>
                          <a:ext cx="2266121" cy="139879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78.43pt;height:110.14pt;mso-wrap-distance-left:0.00pt;mso-wrap-distance-top:0.00pt;mso-wrap-distance-right:0.00pt;mso-wrap-distance-bottom:0.00pt;rotation:0;z-index:1;" stroked="false">
                <v:imagedata r:id="rId11" o:title=""/>
                <o:lock v:ext="edit" rotation="t"/>
              </v:shape>
            </w:pict>
          </mc:Fallback>
        </mc:AlternateContent>
      </w:r>
      <w:r>
        <w:rPr>
          <w:lang w:val="es-ES"/>
        </w:rPr>
      </w:r>
    </w:p>
    <w:p>
      <w:pPr>
        <w:pBdr/>
        <w:spacing w:after="60"/>
        <w:ind/>
        <w:jc w:val="center"/>
        <w:rPr>
          <w:color w:val="262626" w:themeColor="text1" w:themeTint="D9"/>
        </w:rPr>
      </w:pPr>
      <w:r>
        <w:rPr>
          <w:rFonts w:ascii="Calibri" w:hAnsi="Calibri" w:eastAsia="Calibri" w:cs="Calibri"/>
          <w:b/>
          <w:bCs/>
          <w:color w:val="262626" w:themeColor="text1" w:themeTint="D9"/>
          <w:sz w:val="34"/>
          <w:szCs w:val="34"/>
          <w:lang w:val="es-ES"/>
        </w:rPr>
        <w:t xml:space="preserve">DOCUMENTO DE DESCRIPCIÓN Y ELECCIÓN</w:t>
      </w:r>
      <w:r>
        <w:rPr>
          <w:color w:val="262626" w:themeColor="text1" w:themeTint="D9"/>
        </w:rPr>
      </w:r>
    </w:p>
    <w:p>
      <w:pPr>
        <w:pBdr/>
        <w:spacing w:after="300"/>
        <w:ind/>
        <w:jc w:val="center"/>
        <w:rPr>
          <w:color w:val="262626" w:themeColor="text1" w:themeTint="D9"/>
        </w:rPr>
      </w:pPr>
      <w:r>
        <w:rPr>
          <w:rFonts w:ascii="Calibri" w:hAnsi="Calibri" w:eastAsia="Calibri" w:cs="Calibri"/>
          <w:b/>
          <w:bCs/>
          <w:color w:val="262626" w:themeColor="text1" w:themeTint="D9"/>
          <w:sz w:val="34"/>
          <w:szCs w:val="34"/>
          <w:lang w:val="es-ES"/>
        </w:rPr>
        <w:t xml:space="preserve">DE LA ARQUITECTURA DE SOFTWARE</w:t>
      </w:r>
      <w:r>
        <w:rPr>
          <w:color w:val="262626" w:themeColor="text1" w:themeTint="D9"/>
        </w:rPr>
      </w:r>
    </w:p>
    <w:p>
      <w:pPr>
        <w:pBdr/>
        <w:spacing w:after="120"/>
        <w:ind/>
        <w:jc w:val="center"/>
        <w:rPr>
          <w:lang w:val="es-ES"/>
        </w:rPr>
      </w:pPr>
      <w:r>
        <w:rPr>
          <w:rFonts w:ascii="Calibri" w:hAnsi="Calibri" w:eastAsia="Calibri" w:cs="Calibri"/>
          <w:b w:val="0"/>
          <w:bCs w:val="0"/>
          <w:color w:val="000000"/>
          <w:sz w:val="26"/>
          <w:szCs w:val="26"/>
          <w:lang w:val="es-ES"/>
        </w:rPr>
        <w:t xml:space="preserve">Plataforma Web B2B de Emparejamiento Comercial «AbasteceNi»</w:t>
      </w:r>
      <w:r>
        <w:rPr>
          <w:lang w:val="es-ES"/>
        </w:rPr>
      </w:r>
    </w:p>
    <w:p>
      <w:pPr>
        <w:pBdr/>
        <w:spacing w:after="600"/>
        <w:ind/>
        <w:jc w:val="center"/>
        <w:rPr>
          <w:lang w:val="es-ES"/>
        </w:rPr>
      </w:pPr>
      <w:r>
        <w:rPr>
          <w:rFonts w:ascii="Calibri" w:hAnsi="Calibri" w:eastAsia="Calibri" w:cs="Calibri"/>
          <w:i/>
          <w:iCs/>
          <w:color w:val="595959"/>
          <w:sz w:val="21"/>
          <w:szCs w:val="21"/>
          <w:lang w:val="es-ES"/>
        </w:rPr>
        <w:t xml:space="preserve">Caso de estudio simulado — Sector minorista y productor departamental de Nicaragua</w:t>
      </w:r>
      <w:r>
        <w:rPr>
          <w:lang w:val="es-ES"/>
        </w:rPr>
      </w:r>
    </w:p>
    <w:p>
      <w:pPr>
        <w:pBdr/>
        <w:spacing w:after="120"/>
        <w:ind/>
        <w:jc w:val="center"/>
        <w:rPr>
          <w:lang w:val="es-ES"/>
        </w:rPr>
      </w:pPr>
      <w:r>
        <w:rPr>
          <w:rFonts w:ascii="Calibri" w:hAnsi="Calibri" w:eastAsia="Calibri" w:cs="Calibri"/>
          <w:b/>
          <w:bCs/>
          <w:color w:val="1f3864"/>
          <w:sz w:val="24"/>
          <w:szCs w:val="24"/>
          <w:lang w:val="es-ES"/>
        </w:rPr>
        <w:t xml:space="preserve">Normativa rectora</w:t>
      </w:r>
      <w:r>
        <w:rPr>
          <w:lang w:val="es-ES"/>
        </w:rPr>
      </w:r>
    </w:p>
    <w:p>
      <w:pPr>
        <w:pBdr/>
        <w:spacing w:after="60"/>
        <w:ind/>
        <w:jc w:val="center"/>
        <w:rPr>
          <w:lang w:val="es-ES"/>
        </w:rPr>
      </w:pPr>
      <w:r>
        <w:rPr>
          <w:rFonts w:ascii="Calibri" w:hAnsi="Calibri" w:eastAsia="Calibri" w:cs="Calibri"/>
          <w:sz w:val="21"/>
          <w:szCs w:val="21"/>
          <w:lang w:val="es-ES"/>
        </w:rPr>
        <w:t xml:space="preserve">ISO/IEC/IEEE 42010:2022 — Descripción de Arquitectura (Cláusulas 5, 6 y 8)</w:t>
      </w:r>
      <w:r>
        <w:rPr>
          <w:lang w:val="es-ES"/>
        </w:rPr>
      </w:r>
    </w:p>
    <w:p>
      <w:pPr>
        <w:pBdr/>
        <w:spacing w:after="500"/>
        <w:ind/>
        <w:jc w:val="center"/>
        <w:rPr>
          <w:lang w:val="es-ES"/>
        </w:rPr>
      </w:pPr>
      <w:r>
        <w:rPr>
          <w:rFonts w:ascii="Calibri" w:hAnsi="Calibri" w:eastAsia="Calibri" w:cs="Calibri"/>
          <w:sz w:val="21"/>
          <w:szCs w:val="21"/>
          <w:lang w:val="es-ES"/>
        </w:rPr>
        <w:t xml:space="preserve">SWEBOK® Guide v4.0a — Área de Conocimiento 02: Arquitectura de Software</w:t>
      </w:r>
      <w:r>
        <w:rPr>
          <w:lang w:val="es-ES"/>
        </w:rPr>
      </w:r>
    </w:p>
    <w:p>
      <w:pPr>
        <w:pBdr/>
        <w:spacing w:after="80"/>
        <w:ind/>
        <w:jc w:val="center"/>
        <w:rPr>
          <w:lang w:val="es-ES"/>
        </w:rPr>
      </w:pPr>
      <w:r>
        <w:rPr>
          <w:rFonts w:ascii="Calibri" w:hAnsi="Calibri" w:eastAsia="Calibri" w:cs="Calibri"/>
          <w:b/>
          <w:bCs/>
          <w:sz w:val="22"/>
          <w:szCs w:val="22"/>
          <w:lang w:val="es-ES"/>
        </w:rPr>
        <w:t xml:space="preserve">Integrantes:</w:t>
      </w:r>
      <w:r>
        <w:rPr>
          <w:lang w:val="es-ES"/>
        </w:rPr>
      </w:r>
    </w:p>
    <w:p>
      <w:pPr>
        <w:pBdr/>
        <w:spacing w:after="40"/>
        <w:ind/>
        <w:jc w:val="center"/>
        <w:rPr>
          <w:lang w:val="es-ES"/>
        </w:rPr>
      </w:pPr>
      <w:r>
        <w:rPr>
          <w:rFonts w:ascii="Calibri" w:hAnsi="Calibri" w:eastAsia="Calibri" w:cs="Calibri"/>
          <w:sz w:val="21"/>
          <w:szCs w:val="21"/>
          <w:lang w:val="es-ES"/>
        </w:rPr>
        <w:t xml:space="preserve">Edith Yasohara Roda Hernández.  2023-0752U</w:t>
      </w:r>
      <w:r>
        <w:rPr>
          <w:lang w:val="es-ES"/>
        </w:rPr>
      </w:r>
    </w:p>
    <w:p>
      <w:pPr>
        <w:pBdr/>
        <w:spacing w:after="300"/>
        <w:ind/>
        <w:jc w:val="center"/>
        <w:rPr>
          <w:lang w:val="es-ES"/>
        </w:rPr>
      </w:pPr>
      <w:r>
        <w:rPr>
          <w:rFonts w:ascii="Calibri" w:hAnsi="Calibri" w:eastAsia="Calibri" w:cs="Calibri"/>
          <w:sz w:val="21"/>
          <w:szCs w:val="21"/>
          <w:lang w:val="es-ES"/>
        </w:rPr>
        <w:t xml:space="preserve">Pedro José Miranda Gómez.  2022-0288U</w:t>
      </w:r>
      <w:r>
        <w:rPr>
          <w:lang w:val="es-ES"/>
        </w:rPr>
      </w:r>
    </w:p>
    <w:p>
      <w:pPr>
        <w:pBdr/>
        <w:spacing w:after="40"/>
        <w:ind/>
        <w:jc w:val="center"/>
        <w:rPr>
          <w:lang w:val="es-ES"/>
        </w:rPr>
      </w:pPr>
      <w:r>
        <w:rPr>
          <w:rFonts w:ascii="Calibri" w:hAnsi="Calibri" w:eastAsia="Calibri" w:cs="Calibri"/>
          <w:b/>
          <w:bCs/>
          <w:sz w:val="21"/>
          <w:szCs w:val="21"/>
          <w:lang w:val="es-ES"/>
        </w:rPr>
        <w:t xml:space="preserve">AbasteceNi — Descripción de Arquitectura de Software  ·  Versión 1.1</w:t>
      </w:r>
      <w:r>
        <w:rPr>
          <w:lang w:val="es-ES"/>
        </w:rPr>
      </w:r>
    </w:p>
    <w:p>
      <w:pPr>
        <w:pBdr/>
        <w:spacing w:after="40"/>
        <w:ind/>
        <w:jc w:val="center"/>
        <w:rPr>
          <w:lang w:val="es-ES"/>
        </w:rPr>
      </w:pPr>
      <w:r>
        <w:rPr>
          <w:rFonts w:ascii="Calibri" w:hAnsi="Calibri" w:eastAsia="Calibri" w:cs="Calibri"/>
          <w:sz w:val="21"/>
          <w:szCs w:val="21"/>
          <w:lang w:val="es-ES"/>
        </w:rPr>
        <w:t xml:space="preserve">Versión de esta Descripción de Arquitectura: 1.1</w:t>
      </w:r>
      <w:r>
        <w:rPr>
          <w:lang w:val="es-ES"/>
        </w:rPr>
      </w:r>
    </w:p>
    <w:p>
      <w:pPr>
        <w:pBdr/>
        <w:spacing w:after="200"/>
        <w:ind/>
        <w:jc w:val="center"/>
        <w:rPr>
          <w:lang w:val="es-ES"/>
        </w:rPr>
      </w:pPr>
      <w:r>
        <w:rPr>
          <w:rFonts w:ascii="Calibri" w:hAnsi="Calibri" w:eastAsia="Calibri" w:cs="Calibri"/>
          <w:sz w:val="21"/>
          <w:szCs w:val="21"/>
          <w:lang w:val="es-ES"/>
        </w:rPr>
      </w:r>
      <w:r>
        <w:t xml:space="preserve">Fecha de emisión: 14 de septiembre de 2026</w:t>
      </w:r>
      <w:r>
        <w:rPr>
          <w:lang w:val="es-ES"/>
        </w:rPr>
      </w:r>
    </w:p>
    <w:p>
      <w:pPr>
        <w:pBdr/>
        <w:spacing/>
        <w:ind/>
        <w:rPr>
          <w:lang w:val="es-ES"/>
        </w:rPr>
      </w:pPr>
      <w:r>
        <w:rPr>
          <w:lang w:val="es-ES"/>
        </w:rPr>
        <w:br w:type="page" w:clear="all"/>
      </w:r>
    </w:p>
    <w:p>
      <w:pPr>
        <w:pStyle w:val="903"/>
        <w:keepNext w:val="true"/>
        <w:pBdr/>
        <w:spacing w:after="180" w:before="320"/>
        <w:ind/>
        <w:outlineLvl w:val="9"/>
        <w:rPr>
          <w:lang w:val="es-ES"/>
        </w:rPr>
      </w:pPr>
      <w:r/>
      <w:bookmarkStart w:id="1" w:name="_Toc1"/>
      <w:r>
        <w:rPr>
          <w:rFonts w:ascii="Calibri" w:hAnsi="Calibri" w:eastAsia="Calibri" w:cs="Calibri"/>
          <w:b/>
          <w:bCs/>
          <w:color w:val="1f3864"/>
          <w:sz w:val="30"/>
          <w:szCs w:val="30"/>
          <w:lang w:val="es-ES"/>
        </w:rPr>
        <w:t xml:space="preserve">Tabla de Contenido</w:t>
      </w:r>
      <w:r/>
      <w:bookmarkEnd w:id="1"/>
      <w:r/>
      <w:r>
        <w:rPr>
          <w:lang w:val="es-ES"/>
        </w:rPr>
      </w:r>
    </w:p>
    <w:sdt>
      <w:sdtPr>
        <w:alias w:val="Tabla de contenido"/>
        <w15:appearance w15:val="boundingBox"/>
        <w:rPr/>
      </w:sdtPr>
      <w:sdtContent>
        <w:p w14:paraId="2A9FCB93">
          <w:pPr>
            <w:pStyle w:val="890"/>
            <w:pBdr/>
            <w:tabs>
              <w:tab w:val="right" w:leader="dot" w:pos="9360"/>
            </w:tabs>
            <w:spacing/>
            <w:ind/>
            <w:rPr/>
          </w:pPr>
          <w:r>
            <w:rPr>
              <w:lang w:val="es-ES"/>
            </w:rPr>
            <w:fldChar w:fldCharType="begin"/>
            <w:instrText xml:space="preserve">TOC \h \o "1-3"</w:instrText>
            <w:fldChar w:fldCharType="separate"/>
          </w:r>
          <w:hyperlink w:tooltip="#_Toc2" w:anchor="_Toc2" w:history="1">
            <w:r>
              <w:rPr>
                <w:rStyle w:val="911"/>
              </w:rPr>
            </w:r>
            <w:r>
              <w:rPr>
                <w:rStyle w:val="911"/>
                <w:rFonts w:ascii="Calibri" w:hAnsi="Calibri" w:eastAsia="Calibri" w:cs="Calibri"/>
                <w:b/>
                <w:bCs/>
                <w:lang w:val="es-ES"/>
              </w:rPr>
              <w:t xml:space="preserve">1. Introducción</w:t>
            </w:r>
            <w:r>
              <w:rPr>
                <w:rStyle w:val="911"/>
              </w:rPr>
            </w:r>
            <w:r>
              <w:tab/>
              <w:fldChar w:fldCharType="begin"/>
              <w:instrText xml:space="preserve">PAGEREF _Toc2 \h</w:instrText>
              <w:fldChar w:fldCharType="separate"/>
              <w:t xml:space="preserve">4</w:t>
              <w:fldChar w:fldCharType="end"/>
            </w:r>
          </w:hyperlink>
          <w:r/>
        </w:p>
        <w:p w14:paraId="7E7B388A">
          <w:pPr>
            <w:pStyle w:val="891"/>
            <w:pBdr/>
            <w:tabs>
              <w:tab w:val="right" w:leader="dot" w:pos="9360"/>
            </w:tabs>
            <w:spacing/>
            <w:ind/>
            <w:rPr/>
          </w:pPr>
          <w:hyperlink w:tooltip="#_Toc3" w:anchor="_Toc3" w:history="1">
            <w:r>
              <w:rPr>
                <w:rStyle w:val="911"/>
              </w:rPr>
            </w:r>
            <w:r>
              <w:rPr>
                <w:rStyle w:val="911"/>
                <w:rFonts w:ascii="Calibri" w:hAnsi="Calibri" w:eastAsia="Calibri" w:cs="Calibri"/>
                <w:b/>
                <w:bCs/>
                <w:lang w:val="es-ES"/>
              </w:rPr>
              <w:t xml:space="preserve">1.1 Propósito del documento</w:t>
            </w:r>
            <w:r>
              <w:rPr>
                <w:rStyle w:val="911"/>
              </w:rPr>
            </w:r>
            <w:r>
              <w:tab/>
              <w:fldChar w:fldCharType="begin"/>
              <w:instrText xml:space="preserve">PAGEREF _Toc3 \h</w:instrText>
              <w:fldChar w:fldCharType="separate"/>
              <w:t xml:space="preserve">4</w:t>
              <w:fldChar w:fldCharType="end"/>
            </w:r>
          </w:hyperlink>
          <w:r/>
        </w:p>
        <w:p w14:paraId="3F7FE8D7">
          <w:pPr>
            <w:pStyle w:val="891"/>
            <w:pBdr/>
            <w:tabs>
              <w:tab w:val="right" w:leader="dot" w:pos="9360"/>
            </w:tabs>
            <w:spacing/>
            <w:ind/>
            <w:rPr/>
          </w:pPr>
          <w:hyperlink w:tooltip="#_Toc4" w:anchor="_Toc4" w:history="1">
            <w:r>
              <w:rPr>
                <w:rStyle w:val="911"/>
              </w:rPr>
            </w:r>
            <w:r>
              <w:rPr>
                <w:rStyle w:val="911"/>
                <w:rFonts w:ascii="Calibri" w:hAnsi="Calibri" w:eastAsia="Calibri" w:cs="Calibri"/>
                <w:b/>
                <w:bCs/>
                <w:lang w:val="es-ES"/>
              </w:rPr>
              <w:t xml:space="preserve">1.2 Relación con el documento de levantamiento de requerimientos</w:t>
            </w:r>
            <w:r>
              <w:rPr>
                <w:rStyle w:val="911"/>
              </w:rPr>
            </w:r>
            <w:r>
              <w:tab/>
              <w:fldChar w:fldCharType="begin"/>
              <w:instrText xml:space="preserve">PAGEREF _Toc4 \h</w:instrText>
              <w:fldChar w:fldCharType="separate"/>
              <w:t xml:space="preserve">4</w:t>
              <w:fldChar w:fldCharType="end"/>
            </w:r>
          </w:hyperlink>
          <w:r/>
        </w:p>
        <w:p w14:paraId="67792B4C">
          <w:pPr>
            <w:pStyle w:val="891"/>
            <w:pBdr/>
            <w:tabs>
              <w:tab w:val="right" w:leader="dot" w:pos="9360"/>
            </w:tabs>
            <w:spacing/>
            <w:ind/>
            <w:rPr/>
          </w:pPr>
          <w:hyperlink w:tooltip="#_Toc5" w:anchor="_Toc5" w:history="1">
            <w:r>
              <w:rPr>
                <w:rStyle w:val="911"/>
              </w:rPr>
            </w:r>
            <w:r>
              <w:rPr>
                <w:rStyle w:val="911"/>
                <w:rFonts w:ascii="Calibri" w:hAnsi="Calibri" w:eastAsia="Calibri" w:cs="Calibri"/>
                <w:b/>
                <w:bCs/>
                <w:lang w:val="es-ES"/>
              </w:rPr>
              <w:t xml:space="preserve">1.3 Alcance de esta Descripción de Arquitectura</w:t>
            </w:r>
            <w:r>
              <w:rPr>
                <w:rStyle w:val="911"/>
              </w:rPr>
            </w:r>
            <w:r>
              <w:tab/>
              <w:fldChar w:fldCharType="begin"/>
              <w:instrText xml:space="preserve">PAGEREF _Toc5 \h</w:instrText>
              <w:fldChar w:fldCharType="separate"/>
              <w:t xml:space="preserve">5</w:t>
              <w:fldChar w:fldCharType="end"/>
            </w:r>
          </w:hyperlink>
          <w:r/>
        </w:p>
        <w:p w14:paraId="0F1E80AE">
          <w:pPr>
            <w:pStyle w:val="891"/>
            <w:pBdr/>
            <w:tabs>
              <w:tab w:val="right" w:leader="dot" w:pos="9360"/>
            </w:tabs>
            <w:spacing/>
            <w:ind/>
            <w:rPr/>
          </w:pPr>
          <w:hyperlink w:tooltip="#_Toc6" w:anchor="_Toc6" w:history="1">
            <w:r>
              <w:rPr>
                <w:rStyle w:val="911"/>
              </w:rPr>
            </w:r>
            <w:r>
              <w:rPr>
                <w:rStyle w:val="911"/>
                <w:rFonts w:ascii="Calibri" w:hAnsi="Calibri" w:eastAsia="Calibri" w:cs="Calibri"/>
                <w:b/>
                <w:bCs/>
                <w:lang w:val="es-ES"/>
              </w:rPr>
              <w:t xml:space="preserve">1.4 Marco normativo y metodológico aplicado</w:t>
            </w:r>
            <w:r>
              <w:rPr>
                <w:rStyle w:val="911"/>
              </w:rPr>
            </w:r>
            <w:r>
              <w:tab/>
              <w:fldChar w:fldCharType="begin"/>
              <w:instrText xml:space="preserve">PAGEREF _Toc6 \h</w:instrText>
              <w:fldChar w:fldCharType="separate"/>
              <w:t xml:space="preserve">5</w:t>
              <w:fldChar w:fldCharType="end"/>
            </w:r>
          </w:hyperlink>
          <w:r/>
        </w:p>
        <w:p w14:paraId="0A0C8FC4">
          <w:pPr>
            <w:pStyle w:val="891"/>
            <w:pBdr/>
            <w:tabs>
              <w:tab w:val="right" w:leader="dot" w:pos="9360"/>
            </w:tabs>
            <w:spacing/>
            <w:ind/>
            <w:rPr/>
          </w:pPr>
          <w:hyperlink w:tooltip="#_Toc7" w:anchor="_Toc7" w:history="1">
            <w:r>
              <w:rPr>
                <w:rStyle w:val="911"/>
              </w:rPr>
            </w:r>
            <w:r>
              <w:rPr>
                <w:rStyle w:val="911"/>
                <w:rFonts w:ascii="Calibri" w:hAnsi="Calibri" w:eastAsia="Calibri" w:cs="Calibri"/>
                <w:b/>
                <w:bCs/>
                <w:lang w:val="es-ES"/>
              </w:rPr>
              <w:t xml:space="preserve">1.5 Conceptos fundamentales de arquitectura</w:t>
            </w:r>
            <w:r>
              <w:rPr>
                <w:rStyle w:val="911"/>
              </w:rPr>
            </w:r>
            <w:r>
              <w:tab/>
              <w:fldChar w:fldCharType="begin"/>
              <w:instrText xml:space="preserve">PAGEREF _Toc7 \h</w:instrText>
              <w:fldChar w:fldCharType="separate"/>
              <w:t xml:space="preserve">6</w:t>
              <w:fldChar w:fldCharType="end"/>
            </w:r>
          </w:hyperlink>
          <w:r/>
        </w:p>
        <w:p w14:paraId="76709409">
          <w:pPr>
            <w:pStyle w:val="890"/>
            <w:pBdr/>
            <w:tabs>
              <w:tab w:val="right" w:leader="dot" w:pos="9360"/>
            </w:tabs>
            <w:spacing/>
            <w:ind/>
            <w:rPr/>
          </w:pPr>
          <w:hyperlink w:tooltip="#_Toc8" w:anchor="_Toc8" w:history="1">
            <w:r>
              <w:rPr>
                <w:rStyle w:val="911"/>
              </w:rPr>
            </w:r>
            <w:r>
              <w:rPr>
                <w:rStyle w:val="911"/>
                <w:rFonts w:ascii="Calibri" w:hAnsi="Calibri" w:eastAsia="Calibri" w:cs="Calibri"/>
                <w:b/>
                <w:bCs/>
                <w:lang w:val="es-ES"/>
              </w:rPr>
              <w:t xml:space="preserve">2. Desarrollo</w:t>
            </w:r>
            <w:r>
              <w:rPr>
                <w:rStyle w:val="911"/>
              </w:rPr>
            </w:r>
            <w:r>
              <w:tab/>
              <w:fldChar w:fldCharType="begin"/>
              <w:instrText xml:space="preserve">PAGEREF _Toc8 \h</w:instrText>
              <w:fldChar w:fldCharType="separate"/>
              <w:t xml:space="preserve">7</w:t>
              <w:fldChar w:fldCharType="end"/>
            </w:r>
          </w:hyperlink>
          <w:r/>
        </w:p>
        <w:p w14:paraId="002B2818">
          <w:pPr>
            <w:pStyle w:val="891"/>
            <w:pBdr/>
            <w:tabs>
              <w:tab w:val="right" w:leader="dot" w:pos="9360"/>
            </w:tabs>
            <w:spacing/>
            <w:ind/>
            <w:rPr/>
          </w:pPr>
          <w:hyperlink w:tooltip="#_Toc9" w:anchor="_Toc9" w:history="1">
            <w:r>
              <w:rPr>
                <w:rStyle w:val="911"/>
              </w:rPr>
            </w:r>
            <w:r>
              <w:rPr>
                <w:rStyle w:val="911"/>
                <w:rFonts w:ascii="Calibri" w:hAnsi="Calibri" w:eastAsia="Calibri" w:cs="Calibri"/>
                <w:b/>
                <w:bCs/>
                <w:lang w:val="es-ES"/>
              </w:rPr>
              <w:t xml:space="preserve">2.1 Identificación del proyecto y propósito</w:t>
            </w:r>
            <w:r>
              <w:rPr>
                <w:rStyle w:val="911"/>
              </w:rPr>
            </w:r>
            <w:r>
              <w:tab/>
              <w:fldChar w:fldCharType="begin"/>
              <w:instrText xml:space="preserve">PAGEREF _Toc9 \h</w:instrText>
              <w:fldChar w:fldCharType="separate"/>
              <w:t xml:space="preserve">7</w:t>
              <w:fldChar w:fldCharType="end"/>
            </w:r>
          </w:hyperlink>
          <w:r/>
        </w:p>
        <w:p w14:paraId="2BC2D8BB">
          <w:pPr>
            <w:pStyle w:val="891"/>
            <w:pBdr/>
            <w:tabs>
              <w:tab w:val="right" w:leader="dot" w:pos="9360"/>
            </w:tabs>
            <w:spacing/>
            <w:ind/>
            <w:rPr/>
          </w:pPr>
          <w:hyperlink w:tooltip="#_Toc10" w:anchor="_Toc10" w:history="1">
            <w:r>
              <w:rPr>
                <w:rStyle w:val="911"/>
              </w:rPr>
            </w:r>
            <w:r>
              <w:rPr>
                <w:rStyle w:val="911"/>
                <w:rFonts w:ascii="Calibri" w:hAnsi="Calibri" w:eastAsia="Calibri" w:cs="Calibri"/>
                <w:b/>
                <w:bCs/>
                <w:lang w:val="es-ES"/>
              </w:rPr>
              <w:t xml:space="preserve">2.2 Requisitos arquitectónicamente significativos (ASR)</w:t>
            </w:r>
            <w:r>
              <w:rPr>
                <w:rStyle w:val="911"/>
              </w:rPr>
            </w:r>
            <w:r>
              <w:tab/>
              <w:fldChar w:fldCharType="begin"/>
              <w:instrText xml:space="preserve">PAGEREF _Toc10 \h</w:instrText>
              <w:fldChar w:fldCharType="separate"/>
              <w:t xml:space="preserve">8</w:t>
              <w:fldChar w:fldCharType="end"/>
            </w:r>
          </w:hyperlink>
          <w:r/>
        </w:p>
        <w:p w14:paraId="6966DB85">
          <w:pPr>
            <w:pStyle w:val="892"/>
            <w:pBdr/>
            <w:tabs>
              <w:tab w:val="right" w:leader="dot" w:pos="9360"/>
            </w:tabs>
            <w:spacing/>
            <w:ind/>
            <w:rPr/>
          </w:pPr>
          <w:hyperlink w:tooltip="#_Toc11" w:anchor="_Toc11" w:history="1">
            <w:r>
              <w:rPr>
                <w:rStyle w:val="911"/>
              </w:rPr>
            </w:r>
            <w:r>
              <w:rPr>
                <w:rStyle w:val="911"/>
                <w:rFonts w:ascii="Calibri" w:hAnsi="Calibri" w:eastAsia="Calibri" w:cs="Calibri"/>
                <w:b/>
                <w:bCs/>
                <w:lang w:val="es-ES"/>
              </w:rPr>
              <w:t xml:space="preserve">2.2.1 Criterio de selección</w:t>
            </w:r>
            <w:r>
              <w:rPr>
                <w:rStyle w:val="911"/>
              </w:rPr>
            </w:r>
            <w:r>
              <w:tab/>
              <w:fldChar w:fldCharType="begin"/>
              <w:instrText xml:space="preserve">PAGEREF _Toc11 \h</w:instrText>
              <w:fldChar w:fldCharType="separate"/>
              <w:t xml:space="preserve">8</w:t>
              <w:fldChar w:fldCharType="end"/>
            </w:r>
          </w:hyperlink>
          <w:r/>
        </w:p>
        <w:p w14:paraId="36934DE8">
          <w:pPr>
            <w:pStyle w:val="892"/>
            <w:pBdr/>
            <w:tabs>
              <w:tab w:val="right" w:leader="dot" w:pos="9360"/>
            </w:tabs>
            <w:spacing/>
            <w:ind/>
            <w:rPr/>
          </w:pPr>
          <w:hyperlink w:tooltip="#_Toc12" w:anchor="_Toc12" w:history="1">
            <w:r>
              <w:rPr>
                <w:rStyle w:val="911"/>
              </w:rPr>
            </w:r>
            <w:r>
              <w:rPr>
                <w:rStyle w:val="911"/>
                <w:rFonts w:ascii="Calibri" w:hAnsi="Calibri" w:eastAsia="Calibri" w:cs="Calibri"/>
                <w:b/>
                <w:bCs/>
                <w:lang w:val="es-ES"/>
              </w:rPr>
              <w:t xml:space="preserve">2.2.2 Requisitos funcionales arquitectónicamente significativos</w:t>
            </w:r>
            <w:r>
              <w:rPr>
                <w:rStyle w:val="911"/>
              </w:rPr>
            </w:r>
            <w:r>
              <w:tab/>
              <w:fldChar w:fldCharType="begin"/>
              <w:instrText xml:space="preserve">PAGEREF _Toc12 \h</w:instrText>
              <w:fldChar w:fldCharType="separate"/>
              <w:t xml:space="preserve">8</w:t>
              <w:fldChar w:fldCharType="end"/>
            </w:r>
          </w:hyperlink>
          <w:r/>
        </w:p>
        <w:p w14:paraId="3A5727CB">
          <w:pPr>
            <w:pStyle w:val="892"/>
            <w:pBdr/>
            <w:tabs>
              <w:tab w:val="right" w:leader="dot" w:pos="9360"/>
            </w:tabs>
            <w:spacing/>
            <w:ind/>
            <w:rPr/>
          </w:pPr>
          <w:hyperlink w:tooltip="#_Toc13" w:anchor="_Toc13" w:history="1">
            <w:r>
              <w:rPr>
                <w:rStyle w:val="911"/>
              </w:rPr>
            </w:r>
            <w:r>
              <w:rPr>
                <w:rStyle w:val="911"/>
                <w:rFonts w:ascii="Calibri" w:hAnsi="Calibri" w:eastAsia="Calibri" w:cs="Calibri"/>
                <w:b/>
                <w:bCs/>
                <w:lang w:val="es-ES"/>
              </w:rPr>
              <w:t xml:space="preserve">2.2.3 Requisitos no funcionales — calidades de arquitectura</w:t>
            </w:r>
            <w:r>
              <w:rPr>
                <w:rStyle w:val="911"/>
              </w:rPr>
            </w:r>
            <w:r>
              <w:tab/>
              <w:fldChar w:fldCharType="begin"/>
              <w:instrText xml:space="preserve">PAGEREF _Toc13 \h</w:instrText>
              <w:fldChar w:fldCharType="separate"/>
              <w:t xml:space="preserve">9</w:t>
              <w:fldChar w:fldCharType="end"/>
            </w:r>
          </w:hyperlink>
          <w:r/>
        </w:p>
        <w:p w14:paraId="51166ABB">
          <w:pPr>
            <w:pStyle w:val="891"/>
            <w:pBdr/>
            <w:tabs>
              <w:tab w:val="right" w:leader="dot" w:pos="9360"/>
            </w:tabs>
            <w:spacing/>
            <w:ind/>
            <w:rPr/>
          </w:pPr>
          <w:hyperlink w:tooltip="#_Toc14" w:anchor="_Toc14" w:history="1">
            <w:r>
              <w:rPr>
                <w:rStyle w:val="911"/>
              </w:rPr>
            </w:r>
            <w:r>
              <w:rPr>
                <w:rStyle w:val="911"/>
                <w:rFonts w:ascii="Calibri" w:hAnsi="Calibri" w:eastAsia="Calibri" w:cs="Calibri"/>
                <w:b/>
                <w:bCs/>
                <w:lang w:val="es-ES"/>
              </w:rPr>
              <w:t xml:space="preserve">2.3 Interesados, perspectivas y preocupaciones</w:t>
            </w:r>
            <w:r>
              <w:rPr>
                <w:rStyle w:val="911"/>
              </w:rPr>
            </w:r>
            <w:r>
              <w:tab/>
              <w:fldChar w:fldCharType="begin"/>
              <w:instrText xml:space="preserve">PAGEREF _Toc14 \h</w:instrText>
              <w:fldChar w:fldCharType="separate"/>
              <w:t xml:space="preserve">11</w:t>
              <w:fldChar w:fldCharType="end"/>
            </w:r>
          </w:hyperlink>
          <w:r/>
        </w:p>
        <w:p w14:paraId="735EDC30">
          <w:pPr>
            <w:pStyle w:val="892"/>
            <w:pBdr/>
            <w:tabs>
              <w:tab w:val="right" w:leader="dot" w:pos="9360"/>
            </w:tabs>
            <w:spacing/>
            <w:ind/>
            <w:rPr/>
          </w:pPr>
          <w:hyperlink w:tooltip="#_Toc15" w:anchor="_Toc15" w:history="1">
            <w:r>
              <w:rPr>
                <w:rStyle w:val="911"/>
              </w:rPr>
            </w:r>
            <w:r>
              <w:rPr>
                <w:rStyle w:val="911"/>
                <w:rFonts w:ascii="Calibri" w:hAnsi="Calibri" w:eastAsia="Calibri" w:cs="Calibri"/>
                <w:b/>
                <w:bCs/>
                <w:lang w:val="es-ES"/>
              </w:rPr>
              <w:t xml:space="preserve">2.3.1 Interesados identificados</w:t>
            </w:r>
            <w:r>
              <w:rPr>
                <w:rStyle w:val="911"/>
              </w:rPr>
            </w:r>
            <w:r>
              <w:tab/>
              <w:fldChar w:fldCharType="begin"/>
              <w:instrText xml:space="preserve">PAGEREF _Toc15 \h</w:instrText>
              <w:fldChar w:fldCharType="separate"/>
              <w:t xml:space="preserve">11</w:t>
              <w:fldChar w:fldCharType="end"/>
            </w:r>
          </w:hyperlink>
          <w:r/>
        </w:p>
        <w:p w14:paraId="5B2432F2">
          <w:pPr>
            <w:pStyle w:val="892"/>
            <w:pBdr/>
            <w:tabs>
              <w:tab w:val="right" w:leader="dot" w:pos="9360"/>
            </w:tabs>
            <w:spacing/>
            <w:ind/>
            <w:rPr/>
          </w:pPr>
          <w:hyperlink w:tooltip="#_Toc16" w:anchor="_Toc16" w:history="1">
            <w:r>
              <w:rPr>
                <w:rStyle w:val="911"/>
              </w:rPr>
            </w:r>
            <w:r>
              <w:rPr>
                <w:rStyle w:val="911"/>
                <w:rFonts w:ascii="Calibri" w:hAnsi="Calibri" w:eastAsia="Calibri" w:cs="Calibri"/>
                <w:b/>
                <w:bCs/>
                <w:lang w:val="es-ES"/>
              </w:rPr>
              <w:t xml:space="preserve">2.3.2 Perspectivas de los interesados</w:t>
            </w:r>
            <w:r>
              <w:rPr>
                <w:rStyle w:val="911"/>
              </w:rPr>
            </w:r>
            <w:r>
              <w:tab/>
              <w:fldChar w:fldCharType="begin"/>
              <w:instrText xml:space="preserve">PAGEREF _Toc16 \h</w:instrText>
              <w:fldChar w:fldCharType="separate"/>
              <w:t xml:space="preserve">11</w:t>
              <w:fldChar w:fldCharType="end"/>
            </w:r>
          </w:hyperlink>
          <w:r/>
        </w:p>
        <w:p w14:paraId="034DB756">
          <w:pPr>
            <w:pStyle w:val="892"/>
            <w:pBdr/>
            <w:tabs>
              <w:tab w:val="right" w:leader="dot" w:pos="9360"/>
            </w:tabs>
            <w:spacing/>
            <w:ind/>
            <w:rPr/>
          </w:pPr>
          <w:hyperlink w:tooltip="#_Toc17" w:anchor="_Toc17" w:history="1">
            <w:r>
              <w:rPr>
                <w:rStyle w:val="911"/>
              </w:rPr>
            </w:r>
            <w:r>
              <w:rPr>
                <w:rStyle w:val="911"/>
                <w:rFonts w:ascii="Calibri" w:hAnsi="Calibri" w:eastAsia="Calibri" w:cs="Calibri"/>
                <w:b/>
                <w:bCs/>
                <w:lang w:val="es-ES"/>
              </w:rPr>
              <w:t xml:space="preserve">2.3.3 Preocupaciones clave</w:t>
            </w:r>
            <w:r>
              <w:rPr>
                <w:rStyle w:val="911"/>
              </w:rPr>
            </w:r>
            <w:r>
              <w:tab/>
              <w:fldChar w:fldCharType="begin"/>
              <w:instrText xml:space="preserve">PAGEREF _Toc17 \h</w:instrText>
              <w:fldChar w:fldCharType="separate"/>
              <w:t xml:space="preserve">12</w:t>
              <w:fldChar w:fldCharType="end"/>
            </w:r>
          </w:hyperlink>
          <w:r/>
        </w:p>
        <w:p w14:paraId="183AEB80">
          <w:pPr>
            <w:pStyle w:val="891"/>
            <w:pBdr/>
            <w:tabs>
              <w:tab w:val="right" w:leader="dot" w:pos="9360"/>
            </w:tabs>
            <w:spacing/>
            <w:ind/>
            <w:rPr/>
          </w:pPr>
          <w:hyperlink w:tooltip="#_Toc18" w:anchor="_Toc18" w:history="1">
            <w:r>
              <w:rPr>
                <w:rStyle w:val="911"/>
              </w:rPr>
            </w:r>
            <w:r>
              <w:rPr>
                <w:rStyle w:val="911"/>
                <w:rFonts w:ascii="Calibri" w:hAnsi="Calibri" w:eastAsia="Calibri" w:cs="Calibri"/>
                <w:b/>
                <w:bCs/>
                <w:lang w:val="es-ES"/>
              </w:rPr>
              <w:t xml:space="preserve">2.4 Aspectos de la Entidad de Interés</w:t>
            </w:r>
            <w:r>
              <w:rPr>
                <w:rStyle w:val="911"/>
              </w:rPr>
            </w:r>
            <w:r>
              <w:tab/>
              <w:fldChar w:fldCharType="begin"/>
              <w:instrText xml:space="preserve">PAGEREF _Toc18 \h</w:instrText>
              <w:fldChar w:fldCharType="separate"/>
              <w:t xml:space="preserve">13</w:t>
              <w:fldChar w:fldCharType="end"/>
            </w:r>
          </w:hyperlink>
          <w:r/>
        </w:p>
        <w:p w14:paraId="388D5947">
          <w:pPr>
            <w:pStyle w:val="891"/>
            <w:pBdr/>
            <w:tabs>
              <w:tab w:val="right" w:leader="dot" w:pos="9360"/>
            </w:tabs>
            <w:spacing/>
            <w:ind/>
            <w:rPr/>
          </w:pPr>
          <w:hyperlink w:tooltip="#_Toc19" w:anchor="_Toc19" w:history="1">
            <w:r>
              <w:rPr>
                <w:rStyle w:val="911"/>
              </w:rPr>
            </w:r>
            <w:r>
              <w:rPr>
                <w:rStyle w:val="911"/>
                <w:rFonts w:ascii="Calibri" w:hAnsi="Calibri" w:eastAsia="Calibri" w:cs="Calibri"/>
                <w:b/>
                <w:bCs/>
                <w:lang w:val="es-ES"/>
              </w:rPr>
              <w:t xml:space="preserve">2.5 Criterios de decisión arquitectónica y su ponderación</w:t>
            </w:r>
            <w:r>
              <w:rPr>
                <w:rStyle w:val="911"/>
              </w:rPr>
            </w:r>
            <w:r>
              <w:tab/>
              <w:fldChar w:fldCharType="begin"/>
              <w:instrText xml:space="preserve">PAGEREF _Toc19 \h</w:instrText>
              <w:fldChar w:fldCharType="separate"/>
              <w:t xml:space="preserve">14</w:t>
              <w:fldChar w:fldCharType="end"/>
            </w:r>
          </w:hyperlink>
          <w:r/>
        </w:p>
        <w:p w14:paraId="27CFE70E">
          <w:pPr>
            <w:pStyle w:val="891"/>
            <w:pBdr/>
            <w:tabs>
              <w:tab w:val="right" w:leader="dot" w:pos="9360"/>
            </w:tabs>
            <w:spacing/>
            <w:ind/>
            <w:rPr/>
          </w:pPr>
          <w:hyperlink w:tooltip="#_Toc20" w:anchor="_Toc20" w:history="1">
            <w:r>
              <w:rPr>
                <w:rStyle w:val="911"/>
              </w:rPr>
            </w:r>
            <w:r>
              <w:rPr>
                <w:rStyle w:val="911"/>
                <w:rFonts w:ascii="Calibri" w:hAnsi="Calibri" w:eastAsia="Calibri" w:cs="Calibri"/>
                <w:b/>
                <w:bCs/>
                <w:lang w:val="es-ES"/>
              </w:rPr>
              <w:t xml:space="preserve">2.6 Alternativas de arquitectura evaluadas</w:t>
            </w:r>
            <w:r>
              <w:rPr>
                <w:rStyle w:val="911"/>
              </w:rPr>
            </w:r>
            <w:r>
              <w:tab/>
              <w:fldChar w:fldCharType="begin"/>
              <w:instrText xml:space="preserve">PAGEREF _Toc20 \h</w:instrText>
              <w:fldChar w:fldCharType="separate"/>
              <w:t xml:space="preserve">14</w:t>
              <w:fldChar w:fldCharType="end"/>
            </w:r>
          </w:hyperlink>
          <w:r/>
        </w:p>
        <w:p w14:paraId="66FF30F3">
          <w:pPr>
            <w:pStyle w:val="892"/>
            <w:pBdr/>
            <w:tabs>
              <w:tab w:val="right" w:leader="dot" w:pos="9360"/>
            </w:tabs>
            <w:spacing/>
            <w:ind/>
            <w:rPr/>
          </w:pPr>
          <w:hyperlink w:tooltip="#_Toc21" w:anchor="_Toc21" w:history="1">
            <w:r>
              <w:rPr>
                <w:rStyle w:val="911"/>
              </w:rPr>
            </w:r>
            <w:r>
              <w:rPr>
                <w:rStyle w:val="911"/>
                <w:rFonts w:ascii="Calibri" w:hAnsi="Calibri" w:eastAsia="Calibri" w:cs="Calibri"/>
                <w:b/>
                <w:bCs/>
                <w:lang w:val="es-ES"/>
              </w:rPr>
              <w:t xml:space="preserve">2.6.1 Opción A — Monolito en capas clásico con MVC del lado del servidor</w:t>
            </w:r>
            <w:r>
              <w:rPr>
                <w:rStyle w:val="911"/>
              </w:rPr>
            </w:r>
            <w:r>
              <w:tab/>
              <w:fldChar w:fldCharType="begin"/>
              <w:instrText xml:space="preserve">PAGEREF _Toc21 \h</w:instrText>
              <w:fldChar w:fldCharType="separate"/>
              <w:t xml:space="preserve">15</w:t>
              <w:fldChar w:fldCharType="end"/>
            </w:r>
          </w:hyperlink>
          <w:r/>
        </w:p>
        <w:p w14:paraId="3E9FC2FF">
          <w:pPr>
            <w:pStyle w:val="892"/>
            <w:pBdr/>
            <w:tabs>
              <w:tab w:val="right" w:leader="dot" w:pos="9360"/>
            </w:tabs>
            <w:spacing/>
            <w:ind/>
            <w:rPr/>
          </w:pPr>
          <w:hyperlink w:tooltip="#_Toc22" w:anchor="_Toc22" w:history="1">
            <w:r>
              <w:rPr>
                <w:rStyle w:val="911"/>
              </w:rPr>
            </w:r>
            <w:r>
              <w:rPr>
                <w:rStyle w:val="911"/>
                <w:rFonts w:ascii="Calibri" w:hAnsi="Calibri" w:eastAsia="Calibri" w:cs="Calibri"/>
                <w:b/>
                <w:bCs/>
                <w:lang w:val="es-ES"/>
              </w:rPr>
              <w:t xml:space="preserve">2.6.2 Opción B — Monolito modular hexagonal con API REST y procesamiento asíncrono</w:t>
            </w:r>
            <w:r>
              <w:rPr>
                <w:rStyle w:val="911"/>
              </w:rPr>
            </w:r>
            <w:r>
              <w:tab/>
              <w:fldChar w:fldCharType="begin"/>
              <w:instrText xml:space="preserve">PAGEREF _Toc22 \h</w:instrText>
              <w:fldChar w:fldCharType="separate"/>
              <w:t xml:space="preserve">15</w:t>
              <w:fldChar w:fldCharType="end"/>
            </w:r>
          </w:hyperlink>
          <w:r/>
        </w:p>
        <w:p w14:paraId="5F211E0E">
          <w:pPr>
            <w:pStyle w:val="892"/>
            <w:pBdr/>
            <w:tabs>
              <w:tab w:val="right" w:leader="dot" w:pos="9360"/>
            </w:tabs>
            <w:spacing/>
            <w:ind/>
            <w:rPr/>
          </w:pPr>
          <w:hyperlink w:tooltip="#_Toc23" w:anchor="_Toc23" w:history="1">
            <w:r>
              <w:rPr>
                <w:rStyle w:val="911"/>
              </w:rPr>
            </w:r>
            <w:r>
              <w:rPr>
                <w:rStyle w:val="911"/>
                <w:rFonts w:ascii="Calibri" w:hAnsi="Calibri" w:eastAsia="Calibri" w:cs="Calibri"/>
                <w:b/>
                <w:bCs/>
                <w:lang w:val="es-ES"/>
              </w:rPr>
              <w:t xml:space="preserve">2.6.3 Opción C — Microservicios con pasarela de API</w:t>
            </w:r>
            <w:r>
              <w:rPr>
                <w:rStyle w:val="911"/>
              </w:rPr>
            </w:r>
            <w:r>
              <w:tab/>
              <w:fldChar w:fldCharType="begin"/>
              <w:instrText xml:space="preserve">PAGEREF _Toc23 \h</w:instrText>
              <w:fldChar w:fldCharType="separate"/>
              <w:t xml:space="preserve">16</w:t>
              <w:fldChar w:fldCharType="end"/>
            </w:r>
          </w:hyperlink>
          <w:r/>
        </w:p>
        <w:p w14:paraId="6ABCBC16">
          <w:pPr>
            <w:pStyle w:val="892"/>
            <w:pBdr/>
            <w:tabs>
              <w:tab w:val="right" w:leader="dot" w:pos="9360"/>
            </w:tabs>
            <w:spacing/>
            <w:ind/>
            <w:rPr/>
          </w:pPr>
          <w:hyperlink w:tooltip="#_Toc24" w:anchor="_Toc24" w:history="1">
            <w:r>
              <w:rPr>
                <w:rStyle w:val="911"/>
              </w:rPr>
            </w:r>
            <w:r>
              <w:rPr>
                <w:rStyle w:val="911"/>
                <w:rFonts w:ascii="Calibri" w:hAnsi="Calibri" w:eastAsia="Calibri" w:cs="Calibri"/>
                <w:b/>
                <w:bCs/>
                <w:lang w:val="es-ES"/>
              </w:rPr>
              <w:t xml:space="preserve">2.6.4 Matriz de evaluación comparativa ponderada</w:t>
            </w:r>
            <w:r>
              <w:rPr>
                <w:rStyle w:val="911"/>
              </w:rPr>
            </w:r>
            <w:r>
              <w:tab/>
              <w:fldChar w:fldCharType="begin"/>
              <w:instrText xml:space="preserve">PAGEREF _Toc24 \h</w:instrText>
              <w:fldChar w:fldCharType="separate"/>
              <w:t xml:space="preserve">16</w:t>
              <w:fldChar w:fldCharType="end"/>
            </w:r>
          </w:hyperlink>
          <w:r/>
        </w:p>
        <w:p w14:paraId="050C4461">
          <w:pPr>
            <w:pStyle w:val="892"/>
            <w:pBdr/>
            <w:tabs>
              <w:tab w:val="right" w:leader="dot" w:pos="9360"/>
            </w:tabs>
            <w:spacing/>
            <w:ind/>
            <w:rPr/>
          </w:pPr>
          <w:hyperlink w:tooltip="#_Toc25" w:anchor="_Toc25" w:history="1">
            <w:r>
              <w:rPr>
                <w:rStyle w:val="911"/>
              </w:rPr>
            </w:r>
            <w:r>
              <w:rPr>
                <w:rStyle w:val="911"/>
                <w:rFonts w:ascii="Calibri" w:hAnsi="Calibri" w:eastAsia="Calibri" w:cs="Calibri"/>
                <w:b/>
                <w:bCs/>
                <w:lang w:val="es-ES"/>
              </w:rPr>
              <w:t xml:space="preserve">2.6.5 Análisis de sensibilidad</w:t>
            </w:r>
            <w:r>
              <w:rPr>
                <w:rStyle w:val="911"/>
              </w:rPr>
            </w:r>
            <w:r>
              <w:tab/>
              <w:fldChar w:fldCharType="begin"/>
              <w:instrText xml:space="preserve">PAGEREF _Toc25 \h</w:instrText>
              <w:fldChar w:fldCharType="separate"/>
              <w:t xml:space="preserve">17</w:t>
              <w:fldChar w:fldCharType="end"/>
            </w:r>
          </w:hyperlink>
          <w:r/>
        </w:p>
        <w:p w14:paraId="7B988028">
          <w:pPr>
            <w:pStyle w:val="891"/>
            <w:pBdr/>
            <w:tabs>
              <w:tab w:val="right" w:leader="dot" w:pos="9360"/>
            </w:tabs>
            <w:spacing/>
            <w:ind/>
            <w:rPr/>
          </w:pPr>
          <w:hyperlink w:tooltip="#_Toc26" w:anchor="_Toc26" w:history="1">
            <w:r>
              <w:rPr>
                <w:rStyle w:val="911"/>
              </w:rPr>
            </w:r>
            <w:r>
              <w:rPr>
                <w:rStyle w:val="911"/>
                <w:rFonts w:ascii="Calibri" w:hAnsi="Calibri" w:eastAsia="Calibri" w:cs="Calibri"/>
                <w:b/>
                <w:bCs/>
                <w:lang w:val="es-ES"/>
              </w:rPr>
              <w:t xml:space="preserve">2.7 Decisión de arquitectura y justificación</w:t>
            </w:r>
            <w:r>
              <w:rPr>
                <w:rStyle w:val="911"/>
              </w:rPr>
            </w:r>
            <w:r>
              <w:tab/>
              <w:fldChar w:fldCharType="begin"/>
              <w:instrText xml:space="preserve">PAGEREF _Toc26 \h</w:instrText>
              <w:fldChar w:fldCharType="separate"/>
              <w:t xml:space="preserve">19</w:t>
              <w:fldChar w:fldCharType="end"/>
            </w:r>
          </w:hyperlink>
          <w:r/>
        </w:p>
        <w:p w14:paraId="5E2CD741">
          <w:pPr>
            <w:pStyle w:val="892"/>
            <w:pBdr/>
            <w:tabs>
              <w:tab w:val="right" w:leader="dot" w:pos="9360"/>
            </w:tabs>
            <w:spacing/>
            <w:ind/>
            <w:rPr/>
          </w:pPr>
          <w:hyperlink w:tooltip="#_Toc27" w:anchor="_Toc27" w:history="1">
            <w:r>
              <w:rPr>
                <w:rStyle w:val="911"/>
              </w:rPr>
            </w:r>
            <w:r>
              <w:rPr>
                <w:rStyle w:val="911"/>
                <w:rFonts w:ascii="Calibri" w:hAnsi="Calibri" w:eastAsia="Calibri" w:cs="Calibri"/>
                <w:b/>
                <w:bCs/>
                <w:lang w:val="es-ES"/>
              </w:rPr>
              <w:t xml:space="preserve">2.7.1 Decisión adoptada</w:t>
            </w:r>
            <w:r>
              <w:rPr>
                <w:rStyle w:val="911"/>
              </w:rPr>
            </w:r>
            <w:r>
              <w:tab/>
              <w:fldChar w:fldCharType="begin"/>
              <w:instrText xml:space="preserve">PAGEREF _Toc27 \h</w:instrText>
              <w:fldChar w:fldCharType="separate"/>
              <w:t xml:space="preserve">19</w:t>
              <w:fldChar w:fldCharType="end"/>
            </w:r>
          </w:hyperlink>
          <w:r/>
        </w:p>
        <w:p w14:paraId="6BB6559C">
          <w:pPr>
            <w:pStyle w:val="892"/>
            <w:pBdr/>
            <w:tabs>
              <w:tab w:val="right" w:leader="dot" w:pos="9360"/>
            </w:tabs>
            <w:spacing/>
            <w:ind/>
            <w:rPr/>
          </w:pPr>
          <w:hyperlink w:tooltip="#_Toc28" w:anchor="_Toc28" w:history="1">
            <w:r>
              <w:rPr>
                <w:rStyle w:val="911"/>
              </w:rPr>
            </w:r>
            <w:r>
              <w:rPr>
                <w:rStyle w:val="911"/>
                <w:rFonts w:ascii="Calibri" w:hAnsi="Calibri" w:eastAsia="Calibri" w:cs="Calibri"/>
                <w:b/>
                <w:bCs/>
                <w:lang w:val="es-ES"/>
              </w:rPr>
              <w:t xml:space="preserve">2.7.2 Decisiones arquitectónicas complementarias</w:t>
            </w:r>
            <w:r>
              <w:rPr>
                <w:rStyle w:val="911"/>
              </w:rPr>
            </w:r>
            <w:r>
              <w:tab/>
              <w:fldChar w:fldCharType="begin"/>
              <w:instrText xml:space="preserve">PAGEREF _Toc28 \h</w:instrText>
              <w:fldChar w:fldCharType="separate"/>
              <w:t xml:space="preserve">19</w:t>
              <w:fldChar w:fldCharType="end"/>
            </w:r>
          </w:hyperlink>
          <w:r/>
        </w:p>
        <w:p w14:paraId="1187AC48">
          <w:pPr>
            <w:pStyle w:val="892"/>
            <w:pBdr/>
            <w:tabs>
              <w:tab w:val="right" w:leader="dot" w:pos="9360"/>
            </w:tabs>
            <w:spacing/>
            <w:ind/>
            <w:rPr/>
          </w:pPr>
          <w:hyperlink w:tooltip="#_Toc29" w:anchor="_Toc29" w:history="1">
            <w:r>
              <w:rPr>
                <w:rStyle w:val="911"/>
              </w:rPr>
            </w:r>
            <w:r>
              <w:rPr>
                <w:rStyle w:val="911"/>
                <w:rFonts w:ascii="Calibri" w:hAnsi="Calibri" w:eastAsia="Calibri" w:cs="Calibri"/>
                <w:b/>
                <w:bCs/>
                <w:lang w:val="es-ES"/>
              </w:rPr>
              <w:t xml:space="preserve">2.7.3 Riesgos aceptados y deuda técnica arquitectónica</w:t>
            </w:r>
            <w:r>
              <w:rPr>
                <w:rStyle w:val="911"/>
              </w:rPr>
            </w:r>
            <w:r>
              <w:tab/>
              <w:fldChar w:fldCharType="begin"/>
              <w:instrText xml:space="preserve">PAGEREF _Toc29 \h</w:instrText>
              <w:fldChar w:fldCharType="separate"/>
              <w:t xml:space="preserve">20</w:t>
              <w:fldChar w:fldCharType="end"/>
            </w:r>
          </w:hyperlink>
          <w:r/>
        </w:p>
        <w:p w14:paraId="70652714">
          <w:pPr>
            <w:pStyle w:val="892"/>
            <w:pBdr/>
            <w:tabs>
              <w:tab w:val="right" w:leader="dot" w:pos="9360"/>
            </w:tabs>
            <w:spacing/>
            <w:ind/>
            <w:rPr/>
          </w:pPr>
          <w:hyperlink w:tooltip="#_Toc30" w:anchor="_Toc30" w:history="1">
            <w:r>
              <w:rPr>
                <w:rStyle w:val="911"/>
              </w:rPr>
            </w:r>
            <w:r>
              <w:rPr>
                <w:rStyle w:val="911"/>
                <w:rFonts w:ascii="Calibri" w:hAnsi="Calibri" w:eastAsia="Calibri" w:cs="Calibri"/>
                <w:b/>
                <w:bCs/>
                <w:lang w:val="es-ES"/>
              </w:rPr>
              <w:t xml:space="preserve">2.7.4 Principios arquitectónicos fundamentales</w:t>
            </w:r>
            <w:r>
              <w:rPr>
                <w:rStyle w:val="911"/>
              </w:rPr>
            </w:r>
            <w:r>
              <w:tab/>
              <w:fldChar w:fldCharType="begin"/>
              <w:instrText xml:space="preserve">PAGEREF _Toc30 \h</w:instrText>
              <w:fldChar w:fldCharType="separate"/>
              <w:t xml:space="preserve">21</w:t>
              <w:fldChar w:fldCharType="end"/>
            </w:r>
          </w:hyperlink>
          <w:r/>
        </w:p>
        <w:p w14:paraId="29CBAC90">
          <w:pPr>
            <w:pStyle w:val="891"/>
            <w:pBdr/>
            <w:tabs>
              <w:tab w:val="right" w:leader="dot" w:pos="9360"/>
            </w:tabs>
            <w:spacing/>
            <w:ind/>
            <w:rPr/>
          </w:pPr>
          <w:hyperlink w:tooltip="#_Toc31" w:anchor="_Toc31" w:history="1">
            <w:r>
              <w:rPr>
                <w:rStyle w:val="911"/>
              </w:rPr>
            </w:r>
            <w:r>
              <w:rPr>
                <w:rStyle w:val="911"/>
                <w:rFonts w:ascii="Calibri" w:hAnsi="Calibri" w:eastAsia="Calibri" w:cs="Calibri"/>
                <w:b/>
                <w:bCs/>
                <w:lang w:val="es-ES"/>
              </w:rPr>
              <w:t xml:space="preserve">2.8 Puntos de vista seleccionados</w:t>
            </w:r>
            <w:r>
              <w:rPr>
                <w:rStyle w:val="911"/>
              </w:rPr>
            </w:r>
            <w:r>
              <w:tab/>
              <w:fldChar w:fldCharType="begin"/>
              <w:instrText xml:space="preserve">PAGEREF _Toc31 \h</w:instrText>
              <w:fldChar w:fldCharType="separate"/>
              <w:t xml:space="preserve">22</w:t>
              <w:fldChar w:fldCharType="end"/>
            </w:r>
          </w:hyperlink>
          <w:r/>
        </w:p>
        <w:p w14:paraId="79D9F840">
          <w:pPr>
            <w:pStyle w:val="891"/>
            <w:pBdr/>
            <w:tabs>
              <w:tab w:val="right" w:leader="dot" w:pos="9360"/>
            </w:tabs>
            <w:spacing/>
            <w:ind/>
            <w:rPr/>
          </w:pPr>
          <w:hyperlink w:tooltip="#_Toc32" w:anchor="_Toc32" w:history="1">
            <w:r>
              <w:rPr>
                <w:rStyle w:val="911"/>
              </w:rPr>
            </w:r>
            <w:r>
              <w:rPr>
                <w:rStyle w:val="911"/>
                <w:rFonts w:ascii="Calibri" w:hAnsi="Calibri" w:eastAsia="Calibri" w:cs="Calibri"/>
                <w:b/>
                <w:bCs/>
                <w:lang w:val="es-ES"/>
              </w:rPr>
              <w:t xml:space="preserve">2.9 Vistas de arquitectura definidas</w:t>
            </w:r>
            <w:r>
              <w:rPr>
                <w:rStyle w:val="911"/>
              </w:rPr>
            </w:r>
            <w:r>
              <w:tab/>
              <w:fldChar w:fldCharType="begin"/>
              <w:instrText xml:space="preserve">PAGEREF _Toc32 \h</w:instrText>
              <w:fldChar w:fldCharType="separate"/>
              <w:t xml:space="preserve">23</w:t>
              <w:fldChar w:fldCharType="end"/>
            </w:r>
          </w:hyperlink>
          <w:r/>
        </w:p>
        <w:p w14:paraId="513FFA02">
          <w:pPr>
            <w:pStyle w:val="892"/>
            <w:pBdr/>
            <w:tabs>
              <w:tab w:val="right" w:leader="dot" w:pos="9360"/>
            </w:tabs>
            <w:spacing/>
            <w:ind/>
            <w:rPr/>
          </w:pPr>
          <w:hyperlink w:tooltip="#_Toc33" w:anchor="_Toc33" w:history="1">
            <w:r>
              <w:rPr>
                <w:rStyle w:val="911"/>
              </w:rPr>
            </w:r>
            <w:r>
              <w:rPr>
                <w:rStyle w:val="911"/>
                <w:rFonts w:ascii="Calibri" w:hAnsi="Calibri" w:eastAsia="Calibri" w:cs="Calibri"/>
                <w:b/>
                <w:bCs/>
                <w:lang w:val="es-ES"/>
              </w:rPr>
              <w:t xml:space="preserve">2.9.1 V-01 — Vista de capas y responsabilidades</w:t>
            </w:r>
            <w:r>
              <w:rPr>
                <w:rStyle w:val="911"/>
              </w:rPr>
            </w:r>
            <w:r>
              <w:tab/>
              <w:fldChar w:fldCharType="begin"/>
              <w:instrText xml:space="preserve">PAGEREF _Toc33 \h</w:instrText>
              <w:fldChar w:fldCharType="separate"/>
              <w:t xml:space="preserve">23</w:t>
              <w:fldChar w:fldCharType="end"/>
            </w:r>
          </w:hyperlink>
          <w:r/>
        </w:p>
        <w:p w14:paraId="4E4F71CD">
          <w:pPr>
            <w:pStyle w:val="892"/>
            <w:pBdr/>
            <w:tabs>
              <w:tab w:val="right" w:leader="dot" w:pos="9360"/>
            </w:tabs>
            <w:spacing/>
            <w:ind/>
            <w:rPr/>
          </w:pPr>
          <w:hyperlink w:tooltip="#_Toc34" w:anchor="_Toc34" w:history="1">
            <w:r>
              <w:rPr>
                <w:rStyle w:val="911"/>
              </w:rPr>
            </w:r>
            <w:r>
              <w:rPr>
                <w:rStyle w:val="911"/>
                <w:rFonts w:ascii="Calibri" w:hAnsi="Calibri" w:eastAsia="Calibri" w:cs="Calibri"/>
                <w:b/>
                <w:bCs/>
                <w:lang w:val="es-ES"/>
              </w:rPr>
              <w:t xml:space="preserve">2.9.2 V-02 — Vista de módulos, servicios y flujos</w:t>
            </w:r>
            <w:r>
              <w:rPr>
                <w:rStyle w:val="911"/>
              </w:rPr>
            </w:r>
            <w:r>
              <w:tab/>
              <w:fldChar w:fldCharType="begin"/>
              <w:instrText xml:space="preserve">PAGEREF _Toc34 \h</w:instrText>
              <w:fldChar w:fldCharType="separate"/>
              <w:t xml:space="preserve">24</w:t>
              <w:fldChar w:fldCharType="end"/>
            </w:r>
          </w:hyperlink>
          <w:r/>
        </w:p>
        <w:p w14:paraId="285A526E">
          <w:pPr>
            <w:pStyle w:val="892"/>
            <w:pBdr/>
            <w:tabs>
              <w:tab w:val="right" w:leader="dot" w:pos="9360"/>
            </w:tabs>
            <w:spacing/>
            <w:ind/>
            <w:rPr/>
          </w:pPr>
          <w:hyperlink w:tooltip="#_Toc35" w:anchor="_Toc35" w:history="1">
            <w:r>
              <w:rPr>
                <w:rStyle w:val="911"/>
              </w:rPr>
            </w:r>
            <w:r>
              <w:rPr>
                <w:rStyle w:val="911"/>
                <w:rFonts w:ascii="Calibri" w:hAnsi="Calibri" w:eastAsia="Calibri" w:cs="Calibri"/>
                <w:b/>
                <w:bCs/>
                <w:lang w:val="es-ES"/>
              </w:rPr>
              <w:t xml:space="preserve">2.9.3 V-03 — Vista de información y controles de seguridad</w:t>
            </w:r>
            <w:r>
              <w:rPr>
                <w:rStyle w:val="911"/>
              </w:rPr>
            </w:r>
            <w:r>
              <w:tab/>
              <w:fldChar w:fldCharType="begin"/>
              <w:instrText xml:space="preserve">PAGEREF _Toc35 \h</w:instrText>
              <w:fldChar w:fldCharType="separate"/>
              <w:t xml:space="preserve">26</w:t>
              <w:fldChar w:fldCharType="end"/>
            </w:r>
          </w:hyperlink>
          <w:r/>
        </w:p>
        <w:p w14:paraId="170D4BE2">
          <w:pPr>
            <w:pStyle w:val="892"/>
            <w:pBdr/>
            <w:tabs>
              <w:tab w:val="right" w:leader="dot" w:pos="9360"/>
            </w:tabs>
            <w:spacing/>
            <w:ind/>
            <w:rPr/>
          </w:pPr>
          <w:hyperlink w:tooltip="#_Toc36" w:anchor="_Toc36" w:history="1">
            <w:r>
              <w:rPr>
                <w:rStyle w:val="911"/>
              </w:rPr>
            </w:r>
            <w:r>
              <w:rPr>
                <w:rStyle w:val="911"/>
                <w:rFonts w:ascii="Calibri" w:hAnsi="Calibri" w:eastAsia="Calibri" w:cs="Calibri"/>
                <w:b/>
                <w:bCs/>
                <w:lang w:val="es-ES"/>
              </w:rPr>
              <w:t xml:space="preserve">2.9.4 V-04 — Vista de despliegue e infraestructura</w:t>
            </w:r>
            <w:r>
              <w:rPr>
                <w:rStyle w:val="911"/>
              </w:rPr>
            </w:r>
            <w:r>
              <w:tab/>
              <w:fldChar w:fldCharType="begin"/>
              <w:instrText xml:space="preserve">PAGEREF _Toc36 \h</w:instrText>
              <w:fldChar w:fldCharType="separate"/>
              <w:t xml:space="preserve">27</w:t>
              <w:fldChar w:fldCharType="end"/>
            </w:r>
          </w:hyperlink>
          <w:r/>
        </w:p>
        <w:p w14:paraId="654FAAB4">
          <w:pPr>
            <w:pStyle w:val="892"/>
            <w:pBdr/>
            <w:tabs>
              <w:tab w:val="right" w:leader="dot" w:pos="9360"/>
            </w:tabs>
            <w:spacing/>
            <w:ind/>
            <w:rPr/>
          </w:pPr>
          <w:hyperlink w:tooltip="#_Toc37" w:anchor="_Toc37" w:history="1">
            <w:r>
              <w:rPr>
                <w:rStyle w:val="911"/>
              </w:rPr>
            </w:r>
            <w:r>
              <w:rPr>
                <w:rStyle w:val="911"/>
                <w:rFonts w:ascii="Calibri" w:hAnsi="Calibri" w:eastAsia="Calibri" w:cs="Calibri"/>
                <w:b/>
                <w:bCs/>
                <w:lang w:val="es-ES"/>
              </w:rPr>
              <w:t xml:space="preserve">2.9.5 V-05 — Vista de escenarios de operación</w:t>
            </w:r>
            <w:r>
              <w:rPr>
                <w:rStyle w:val="911"/>
              </w:rPr>
            </w:r>
            <w:r>
              <w:tab/>
              <w:fldChar w:fldCharType="begin"/>
              <w:instrText xml:space="preserve">PAGEREF _Toc37 \h</w:instrText>
              <w:fldChar w:fldCharType="separate"/>
              <w:t xml:space="preserve">27</w:t>
              <w:fldChar w:fldCharType="end"/>
            </w:r>
          </w:hyperlink>
          <w:r/>
        </w:p>
        <w:p w14:paraId="46144968">
          <w:pPr>
            <w:pStyle w:val="891"/>
            <w:pBdr/>
            <w:tabs>
              <w:tab w:val="right" w:leader="dot" w:pos="9360"/>
            </w:tabs>
            <w:spacing/>
            <w:ind/>
            <w:rPr/>
          </w:pPr>
          <w:hyperlink w:tooltip="#_Toc38" w:anchor="_Toc38" w:history="1">
            <w:r>
              <w:rPr>
                <w:rStyle w:val="911"/>
              </w:rPr>
            </w:r>
            <w:r>
              <w:rPr>
                <w:rStyle w:val="911"/>
                <w:rFonts w:ascii="Calibri" w:hAnsi="Calibri" w:eastAsia="Calibri" w:cs="Calibri"/>
                <w:b/>
                <w:bCs/>
                <w:lang w:val="es-ES"/>
              </w:rPr>
              <w:t xml:space="preserve">2.10 Correspondencias entre elementos</w:t>
            </w:r>
            <w:r>
              <w:rPr>
                <w:rStyle w:val="911"/>
              </w:rPr>
            </w:r>
            <w:r>
              <w:tab/>
              <w:fldChar w:fldCharType="begin"/>
              <w:instrText xml:space="preserve">PAGEREF _Toc38 \h</w:instrText>
              <w:fldChar w:fldCharType="separate"/>
              <w:t xml:space="preserve">29</w:t>
              <w:fldChar w:fldCharType="end"/>
            </w:r>
          </w:hyperlink>
          <w:r/>
        </w:p>
        <w:p w14:paraId="45F9DECD">
          <w:pPr>
            <w:pStyle w:val="891"/>
            <w:pBdr/>
            <w:tabs>
              <w:tab w:val="right" w:leader="dot" w:pos="9360"/>
            </w:tabs>
            <w:spacing/>
            <w:ind/>
            <w:rPr/>
          </w:pPr>
          <w:hyperlink w:tooltip="#_Toc39" w:anchor="_Toc39" w:history="1">
            <w:r>
              <w:rPr>
                <w:rStyle w:val="911"/>
              </w:rPr>
            </w:r>
            <w:r>
              <w:rPr>
                <w:rStyle w:val="911"/>
                <w:rFonts w:ascii="Calibri" w:hAnsi="Calibri" w:eastAsia="Calibri" w:cs="Calibri"/>
                <w:b/>
                <w:bCs/>
                <w:lang w:val="es-ES"/>
              </w:rPr>
              <w:t xml:space="preserve">2.11 Relación entre la arquitectura y los requisitos</w:t>
            </w:r>
            <w:r>
              <w:rPr>
                <w:rStyle w:val="911"/>
              </w:rPr>
            </w:r>
            <w:r>
              <w:tab/>
              <w:fldChar w:fldCharType="begin"/>
              <w:instrText xml:space="preserve">PAGEREF _Toc39 \h</w:instrText>
              <w:fldChar w:fldCharType="separate"/>
              <w:t xml:space="preserve">29</w:t>
              <w:fldChar w:fldCharType="end"/>
            </w:r>
          </w:hyperlink>
          <w:r/>
        </w:p>
        <w:p w14:paraId="541B88AF">
          <w:pPr>
            <w:pStyle w:val="892"/>
            <w:pBdr/>
            <w:tabs>
              <w:tab w:val="right" w:leader="dot" w:pos="9360"/>
            </w:tabs>
            <w:spacing/>
            <w:ind/>
            <w:rPr/>
          </w:pPr>
          <w:hyperlink w:tooltip="#_Toc40" w:anchor="_Toc40" w:history="1">
            <w:r>
              <w:rPr>
                <w:rStyle w:val="911"/>
              </w:rPr>
            </w:r>
            <w:r>
              <w:rPr>
                <w:rStyle w:val="911"/>
                <w:rFonts w:ascii="Calibri" w:hAnsi="Calibri" w:eastAsia="Calibri" w:cs="Calibri"/>
                <w:b/>
                <w:bCs/>
                <w:lang w:val="es-ES"/>
              </w:rPr>
              <w:t xml:space="preserve">2.11.1 Con los requisitos funcionales</w:t>
            </w:r>
            <w:r>
              <w:rPr>
                <w:rStyle w:val="911"/>
              </w:rPr>
            </w:r>
            <w:r>
              <w:tab/>
              <w:fldChar w:fldCharType="begin"/>
              <w:instrText xml:space="preserve">PAGEREF _Toc40 \h</w:instrText>
              <w:fldChar w:fldCharType="separate"/>
              <w:t xml:space="preserve">29</w:t>
              <w:fldChar w:fldCharType="end"/>
            </w:r>
          </w:hyperlink>
          <w:r/>
        </w:p>
        <w:p w14:paraId="286CF473">
          <w:pPr>
            <w:pStyle w:val="892"/>
            <w:pBdr/>
            <w:tabs>
              <w:tab w:val="right" w:leader="dot" w:pos="9360"/>
            </w:tabs>
            <w:spacing/>
            <w:ind/>
            <w:rPr/>
          </w:pPr>
          <w:hyperlink w:tooltip="#_Toc41" w:anchor="_Toc41" w:history="1">
            <w:r>
              <w:rPr>
                <w:rStyle w:val="911"/>
              </w:rPr>
            </w:r>
            <w:r>
              <w:rPr>
                <w:rStyle w:val="911"/>
                <w:rFonts w:ascii="Calibri" w:hAnsi="Calibri" w:eastAsia="Calibri" w:cs="Calibri"/>
                <w:b/>
                <w:bCs/>
                <w:lang w:val="es-ES"/>
              </w:rPr>
              <w:t xml:space="preserve">2.11.2 Con los requisitos no funcionales</w:t>
            </w:r>
            <w:r>
              <w:rPr>
                <w:rStyle w:val="911"/>
              </w:rPr>
            </w:r>
            <w:r>
              <w:tab/>
              <w:fldChar w:fldCharType="begin"/>
              <w:instrText xml:space="preserve">PAGEREF _Toc41 \h</w:instrText>
              <w:fldChar w:fldCharType="separate"/>
              <w:t xml:space="preserve">30</w:t>
              <w:fldChar w:fldCharType="end"/>
            </w:r>
          </w:hyperlink>
          <w:r/>
        </w:p>
        <w:p w14:paraId="6C815321">
          <w:pPr>
            <w:pStyle w:val="891"/>
            <w:pBdr/>
            <w:tabs>
              <w:tab w:val="right" w:leader="dot" w:pos="9360"/>
            </w:tabs>
            <w:spacing/>
            <w:ind/>
            <w:rPr/>
          </w:pPr>
          <w:hyperlink w:tooltip="#_Toc42" w:anchor="_Toc42" w:history="1">
            <w:r>
              <w:rPr>
                <w:rStyle w:val="911"/>
              </w:rPr>
            </w:r>
            <w:r>
              <w:rPr>
                <w:rStyle w:val="911"/>
                <w:rFonts w:ascii="Calibri" w:hAnsi="Calibri" w:eastAsia="Calibri" w:cs="Calibri"/>
                <w:b/>
                <w:bCs/>
                <w:lang w:val="es-ES"/>
              </w:rPr>
              <w:t xml:space="preserve">2.12 Verificación de cubrimiento</w:t>
            </w:r>
            <w:r>
              <w:rPr>
                <w:rStyle w:val="911"/>
              </w:rPr>
            </w:r>
            <w:r>
              <w:tab/>
              <w:fldChar w:fldCharType="begin"/>
              <w:instrText xml:space="preserve">PAGEREF _Toc42 \h</w:instrText>
              <w:fldChar w:fldCharType="separate"/>
              <w:t xml:space="preserve">31</w:t>
              <w:fldChar w:fldCharType="end"/>
            </w:r>
          </w:hyperlink>
          <w:r/>
        </w:p>
        <w:p w14:paraId="07909B86">
          <w:pPr>
            <w:pStyle w:val="891"/>
            <w:pBdr/>
            <w:tabs>
              <w:tab w:val="right" w:leader="dot" w:pos="9360"/>
            </w:tabs>
            <w:spacing/>
            <w:ind/>
            <w:rPr/>
          </w:pPr>
          <w:hyperlink w:tooltip="#_Toc43" w:anchor="_Toc43" w:history="1">
            <w:r>
              <w:rPr>
                <w:rStyle w:val="911"/>
              </w:rPr>
            </w:r>
            <w:r>
              <w:rPr>
                <w:rStyle w:val="911"/>
                <w:rFonts w:ascii="Calibri" w:hAnsi="Calibri" w:eastAsia="Calibri" w:cs="Calibri"/>
                <w:b/>
                <w:bCs/>
                <w:lang w:val="es-ES"/>
              </w:rPr>
              <w:t xml:space="preserve">2.13 Evaluación de la arquitectura</w:t>
            </w:r>
            <w:r>
              <w:rPr>
                <w:rStyle w:val="911"/>
              </w:rPr>
            </w:r>
            <w:r>
              <w:tab/>
              <w:fldChar w:fldCharType="begin"/>
              <w:instrText xml:space="preserve">PAGEREF _Toc43 \h</w:instrText>
              <w:fldChar w:fldCharType="separate"/>
              <w:t xml:space="preserve">32</w:t>
              <w:fldChar w:fldCharType="end"/>
            </w:r>
          </w:hyperlink>
          <w:r/>
        </w:p>
        <w:p w14:paraId="2B58E280">
          <w:pPr>
            <w:pStyle w:val="892"/>
            <w:pBdr/>
            <w:tabs>
              <w:tab w:val="right" w:leader="dot" w:pos="9360"/>
            </w:tabs>
            <w:spacing/>
            <w:ind/>
            <w:rPr/>
          </w:pPr>
          <w:hyperlink w:tooltip="#_Toc44" w:anchor="_Toc44" w:history="1">
            <w:r>
              <w:rPr>
                <w:rStyle w:val="911"/>
              </w:rPr>
            </w:r>
            <w:r>
              <w:rPr>
                <w:rStyle w:val="911"/>
                <w:rFonts w:ascii="Calibri" w:hAnsi="Calibri" w:eastAsia="Calibri" w:cs="Calibri"/>
                <w:b/>
                <w:bCs/>
                <w:lang w:val="es-ES"/>
              </w:rPr>
              <w:t xml:space="preserve">2.13.1 Las virtudes vitruvianas y la pregunta de factibilidad</w:t>
            </w:r>
            <w:r>
              <w:rPr>
                <w:rStyle w:val="911"/>
              </w:rPr>
            </w:r>
            <w:r>
              <w:tab/>
              <w:fldChar w:fldCharType="begin"/>
              <w:instrText xml:space="preserve">PAGEREF _Toc44 \h</w:instrText>
              <w:fldChar w:fldCharType="separate"/>
              <w:t xml:space="preserve">32</w:t>
              <w:fldChar w:fldCharType="end"/>
            </w:r>
          </w:hyperlink>
          <w:r/>
        </w:p>
        <w:p w14:paraId="2A0DE00D">
          <w:pPr>
            <w:pStyle w:val="892"/>
            <w:pBdr/>
            <w:tabs>
              <w:tab w:val="right" w:leader="dot" w:pos="9360"/>
            </w:tabs>
            <w:spacing/>
            <w:ind/>
            <w:rPr/>
          </w:pPr>
          <w:hyperlink w:tooltip="#_Toc45" w:anchor="_Toc45" w:history="1">
            <w:r>
              <w:rPr>
                <w:rStyle w:val="911"/>
              </w:rPr>
            </w:r>
            <w:r>
              <w:rPr>
                <w:rStyle w:val="911"/>
                <w:rFonts w:ascii="Calibri" w:hAnsi="Calibri" w:eastAsia="Calibri" w:cs="Calibri"/>
                <w:b/>
                <w:bCs/>
                <w:lang w:val="es-ES"/>
              </w:rPr>
              <w:t xml:space="preserve">2.13.2 Compensaciones evaluadas</w:t>
            </w:r>
            <w:r>
              <w:rPr>
                <w:rStyle w:val="911"/>
              </w:rPr>
            </w:r>
            <w:r>
              <w:tab/>
              <w:fldChar w:fldCharType="begin"/>
              <w:instrText xml:space="preserve">PAGEREF _Toc45 \h</w:instrText>
              <w:fldChar w:fldCharType="separate"/>
              <w:t xml:space="preserve">32</w:t>
              <w:fldChar w:fldCharType="end"/>
            </w:r>
          </w:hyperlink>
          <w:r/>
        </w:p>
        <w:p w14:paraId="55B7A5A9">
          <w:pPr>
            <w:pStyle w:val="890"/>
            <w:pBdr/>
            <w:tabs>
              <w:tab w:val="right" w:leader="dot" w:pos="9360"/>
            </w:tabs>
            <w:spacing/>
            <w:ind/>
            <w:rPr/>
          </w:pPr>
          <w:hyperlink w:tooltip="#_Toc46" w:anchor="_Toc46" w:history="1">
            <w:r>
              <w:rPr>
                <w:rStyle w:val="911"/>
              </w:rPr>
            </w:r>
            <w:r>
              <w:rPr>
                <w:rStyle w:val="911"/>
                <w:rFonts w:ascii="Calibri" w:hAnsi="Calibri" w:eastAsia="Calibri" w:cs="Calibri"/>
                <w:b/>
                <w:bCs/>
                <w:lang w:val="es-ES"/>
              </w:rPr>
              <w:t xml:space="preserve">3. Conclusiones</w:t>
            </w:r>
            <w:r>
              <w:rPr>
                <w:rStyle w:val="911"/>
              </w:rPr>
            </w:r>
            <w:r>
              <w:tab/>
              <w:fldChar w:fldCharType="begin"/>
              <w:instrText xml:space="preserve">PAGEREF _Toc46 \h</w:instrText>
              <w:fldChar w:fldCharType="separate"/>
              <w:t xml:space="preserve">34</w:t>
              <w:fldChar w:fldCharType="end"/>
            </w:r>
          </w:hyperlink>
          <w:r/>
        </w:p>
        <w:p w14:paraId="7016FD1F">
          <w:pPr>
            <w:pStyle w:val="890"/>
            <w:pBdr/>
            <w:tabs>
              <w:tab w:val="right" w:leader="dot" w:pos="9360"/>
            </w:tabs>
            <w:spacing/>
            <w:ind/>
            <w:rPr/>
          </w:pPr>
          <w:hyperlink w:tooltip="#_Toc47" w:anchor="_Toc47" w:history="1">
            <w:r>
              <w:rPr>
                <w:rStyle w:val="911"/>
              </w:rPr>
            </w:r>
            <w:r>
              <w:rPr>
                <w:rStyle w:val="911"/>
                <w:rFonts w:ascii="Calibri" w:hAnsi="Calibri" w:eastAsia="Calibri" w:cs="Calibri"/>
                <w:b/>
                <w:bCs/>
                <w:lang w:val="es-ES"/>
              </w:rPr>
              <w:t xml:space="preserve">4. Referencias normativas y bibliográficas</w:t>
            </w:r>
            <w:r>
              <w:rPr>
                <w:rStyle w:val="911"/>
                <w:lang w:val="es-ES"/>
              </w:rPr>
            </w:r>
            <w:r>
              <w:tab/>
              <w:fldChar w:fldCharType="begin"/>
              <w:instrText xml:space="preserve">PAGEREF _Toc47 \h</w:instrText>
              <w:fldChar w:fldCharType="separate"/>
              <w:t xml:space="preserve">36</w:t>
              <w:fldChar w:fldCharType="end"/>
            </w:r>
          </w:hyperlink>
          <w:r>
            <w:rPr>
              <w:lang w:val="es-ES"/>
            </w:rPr>
          </w:r>
        </w:p>
        <w:p w14:paraId="610C6389">
          <w:pPr>
            <w:pStyle w:val="890"/>
            <w:pBdr/>
            <w:tabs>
              <w:tab w:val="right" w:leader="dot" w:pos="9360"/>
            </w:tabs>
            <w:spacing/>
            <w:ind/>
            <w:rPr/>
          </w:pPr>
          <w:hyperlink w:tooltip="#_Toc48" w:anchor="_Toc48" w:history="1">
            <w:r>
              <w:rPr>
                <w:rStyle w:val="911"/>
              </w:rPr>
            </w:r>
            <w:r>
              <w:rPr>
                <w:rStyle w:val="911"/>
                <w:rFonts w:ascii="Calibri" w:hAnsi="Calibri" w:eastAsia="Calibri" w:cs="Calibri"/>
                <w:b/>
                <w:bCs/>
                <w:lang w:val="es-ES"/>
              </w:rPr>
              <w:t xml:space="preserve">5. Anexos</w:t>
            </w:r>
            <w:r>
              <w:rPr>
                <w:rStyle w:val="911"/>
              </w:rPr>
            </w:r>
            <w:r>
              <w:tab/>
              <w:fldChar w:fldCharType="begin"/>
              <w:instrText xml:space="preserve">PAGEREF _Toc48 \h</w:instrText>
              <w:fldChar w:fldCharType="separate"/>
              <w:t xml:space="preserve">38</w:t>
              <w:fldChar w:fldCharType="end"/>
            </w:r>
          </w:hyperlink>
          <w:r/>
        </w:p>
        <w:p w14:paraId="1D62F418">
          <w:pPr>
            <w:pStyle w:val="891"/>
            <w:pBdr/>
            <w:tabs>
              <w:tab w:val="right" w:leader="dot" w:pos="9360"/>
            </w:tabs>
            <w:spacing/>
            <w:ind/>
            <w:rPr/>
          </w:pPr>
          <w:hyperlink w:tooltip="#_Toc49" w:anchor="_Toc49" w:history="1">
            <w:r>
              <w:rPr>
                <w:rStyle w:val="911"/>
              </w:rPr>
            </w:r>
            <w:r>
              <w:rPr>
                <w:rStyle w:val="911"/>
                <w:rFonts w:ascii="Calibri" w:hAnsi="Calibri" w:eastAsia="Calibri" w:cs="Calibri"/>
                <w:b/>
                <w:bCs/>
                <w:lang w:val="es-ES"/>
              </w:rPr>
              <w:t xml:space="preserve">Anexo A — Vista de capas y responsabilidades (V-01)</w:t>
            </w:r>
            <w:r>
              <w:rPr>
                <w:rStyle w:val="911"/>
                <w:lang w:val="es-ES"/>
              </w:rPr>
            </w:r>
            <w:r>
              <w:tab/>
              <w:fldChar w:fldCharType="begin"/>
              <w:instrText xml:space="preserve">PAGEREF _Toc49 \h</w:instrText>
              <w:fldChar w:fldCharType="separate"/>
              <w:t xml:space="preserve">38</w:t>
              <w:fldChar w:fldCharType="end"/>
            </w:r>
          </w:hyperlink>
          <w:r>
            <w:rPr>
              <w:lang w:val="es-ES"/>
            </w:rPr>
          </w:r>
        </w:p>
        <w:p w14:paraId="29B15CAB">
          <w:pPr>
            <w:pStyle w:val="891"/>
            <w:pBdr/>
            <w:tabs>
              <w:tab w:val="right" w:leader="dot" w:pos="9360"/>
            </w:tabs>
            <w:spacing/>
            <w:ind/>
            <w:rPr/>
          </w:pPr>
          <w:hyperlink w:tooltip="#_Toc50" w:anchor="_Toc50" w:history="1">
            <w:r>
              <w:rPr>
                <w:rStyle w:val="911"/>
              </w:rPr>
            </w:r>
            <w:r>
              <w:rPr>
                <w:rStyle w:val="911"/>
                <w:rFonts w:ascii="Calibri" w:hAnsi="Calibri" w:eastAsia="Calibri" w:cs="Calibri"/>
                <w:b/>
                <w:bCs/>
                <w:lang w:val="es-ES"/>
              </w:rPr>
              <w:t xml:space="preserve">Anexo B — Vista de módulos y flujos (V-02)</w:t>
            </w:r>
            <w:r>
              <w:rPr>
                <w:rStyle w:val="911"/>
                <w:lang w:val="es-ES"/>
              </w:rPr>
            </w:r>
            <w:r>
              <w:tab/>
              <w:fldChar w:fldCharType="begin"/>
              <w:instrText xml:space="preserve">PAGEREF _Toc50 \h</w:instrText>
              <w:fldChar w:fldCharType="separate"/>
              <w:t xml:space="preserve">39</w:t>
              <w:fldChar w:fldCharType="end"/>
            </w:r>
          </w:hyperlink>
          <w:r>
            <w:rPr>
              <w:lang w:val="es-ES"/>
            </w:rPr>
          </w:r>
        </w:p>
        <w:p w14:paraId="01A4726A">
          <w:pPr>
            <w:pStyle w:val="891"/>
            <w:pBdr/>
            <w:tabs>
              <w:tab w:val="right" w:leader="dot" w:pos="9360"/>
            </w:tabs>
            <w:spacing/>
            <w:ind/>
            <w:rPr/>
          </w:pPr>
          <w:hyperlink w:tooltip="#_Toc51" w:anchor="_Toc51" w:history="1">
            <w:r>
              <w:rPr>
                <w:rStyle w:val="911"/>
              </w:rPr>
            </w:r>
            <w:r>
              <w:rPr>
                <w:rStyle w:val="911"/>
                <w:rFonts w:ascii="Calibri" w:hAnsi="Calibri" w:eastAsia="Calibri" w:cs="Calibri"/>
                <w:b/>
                <w:bCs/>
                <w:lang w:val="es-ES"/>
              </w:rPr>
              <w:t xml:space="preserve">Anexo C — Vista de despliegue e infraestructura (V-04)</w:t>
            </w:r>
            <w:r>
              <w:rPr>
                <w:rStyle w:val="911"/>
                <w:lang w:val="es-ES"/>
              </w:rPr>
            </w:r>
            <w:r>
              <w:tab/>
              <w:fldChar w:fldCharType="begin"/>
              <w:instrText xml:space="preserve">PAGEREF _Toc51 \h</w:instrText>
              <w:fldChar w:fldCharType="separate"/>
              <w:t xml:space="preserve">40</w:t>
              <w:fldChar w:fldCharType="end"/>
            </w:r>
          </w:hyperlink>
          <w:r>
            <w:rPr>
              <w:lang w:val="es-ES"/>
            </w:rPr>
          </w:r>
        </w:p>
        <w:p w14:paraId="43FDB3D7">
          <w:pPr>
            <w:pStyle w:val="891"/>
            <w:pBdr/>
            <w:tabs>
              <w:tab w:val="right" w:leader="dot" w:pos="9360"/>
            </w:tabs>
            <w:spacing/>
            <w:ind/>
            <w:rPr/>
          </w:pPr>
          <w:hyperlink w:tooltip="#_Toc52" w:anchor="_Toc52" w:history="1">
            <w:r>
              <w:rPr>
                <w:rStyle w:val="911"/>
              </w:rPr>
            </w:r>
            <w:r>
              <w:rPr>
                <w:rStyle w:val="911"/>
                <w:rFonts w:ascii="Calibri" w:hAnsi="Calibri" w:eastAsia="Calibri" w:cs="Calibri"/>
                <w:b/>
                <w:bCs/>
                <w:lang w:val="es-ES"/>
              </w:rPr>
              <w:t xml:space="preserve">Anexo D — Vista de escenarios: emisión de una cotización (V-05)</w:t>
            </w:r>
            <w:r>
              <w:rPr>
                <w:rStyle w:val="911"/>
                <w:lang w:val="es-ES"/>
              </w:rPr>
            </w:r>
            <w:r>
              <w:tab/>
              <w:fldChar w:fldCharType="begin"/>
              <w:instrText xml:space="preserve">PAGEREF _Toc52 \h</w:instrText>
              <w:fldChar w:fldCharType="separate"/>
              <w:t xml:space="preserve">41</w:t>
              <w:fldChar w:fldCharType="end"/>
            </w:r>
          </w:hyperlink>
          <w:r>
            <w:rPr>
              <w:lang w:val="es-ES"/>
            </w:rPr>
          </w:r>
        </w:p>
        <w:p w14:paraId="5ABBFF31">
          <w:pPr>
            <w:pStyle w:val="891"/>
            <w:pBdr/>
            <w:tabs>
              <w:tab w:val="right" w:leader="dot" w:pos="9360"/>
            </w:tabs>
            <w:spacing/>
            <w:ind/>
            <w:rPr/>
          </w:pPr>
          <w:hyperlink w:tooltip="#_Toc53" w:anchor="_Toc53" w:history="1">
            <w:r>
              <w:rPr>
                <w:rStyle w:val="911"/>
              </w:rPr>
            </w:r>
            <w:r>
              <w:rPr>
                <w:rStyle w:val="911"/>
                <w:rFonts w:ascii="Calibri" w:hAnsi="Calibri" w:eastAsia="Calibri" w:cs="Calibri"/>
                <w:b/>
                <w:bCs/>
                <w:lang w:val="es-ES"/>
              </w:rPr>
              <w:t xml:space="preserve">Anexo E — Descarte razonado de la taxonomía del SWEBOK v4</w:t>
            </w:r>
            <w:r>
              <w:rPr>
                <w:rStyle w:val="911"/>
                <w:lang w:val="es-ES"/>
              </w:rPr>
            </w:r>
            <w:r>
              <w:tab/>
              <w:fldChar w:fldCharType="begin"/>
              <w:instrText xml:space="preserve">PAGEREF _Toc53 \h</w:instrText>
              <w:fldChar w:fldCharType="separate"/>
              <w:t xml:space="preserve">42</w:t>
              <w:fldChar w:fldCharType="end"/>
            </w:r>
          </w:hyperlink>
          <w:r>
            <w:rPr>
              <w:lang w:val="es-ES"/>
            </w:rPr>
          </w:r>
        </w:p>
        <w:p w14:paraId="72BAB5D7">
          <w:pPr>
            <w:pStyle w:val="891"/>
            <w:pBdr/>
            <w:tabs>
              <w:tab w:val="right" w:leader="dot" w:pos="9360"/>
            </w:tabs>
            <w:spacing/>
            <w:ind/>
            <w:rPr/>
          </w:pPr>
          <w:hyperlink w:tooltip="#_Toc54" w:anchor="_Toc54" w:history="1">
            <w:r>
              <w:rPr>
                <w:rStyle w:val="911"/>
              </w:rPr>
            </w:r>
            <w:r>
              <w:rPr>
                <w:rStyle w:val="911"/>
                <w:rFonts w:ascii="Calibri" w:hAnsi="Calibri" w:eastAsia="Calibri" w:cs="Calibri"/>
                <w:b/>
                <w:bCs/>
                <w:lang w:val="es-ES"/>
              </w:rPr>
              <w:t xml:space="preserve">Anexo F — Detalle del cálculo de la matriz ponderada</w:t>
            </w:r>
            <w:r>
              <w:rPr>
                <w:rStyle w:val="911"/>
                <w:lang w:val="es-ES"/>
              </w:rPr>
            </w:r>
            <w:r>
              <w:tab/>
              <w:fldChar w:fldCharType="begin"/>
              <w:instrText xml:space="preserve">PAGEREF _Toc54 \h</w:instrText>
              <w:fldChar w:fldCharType="separate"/>
              <w:t xml:space="preserve">44</w:t>
              <w:fldChar w:fldCharType="end"/>
            </w:r>
          </w:hyperlink>
          <w:r>
            <w:rPr>
              <w:lang w:val="es-ES"/>
            </w:rPr>
          </w:r>
        </w:p>
        <w:p w14:paraId="41BBDCD3">
          <w:pPr>
            <w:pStyle w:val="891"/>
            <w:pBdr/>
            <w:tabs>
              <w:tab w:val="right" w:leader="dot" w:pos="9360"/>
            </w:tabs>
            <w:spacing/>
            <w:ind/>
            <w:rPr/>
          </w:pPr>
          <w:hyperlink w:tooltip="#_Toc55" w:anchor="_Toc55" w:history="1">
            <w:r>
              <w:rPr>
                <w:rStyle w:val="911"/>
              </w:rPr>
            </w:r>
            <w:r>
              <w:rPr>
                <w:rStyle w:val="911"/>
                <w:rFonts w:ascii="Calibri" w:hAnsi="Calibri" w:eastAsia="Calibri" w:cs="Calibri"/>
                <w:b/>
                <w:bCs/>
                <w:lang w:val="es-ES"/>
              </w:rPr>
              <w:t xml:space="preserve">Anexo G — Resumen ejecutivo</w:t>
            </w:r>
            <w:r>
              <w:rPr>
                <w:rStyle w:val="911"/>
                <w:lang w:val="es-ES"/>
              </w:rPr>
            </w:r>
            <w:r>
              <w:tab/>
              <w:fldChar w:fldCharType="begin"/>
              <w:instrText xml:space="preserve">PAGEREF _Toc55 \h</w:instrText>
              <w:fldChar w:fldCharType="separate"/>
              <w:t xml:space="preserve">44</w:t>
              <w:fldChar w:fldCharType="end"/>
            </w:r>
          </w:hyperlink>
          <w:r>
            <w:rPr>
              <w:lang w:val="es-ES"/>
            </w:rPr>
          </w:r>
        </w:p>
        <w:p w14:paraId="6DD691BD">
          <w:pPr>
            <w:pBdr/>
            <w:spacing/>
            <w:ind/>
            <w:rPr>
              <w:lang w:val="es-ES"/>
            </w:rPr>
          </w:pPr>
          <w:r>
            <w:rPr>
              <w:lang w:val="es-ES"/>
            </w:rPr>
            <w:fldChar w:fldCharType="end"/>
          </w:r>
          <w:r/>
        </w:p>
      </w:sdtContent>
    </w:sdt>
    <w:p>
      <w:pPr>
        <w:pBdr/>
        <w:spacing/>
        <w:ind/>
        <w:rPr>
          <w:lang w:val="es-ES"/>
        </w:rPr>
      </w:pPr>
      <w:r>
        <w:rPr>
          <w:lang w:val="es-ES"/>
        </w:rPr>
        <w:br w:type="page" w:clear="all"/>
      </w:r>
    </w:p>
    <w:p>
      <w:pPr>
        <w:pStyle w:val="903"/>
        <w:keepNext w:val="true"/>
        <w:pBdr/>
        <w:spacing w:after="180" w:before="320"/>
        <w:ind/>
        <w:rPr>
          <w:color w:val="000000" w:themeColor="text1"/>
        </w:rPr>
      </w:pPr>
      <w:r/>
      <w:bookmarkStart w:id="2" w:name="_Toc2"/>
      <w:r>
        <w:rPr>
          <w:rFonts w:ascii="Calibri" w:hAnsi="Calibri" w:eastAsia="Calibri" w:cs="Calibri"/>
          <w:b/>
          <w:bCs/>
          <w:color w:val="000000" w:themeColor="text1"/>
          <w:sz w:val="30"/>
          <w:szCs w:val="30"/>
          <w:lang w:val="es-ES"/>
        </w:rPr>
        <w:t xml:space="preserve">1. Introducción</w:t>
      </w:r>
      <w:r/>
      <w:bookmarkEnd w:id="2"/>
      <w:r/>
      <w:r>
        <w:rPr>
          <w:color w:val="000000" w:themeColor="text1"/>
        </w:rPr>
      </w:r>
    </w:p>
    <w:p>
      <w:pPr>
        <w:pStyle w:val="904"/>
        <w:keepNext w:val="true"/>
        <w:pBdr/>
        <w:spacing w:after="140" w:before="280"/>
        <w:ind/>
        <w:rPr>
          <w:color w:val="000000" w:themeColor="text1"/>
        </w:rPr>
      </w:pPr>
      <w:r/>
      <w:bookmarkStart w:id="3" w:name="_Toc3"/>
      <w:r>
        <w:rPr>
          <w:rFonts w:ascii="Calibri" w:hAnsi="Calibri" w:eastAsia="Calibri" w:cs="Calibri"/>
          <w:b/>
          <w:bCs/>
          <w:color w:val="000000" w:themeColor="text1"/>
          <w:sz w:val="25"/>
          <w:szCs w:val="25"/>
          <w:lang w:val="es-ES"/>
        </w:rPr>
        <w:t xml:space="preserve">1.1 Propósito del documento</w:t>
      </w:r>
      <w:r/>
      <w:bookmarkEnd w:id="3"/>
      <w:r/>
      <w:r>
        <w:rPr>
          <w:color w:val="000000" w:themeColor="text1"/>
        </w:rPr>
      </w:r>
    </w:p>
    <w:p>
      <w:pPr>
        <w:pBdr/>
        <w:spacing w:after="140" w:line="276" w:lineRule="auto"/>
        <w:ind/>
        <w:jc w:val="both"/>
        <w:rPr>
          <w:lang w:val="es-ES"/>
        </w:rPr>
      </w:pPr>
      <w:r>
        <w:rPr>
          <w:rFonts w:ascii="Calibri" w:hAnsi="Calibri" w:eastAsia="Calibri" w:cs="Calibri"/>
          <w:color w:val="000000"/>
          <w:sz w:val="21"/>
          <w:szCs w:val="21"/>
          <w:lang w:val="es-ES"/>
        </w:rPr>
        <w:t xml:space="preserve">El presente documento constituye la Descripción de Arquitectura (DA) de la plataforma web B2B de emparejamiento comercial AbasteceNi. Su propósito es dejar constancia formal de la decisión arquitectónica adoptada por el equipo, de las alternativas que fueron evaluadas y descartadas, de los criterios que inclinaron la elección y de la manera en que la estructura resultante satisface los requisitos previamente especificados.</w:t>
      </w:r>
      <w:r>
        <w:rPr>
          <w:lang w:val="es-ES"/>
        </w:rPr>
      </w:r>
    </w:p>
    <w:p>
      <w:pPr>
        <w:pBdr/>
        <w:spacing w:after="140" w:line="276" w:lineRule="auto"/>
        <w:ind/>
        <w:jc w:val="both"/>
        <w:rPr>
          <w:lang w:val="es-ES"/>
        </w:rPr>
      </w:pPr>
      <w:r>
        <w:rPr>
          <w:rFonts w:ascii="Calibri" w:hAnsi="Calibri" w:eastAsia="Calibri" w:cs="Calibri"/>
          <w:color w:val="000000"/>
          <w:sz w:val="21"/>
          <w:szCs w:val="21"/>
          <w:lang w:val="es-ES"/>
        </w:rPr>
        <w:t xml:space="preserve">El documento se redacta conforme a la norma ISO/IEC/IEEE 42010:2022, que define la Descripción de Arquitectura como el producto de trabajo utilizado para expresar una arquitectura, y establece en su Cláusula 6 el conjunto mínimo de elementos que dicha descripción debe contener: identificación de interesados, perspectivas, preocupaciones, aspectos de la entidad de interés, puntos de vista, vistas, correspondencias entre elementos y decisiones acompañadas de su justificación. Complementariamente, el marco conceptual y el proceso de diseño se sustentan en el Capítulo 02 del SWEBOK v4.0a, área de conocimiento que en esta versión de la guía adquiere por primera vez rango independiente respecto del diseño de software.</w:t>
      </w:r>
      <w:r>
        <w:rPr>
          <w:lang w:val="es-ES"/>
        </w:rPr>
      </w:r>
    </w:p>
    <w:p>
      <w:pPr>
        <w:pBdr/>
        <w:spacing w:after="140" w:line="276" w:lineRule="auto"/>
        <w:ind/>
        <w:jc w:val="both"/>
        <w:rPr>
          <w:lang w:val="es-ES"/>
        </w:rPr>
      </w:pPr>
      <w:r>
        <w:rPr>
          <w:rFonts w:ascii="Calibri" w:hAnsi="Calibri" w:eastAsia="Calibri" w:cs="Calibri"/>
          <w:color w:val="000000"/>
          <w:sz w:val="21"/>
          <w:szCs w:val="21"/>
          <w:lang w:val="es-ES"/>
        </w:rPr>
        <w:t xml:space="preserve">Conviene declarar con precisión qué se pretende con este entregable. No se trata de un documento de diseño detallado. Conforme al SWEBOK, la arquitectura es </w:t>
      </w:r>
      <w:r>
        <w:rPr>
          <w:rFonts w:ascii="Calibri" w:hAnsi="Calibri" w:eastAsia="Calibri" w:cs="Calibri"/>
          <w:i/>
          <w:iCs/>
          <w:color w:val="000000"/>
          <w:sz w:val="21"/>
          <w:szCs w:val="21"/>
          <w:lang w:val="es-ES"/>
        </w:rPr>
        <w:t xml:space="preserve">el conjunto de decisiones que no puede confiarse a los diseñadores de detalle</w:t>
      </w:r>
      <w:r>
        <w:rPr>
          <w:rFonts w:ascii="Calibri" w:hAnsi="Calibri" w:eastAsia="Calibri" w:cs="Calibri"/>
          <w:color w:val="000000"/>
          <w:sz w:val="21"/>
          <w:szCs w:val="21"/>
          <w:lang w:val="es-ES"/>
        </w:rPr>
        <w:t xml:space="preserve">; en consecuencia, aquí se deciden las fronteras entre módulos, la dirección de las dependencias, el modo de comunicación entre partes y la estrategia de despliegue, mientras que los algoritmos internos de cada componente, el modelo entidad-relación completo y el diseño de las pantallas quedan deliberadamente aplazados a fases posteriores.</w:t>
      </w:r>
      <w:r>
        <w:rPr>
          <w:lang w:val="es-ES"/>
        </w:rPr>
      </w:r>
    </w:p>
    <w:p>
      <w:pPr>
        <w:pStyle w:val="904"/>
        <w:keepNext w:val="true"/>
        <w:pBdr/>
        <w:spacing w:after="140" w:before="280"/>
        <w:ind/>
        <w:rPr>
          <w:color w:val="000000" w:themeColor="text1"/>
        </w:rPr>
      </w:pPr>
      <w:r/>
      <w:bookmarkStart w:id="4" w:name="_Toc4"/>
      <w:r>
        <w:rPr>
          <w:rFonts w:ascii="Calibri" w:hAnsi="Calibri" w:eastAsia="Calibri" w:cs="Calibri"/>
          <w:b/>
          <w:bCs/>
          <w:color w:val="000000" w:themeColor="text1"/>
          <w:sz w:val="25"/>
          <w:szCs w:val="25"/>
          <w:lang w:val="es-ES"/>
        </w:rPr>
        <w:t xml:space="preserve">1.2 Relación con el documento de levantamiento de requerimientos</w:t>
      </w:r>
      <w:r/>
      <w:bookmarkEnd w:id="4"/>
      <w:r/>
      <w:r>
        <w:rPr>
          <w:color w:val="000000" w:themeColor="text1"/>
        </w:rPr>
      </w:r>
    </w:p>
    <w:p>
      <w:pPr>
        <w:pBdr/>
        <w:spacing w:after="140" w:line="276" w:lineRule="auto"/>
        <w:ind/>
        <w:jc w:val="both"/>
        <w:rPr>
          <w:lang w:val="es-ES"/>
        </w:rPr>
      </w:pPr>
      <w:r>
        <w:rPr>
          <w:rFonts w:ascii="Calibri" w:hAnsi="Calibri" w:eastAsia="Calibri" w:cs="Calibri"/>
          <w:color w:val="000000"/>
          <w:sz w:val="21"/>
          <w:szCs w:val="21"/>
          <w:lang w:val="es-ES"/>
        </w:rPr>
        <w:t xml:space="preserve">Este documento es el tercer entregable del proyecto y toma como entrada directa el segundo. El Documento de Levantamiento de Requerimientos, elaborado conforme a ISO/IEC/IEEE 29148:2011 y al Capítulo 01 del SWEBOK v4.0a, produjo un catálogo de 53 requisitos —37 funcionales y 16 no funcionales— trazados hacia tres objetivos de alto nivel de las partes interesadas (O-StRS-01, O-StRS-02 y O-StRS-03), que a su vez derivan de los objetivos de negocio establecidos en el Objeto de Estudio, primer entregable de la serie.</w:t>
      </w:r>
      <w:r>
        <w:rPr>
          <w:lang w:val="es-ES"/>
        </w:rPr>
      </w:r>
    </w:p>
    <w:p>
      <w:pPr>
        <w:pBdr/>
        <w:spacing w:after="140" w:line="276" w:lineRule="auto"/>
        <w:ind/>
        <w:jc w:val="both"/>
        <w:rPr>
          <w:lang w:val="es-ES"/>
        </w:rPr>
      </w:pPr>
      <w:r>
        <w:rPr>
          <w:rFonts w:ascii="Calibri" w:hAnsi="Calibri" w:eastAsia="Calibri" w:cs="Calibri"/>
          <w:color w:val="000000"/>
          <w:sz w:val="21"/>
          <w:szCs w:val="21"/>
          <w:lang w:val="es-ES"/>
        </w:rPr>
        <w:t xml:space="preserve">Aquel documento se cerró declarando explícitamente que las decisiones de arquitectura, selección tecnológica y estrategia de despliegue quedaban fuera de su alcance, en coherencia con el principio normativo según el cual un requisito bien formado establece el qué debe hacer el sistema y no el cómo habrá de construirse. La presente Descripción de Arquitectura retoma exactamente ese punto: toma el catálogo como entrada y responde a la pregunta aplazada.</w:t>
      </w:r>
      <w:r>
        <w:rPr>
          <w:lang w:val="es-ES"/>
        </w:rPr>
      </w:r>
    </w:p>
    <w:p>
      <w:pPr>
        <w:pBdr/>
        <w:spacing w:after="140" w:line="276" w:lineRule="auto"/>
        <w:ind/>
        <w:jc w:val="both"/>
        <w:rPr>
          <w:lang w:val="es-ES"/>
        </w:rPr>
      </w:pPr>
      <w:r>
        <w:rPr>
          <w:rFonts w:ascii="Calibri" w:hAnsi="Calibri" w:eastAsia="Calibri" w:cs="Calibri"/>
          <w:color w:val="000000"/>
          <w:sz w:val="21"/>
          <w:szCs w:val="21"/>
          <w:lang w:val="es-ES"/>
        </w:rPr>
        <w:t xml:space="preserve">El vínculo entre ambos documentos no es meramente narrativo. El SWEBOK establece que los Requisitos Arquitectónicamente Significativos (ASR) son los impulsores principales de toda decisión arquitectónica. La sección 2.2 identifica, dentro de los 53 requisitos del catálogo, cuáles poseen esa condición y por qué; y la sección 2.11 demuestra, requisito por requisito, de qué manera concreta la arquitectura elegida los satisface. Los identificadores originales (SYS-FN-nn y SYS-NFN-nn) se conservan sin alteración para preservar la trazabilidad entre entregables.</w:t>
      </w:r>
      <w:r>
        <w:rPr>
          <w:lang w:val="es-ES"/>
        </w:rPr>
      </w:r>
    </w:p>
    <w:p>
      <w:pPr>
        <w:pStyle w:val="904"/>
        <w:keepNext w:val="true"/>
        <w:pBdr/>
        <w:spacing w:after="140" w:before="280"/>
        <w:ind/>
        <w:rPr>
          <w:color w:val="000000" w:themeColor="text1"/>
        </w:rPr>
      </w:pPr>
      <w:r/>
      <w:bookmarkStart w:id="5" w:name="_Toc5"/>
      <w:r>
        <w:rPr>
          <w:rFonts w:ascii="Calibri" w:hAnsi="Calibri" w:eastAsia="Calibri" w:cs="Calibri"/>
          <w:b/>
          <w:bCs/>
          <w:color w:val="000000" w:themeColor="text1"/>
          <w:sz w:val="25"/>
          <w:szCs w:val="25"/>
          <w:lang w:val="es-ES"/>
        </w:rPr>
        <w:t xml:space="preserve">1.3 Alcance de esta Descripción de Arquitectura</w:t>
      </w:r>
      <w:r/>
      <w:bookmarkEnd w:id="5"/>
      <w:r/>
      <w:r>
        <w:rPr>
          <w:color w:val="000000" w:themeColor="text1"/>
        </w:rPr>
      </w:r>
    </w:p>
    <w:p>
      <w:pPr>
        <w:pBdr/>
        <w:spacing w:after="140" w:line="276" w:lineRule="auto"/>
        <w:ind/>
        <w:jc w:val="both"/>
        <w:rPr>
          <w:color w:val="000000" w:themeColor="text1"/>
        </w:rPr>
      </w:pPr>
      <w:r>
        <w:rPr>
          <w:rFonts w:ascii="Calibri" w:hAnsi="Calibri" w:eastAsia="Calibri" w:cs="Calibri"/>
          <w:color w:val="000000" w:themeColor="text1"/>
          <w:sz w:val="21"/>
          <w:szCs w:val="21"/>
          <w:lang w:val="es-ES"/>
        </w:rPr>
        <w:t xml:space="preserve">Se incluye dentro del alcance de este documento:</w:t>
      </w:r>
      <w:r>
        <w:rPr>
          <w:color w:val="000000" w:themeColor="text1"/>
        </w:rPr>
      </w:r>
    </w:p>
    <w:p>
      <w:pPr>
        <w:pStyle w:val="910"/>
        <w:numPr>
          <w:ilvl w:val="0"/>
          <w:numId w:val="2"/>
        </w:numPr>
        <w:pBdr/>
        <w:spacing w:after="90" w:line="270" w:lineRule="auto"/>
        <w:ind/>
        <w:jc w:val="both"/>
        <w:rPr>
          <w:color w:val="000000" w:themeColor="text1"/>
        </w:rPr>
      </w:pPr>
      <w:r>
        <w:rPr>
          <w:rFonts w:ascii="Calibri" w:hAnsi="Calibri" w:eastAsia="Calibri" w:cs="Calibri"/>
          <w:color w:val="000000" w:themeColor="text1"/>
          <w:sz w:val="21"/>
          <w:szCs w:val="21"/>
          <w:lang w:val="es-ES"/>
        </w:rPr>
        <w:t xml:space="preserve">La identificación de los interesados, sus perspectivas y sus preocupaciones arquitectónicas.</w:t>
      </w:r>
      <w:r>
        <w:rPr>
          <w:color w:val="000000" w:themeColor="text1"/>
        </w:rPr>
      </w:r>
    </w:p>
    <w:p>
      <w:pPr>
        <w:pStyle w:val="910"/>
        <w:numPr>
          <w:ilvl w:val="0"/>
          <w:numId w:val="2"/>
        </w:numPr>
        <w:pBdr/>
        <w:spacing w:after="90" w:line="270" w:lineRule="auto"/>
        <w:ind/>
        <w:jc w:val="both"/>
        <w:rPr>
          <w:color w:val="000000" w:themeColor="text1"/>
        </w:rPr>
      </w:pPr>
      <w:r>
        <w:rPr>
          <w:rFonts w:ascii="Calibri" w:hAnsi="Calibri" w:eastAsia="Calibri" w:cs="Calibri"/>
          <w:color w:val="000000" w:themeColor="text1"/>
          <w:sz w:val="21"/>
          <w:szCs w:val="21"/>
          <w:lang w:val="es-ES"/>
        </w:rPr>
        <w:t xml:space="preserve">La derivación de los requisitos arquitectónicamente significativos a partir del catálogo existente.</w:t>
      </w:r>
      <w:r>
        <w:rPr>
          <w:color w:val="000000" w:themeColor="text1"/>
        </w:rPr>
      </w:r>
    </w:p>
    <w:p>
      <w:pPr>
        <w:pStyle w:val="910"/>
        <w:numPr>
          <w:ilvl w:val="0"/>
          <w:numId w:val="2"/>
        </w:numPr>
        <w:pBdr/>
        <w:spacing w:after="90" w:line="270" w:lineRule="auto"/>
        <w:ind/>
        <w:jc w:val="both"/>
        <w:rPr>
          <w:color w:val="000000" w:themeColor="text1"/>
        </w:rPr>
      </w:pPr>
      <w:r>
        <w:rPr>
          <w:rFonts w:ascii="Calibri" w:hAnsi="Calibri" w:eastAsia="Calibri" w:cs="Calibri"/>
          <w:color w:val="000000" w:themeColor="text1"/>
          <w:sz w:val="21"/>
          <w:szCs w:val="21"/>
          <w:lang w:val="es-ES"/>
        </w:rPr>
        <w:t xml:space="preserve">La definición y ponderación de ocho criterios de decisión, y la evaluación comparativa de tres alternativas de arquitectura mediante una matriz ponderada.</w:t>
      </w:r>
      <w:r>
        <w:rPr>
          <w:color w:val="000000" w:themeColor="text1"/>
        </w:rPr>
      </w:r>
    </w:p>
    <w:p>
      <w:pPr>
        <w:pStyle w:val="910"/>
        <w:numPr>
          <w:ilvl w:val="0"/>
          <w:numId w:val="2"/>
        </w:numPr>
        <w:pBdr/>
        <w:spacing w:after="90" w:line="270" w:lineRule="auto"/>
        <w:ind/>
        <w:jc w:val="both"/>
        <w:rPr>
          <w:color w:val="000000" w:themeColor="text1"/>
        </w:rPr>
      </w:pPr>
      <w:r>
        <w:rPr>
          <w:rFonts w:ascii="Calibri" w:hAnsi="Calibri" w:eastAsia="Calibri" w:cs="Calibri"/>
          <w:color w:val="000000" w:themeColor="text1"/>
          <w:sz w:val="21"/>
          <w:szCs w:val="21"/>
          <w:lang w:val="es-ES"/>
        </w:rPr>
        <w:t xml:space="preserve">La decisión adoptada, su justificación, los riesgos aceptados y los principios arquitectónicos que gobiernan la construcción.</w:t>
      </w:r>
      <w:r>
        <w:rPr>
          <w:color w:val="000000" w:themeColor="text1"/>
        </w:rPr>
      </w:r>
    </w:p>
    <w:p>
      <w:pPr>
        <w:pStyle w:val="910"/>
        <w:numPr>
          <w:ilvl w:val="0"/>
          <w:numId w:val="2"/>
        </w:numPr>
        <w:pBdr/>
        <w:spacing w:after="90" w:line="270" w:lineRule="auto"/>
        <w:ind/>
        <w:jc w:val="both"/>
        <w:rPr>
          <w:color w:val="000000" w:themeColor="text1"/>
        </w:rPr>
      </w:pPr>
      <w:r>
        <w:rPr>
          <w:rFonts w:ascii="Calibri" w:hAnsi="Calibri" w:eastAsia="Calibri" w:cs="Calibri"/>
          <w:color w:val="000000" w:themeColor="text1"/>
          <w:sz w:val="21"/>
          <w:szCs w:val="21"/>
          <w:lang w:val="es-ES"/>
        </w:rPr>
        <w:t xml:space="preserve">Cinco vistas de arquitectura regidas por sus respectivos puntos de vista, con sus correspondencias y su verificación de cubrimiento.</w:t>
      </w:r>
      <w:r>
        <w:rPr>
          <w:color w:val="000000" w:themeColor="text1"/>
        </w:rPr>
      </w:r>
    </w:p>
    <w:p>
      <w:pPr>
        <w:pBdr/>
        <w:spacing w:after="80" w:line="276" w:lineRule="auto"/>
        <w:ind/>
        <w:jc w:val="both"/>
        <w:rPr>
          <w:color w:val="000000" w:themeColor="text1"/>
        </w:rPr>
      </w:pPr>
      <w:r>
        <w:rPr>
          <w:rFonts w:ascii="Calibri" w:hAnsi="Calibri" w:eastAsia="Calibri" w:cs="Calibri"/>
          <w:color w:val="000000" w:themeColor="text1"/>
          <w:sz w:val="21"/>
          <w:szCs w:val="21"/>
          <w:lang w:val="es-ES"/>
        </w:rPr>
        <w:t xml:space="preserve">Queda fuera del alcance de esta versión:</w:t>
      </w:r>
      <w:r>
        <w:rPr>
          <w:color w:val="000000" w:themeColor="text1"/>
        </w:rPr>
      </w:r>
    </w:p>
    <w:p>
      <w:pPr>
        <w:pStyle w:val="910"/>
        <w:numPr>
          <w:ilvl w:val="0"/>
          <w:numId w:val="2"/>
        </w:numPr>
        <w:pBdr/>
        <w:spacing w:after="90" w:line="270" w:lineRule="auto"/>
        <w:ind/>
        <w:jc w:val="both"/>
        <w:rPr>
          <w:color w:val="000000" w:themeColor="text1"/>
        </w:rPr>
      </w:pPr>
      <w:r>
        <w:rPr>
          <w:rFonts w:ascii="Calibri" w:hAnsi="Calibri" w:eastAsia="Calibri" w:cs="Calibri"/>
          <w:color w:val="000000" w:themeColor="text1"/>
          <w:sz w:val="21"/>
          <w:szCs w:val="21"/>
          <w:lang w:val="es-ES"/>
        </w:rPr>
        <w:t xml:space="preserve">El diseño detallado de clases, el modelo entidad-relación completo y la especificación de interfaces de usuario.</w:t>
      </w:r>
      <w:r>
        <w:rPr>
          <w:color w:val="000000" w:themeColor="text1"/>
        </w:rPr>
      </w:r>
    </w:p>
    <w:p>
      <w:pPr>
        <w:pStyle w:val="910"/>
        <w:numPr>
          <w:ilvl w:val="0"/>
          <w:numId w:val="2"/>
        </w:numPr>
        <w:pBdr/>
        <w:spacing w:after="90" w:line="270" w:lineRule="auto"/>
        <w:ind/>
        <w:jc w:val="both"/>
        <w:rPr>
          <w:color w:val="000000" w:themeColor="text1"/>
        </w:rPr>
      </w:pPr>
      <w:r>
        <w:rPr>
          <w:rFonts w:ascii="Calibri" w:hAnsi="Calibri" w:eastAsia="Calibri" w:cs="Calibri"/>
          <w:color w:val="000000" w:themeColor="text1"/>
          <w:sz w:val="21"/>
          <w:szCs w:val="21"/>
          <w:lang w:val="es-ES"/>
        </w:rPr>
        <w:t xml:space="preserve">La selección definitiva de proveedores de infraestructura y el dimensionamiento económico exacto de la operación.</w:t>
      </w:r>
      <w:r>
        <w:rPr>
          <w:color w:val="000000" w:themeColor="text1"/>
        </w:rPr>
      </w:r>
    </w:p>
    <w:p>
      <w:pPr>
        <w:pStyle w:val="910"/>
        <w:numPr>
          <w:ilvl w:val="0"/>
          <w:numId w:val="2"/>
        </w:numPr>
        <w:pBdr/>
        <w:spacing w:after="90" w:line="270" w:lineRule="auto"/>
        <w:ind/>
        <w:jc w:val="both"/>
        <w:rPr>
          <w:color w:val="000000" w:themeColor="text1"/>
        </w:rPr>
      </w:pPr>
      <w:r>
        <w:rPr>
          <w:rFonts w:ascii="Calibri" w:hAnsi="Calibri" w:eastAsia="Calibri" w:cs="Calibri"/>
          <w:color w:val="000000" w:themeColor="text1"/>
          <w:sz w:val="21"/>
          <w:szCs w:val="21"/>
          <w:lang w:val="es-ES"/>
        </w:rPr>
        <w:t xml:space="preserve">El plan de pruebas de aceptación, que se derivará de los criterios ya establecidos en </w:t>
      </w:r>
      <w:r>
        <w:rPr>
          <w:color w:val="000000" w:themeColor="text1"/>
        </w:rPr>
        <w:t xml:space="preserve">la matriz de requisitos del documento de levantamiento de requerimientos</w:t>
      </w:r>
    </w:p>
    <w:p>
      <w:pPr>
        <w:pStyle w:val="904"/>
        <w:keepNext w:val="true"/>
        <w:pBdr/>
        <w:spacing w:after="140" w:before="280"/>
        <w:ind/>
        <w:rPr>
          <w:color w:val="000000" w:themeColor="text1"/>
        </w:rPr>
      </w:pPr>
      <w:r/>
      <w:bookmarkStart w:id="6" w:name="_Toc6"/>
      <w:r>
        <w:rPr>
          <w:rFonts w:ascii="Calibri" w:hAnsi="Calibri" w:eastAsia="Calibri" w:cs="Calibri"/>
          <w:b/>
          <w:bCs/>
          <w:color w:val="000000" w:themeColor="text1"/>
          <w:sz w:val="25"/>
          <w:szCs w:val="25"/>
          <w:lang w:val="es-ES"/>
        </w:rPr>
        <w:t xml:space="preserve">1.4 Marco normativo y metodológico aplicado</w:t>
      </w:r>
      <w:r/>
      <w:bookmarkEnd w:id="6"/>
      <w:r/>
      <w:r>
        <w:rPr>
          <w:color w:val="000000" w:themeColor="text1"/>
        </w:rPr>
      </w:r>
    </w:p>
    <w:p>
      <w:pPr>
        <w:pBdr/>
        <w:spacing w:after="140" w:line="276" w:lineRule="auto"/>
        <w:ind/>
        <w:jc w:val="both"/>
        <w:rPr>
          <w:color w:val="000000" w:themeColor="text1"/>
        </w:rPr>
      </w:pPr>
      <w:r>
        <w:rPr>
          <w:rFonts w:ascii="Calibri" w:hAnsi="Calibri" w:eastAsia="Calibri" w:cs="Calibri"/>
          <w:color w:val="000000" w:themeColor="text1"/>
          <w:sz w:val="21"/>
          <w:szCs w:val="21"/>
          <w:lang w:val="es-ES"/>
        </w:rPr>
        <w:t xml:space="preserve">La elaboración siguió el modelo general de diseño arquitectónico que el SWEBOK v4.0a recoge de Hofmeister y colaboradores, compuesto por tres actividades que la propia guía advierte que no son fases secuenciales sino concurrentes:</w:t>
      </w:r>
      <w:r>
        <w:rPr>
          <w:color w:val="000000" w:themeColor="text1"/>
        </w:rPr>
      </w:r>
    </w:p>
    <w:tbl>
      <w:tblPr>
        <w:tblW w:w="9360" w:type="dxa"/>
        <w:tblBorders>
          <w:top w:val="single" w:color="8ea9db" w:sz="4" w:space="0"/>
          <w:left w:val="single" w:color="8ea9db" w:sz="4" w:space="0"/>
          <w:bottom w:val="single" w:color="8ea9db" w:sz="4" w:space="0"/>
          <w:right w:val="single" w:color="8ea9db" w:sz="4" w:space="0"/>
          <w:insideH w:val="single" w:color="b4c6e7" w:sz="2" w:space="0"/>
          <w:insideV w:val="single" w:color="b4c6e7" w:sz="2" w:space="0"/>
        </w:tblBorders>
        <w:tblLook w:val="04A0" w:firstRow="1" w:lastRow="0" w:firstColumn="1" w:lastColumn="0" w:noHBand="0" w:noVBand="1"/>
      </w:tblPr>
      <w:tblGrid>
        <w:gridCol w:w="2059"/>
        <w:gridCol w:w="3650"/>
        <w:gridCol w:w="3650"/>
      </w:tblGrid>
      <w:tr>
        <w:trPr>
          <w:cantSplit w:val="false"/>
          <w:tblHeader/>
        </w:trPr>
        <w:tc>
          <w:tcPr>
            <w:shd w:val="clear" w:color="auto" w:fill="d9e2f3"/>
            <w:tcBorders/>
            <w:tcMar>
              <w:left w:w="90" w:type="dxa"/>
              <w:top w:w="60" w:type="dxa"/>
              <w:right w:w="90" w:type="dxa"/>
              <w:bottom w:w="60" w:type="dxa"/>
            </w:tcMar>
            <w:tcW w:w="2059"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7"/>
                <w:szCs w:val="17"/>
                <w:lang w:val="es-ES"/>
              </w:rPr>
              <w:t xml:space="preserve">Actividad</w:t>
            </w:r>
            <w:r>
              <w:rPr>
                <w:color w:val="000000" w:themeColor="text1"/>
              </w:rPr>
            </w:r>
          </w:p>
        </w:tc>
        <w:tc>
          <w:tcPr>
            <w:shd w:val="clear" w:color="auto" w:fill="d9e2f3"/>
            <w:tcBorders/>
            <w:tcMar>
              <w:left w:w="90" w:type="dxa"/>
              <w:top w:w="60" w:type="dxa"/>
              <w:right w:w="90" w:type="dxa"/>
              <w:bottom w:w="60" w:type="dxa"/>
            </w:tcMar>
            <w:tcW w:w="3650"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7"/>
                <w:szCs w:val="17"/>
                <w:lang w:val="es-ES"/>
              </w:rPr>
              <w:t xml:space="preserve">En qué consiste según el SWEBOK</w:t>
            </w:r>
            <w:r>
              <w:rPr>
                <w:color w:val="000000" w:themeColor="text1"/>
              </w:rPr>
            </w:r>
          </w:p>
        </w:tc>
        <w:tc>
          <w:tcPr>
            <w:shd w:val="clear" w:color="auto" w:fill="d9e2f3"/>
            <w:tcBorders/>
            <w:tcMar>
              <w:left w:w="90" w:type="dxa"/>
              <w:top w:w="60" w:type="dxa"/>
              <w:right w:w="90" w:type="dxa"/>
              <w:bottom w:w="60" w:type="dxa"/>
            </w:tcMar>
            <w:tcW w:w="3650"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7"/>
                <w:szCs w:val="17"/>
                <w:lang w:val="es-ES"/>
              </w:rPr>
              <w:t xml:space="preserve">Cómo se materializó en este documento</w:t>
            </w:r>
            <w:r>
              <w:rPr>
                <w:color w:val="000000" w:themeColor="text1"/>
              </w:rPr>
            </w:r>
          </w:p>
        </w:tc>
      </w:tr>
      <w:tr>
        <w:trPr>
          <w:cantSplit w:val="false"/>
        </w:trPr>
        <w:tc>
          <w:tcPr>
            <w:shd w:val="clear" w:color="auto" w:fill="ffffff"/>
            <w:tcBorders/>
            <w:tcMar>
              <w:left w:w="90" w:type="dxa"/>
              <w:top w:w="60" w:type="dxa"/>
              <w:right w:w="90" w:type="dxa"/>
              <w:bottom w:w="60" w:type="dxa"/>
            </w:tcMar>
            <w:tcW w:w="2059" w:type="dxa"/>
            <w:vAlign w:val="center"/>
          </w:tcPr>
          <w:p>
            <w:pPr>
              <w:pBdr/>
              <w:spacing w:after="40" w:before="40" w:line="240" w:lineRule="auto"/>
              <w:ind/>
              <w:jc w:val="left"/>
              <w:rPr>
                <w:color w:val="000000" w:themeColor="text1"/>
              </w:rPr>
            </w:pPr>
            <w:r>
              <w:rPr>
                <w:rFonts w:ascii="Calibri" w:hAnsi="Calibri" w:eastAsia="Calibri" w:cs="Calibri"/>
                <w:color w:val="000000" w:themeColor="text1"/>
                <w:sz w:val="17"/>
                <w:szCs w:val="17"/>
                <w:lang w:val="es-ES"/>
              </w:rPr>
              <w:t xml:space="preserve">Análisis arquitectónico</w:t>
            </w:r>
            <w:r>
              <w:rPr>
                <w:color w:val="000000" w:themeColor="text1"/>
              </w:rPr>
            </w:r>
          </w:p>
        </w:tc>
        <w:tc>
          <w:tcPr>
            <w:shd w:val="clear" w:color="auto" w:fill="ffffff"/>
            <w:tcBorders/>
            <w:tcMar>
              <w:left w:w="90" w:type="dxa"/>
              <w:top w:w="60" w:type="dxa"/>
              <w:right w:w="90" w:type="dxa"/>
              <w:bottom w:w="60" w:type="dxa"/>
            </w:tcMar>
            <w:tcW w:w="3650" w:type="dxa"/>
            <w:vAlign w:val="center"/>
          </w:tcPr>
          <w:p>
            <w:pPr>
              <w:pBdr/>
              <w:spacing w:after="40" w:before="40" w:line="240" w:lineRule="auto"/>
              <w:ind/>
              <w:jc w:val="left"/>
              <w:rPr>
                <w:color w:val="000000" w:themeColor="text1"/>
              </w:rPr>
            </w:pPr>
            <w:r>
              <w:rPr>
                <w:rFonts w:ascii="Calibri" w:hAnsi="Calibri" w:eastAsia="Calibri" w:cs="Calibri"/>
                <w:color w:val="000000" w:themeColor="text1"/>
                <w:sz w:val="17"/>
                <w:szCs w:val="17"/>
                <w:lang w:val="es-ES"/>
              </w:rPr>
              <w:t xml:space="preserve">Formular los ASR, negociar expectativas con los interesados y establecer los principios sistémicos.</w:t>
            </w:r>
            <w:r>
              <w:rPr>
                <w:color w:val="000000" w:themeColor="text1"/>
              </w:rPr>
            </w:r>
          </w:p>
        </w:tc>
        <w:tc>
          <w:tcPr>
            <w:shd w:val="clear" w:color="auto" w:fill="ffffff"/>
            <w:tcBorders/>
            <w:tcMar>
              <w:left w:w="90" w:type="dxa"/>
              <w:top w:w="60" w:type="dxa"/>
              <w:right w:w="90" w:type="dxa"/>
              <w:bottom w:w="60" w:type="dxa"/>
            </w:tcMar>
            <w:tcW w:w="3650" w:type="dxa"/>
            <w:vAlign w:val="center"/>
          </w:tcPr>
          <w:p>
            <w:pPr>
              <w:pBdr/>
              <w:spacing w:after="40" w:before="40" w:line="240" w:lineRule="auto"/>
              <w:ind/>
              <w:jc w:val="left"/>
              <w:rPr>
                <w:color w:val="000000" w:themeColor="text1"/>
              </w:rPr>
            </w:pPr>
            <w:r>
              <w:rPr>
                <w:rFonts w:ascii="Calibri" w:hAnsi="Calibri" w:eastAsia="Calibri" w:cs="Calibri"/>
                <w:color w:val="000000" w:themeColor="text1"/>
                <w:sz w:val="17"/>
                <w:szCs w:val="17"/>
                <w:lang w:val="es-ES"/>
              </w:rPr>
              <w:t xml:space="preserve">Secciones 2.2, 2.3 y 2.4: derivación de ASR desde el catálogo de requisitos, identificación de preocupaciones y aspectos.</w:t>
            </w:r>
            <w:r>
              <w:rPr>
                <w:color w:val="000000" w:themeColor="text1"/>
              </w:rPr>
            </w:r>
          </w:p>
        </w:tc>
      </w:tr>
      <w:tr>
        <w:trPr>
          <w:cantSplit w:val="false"/>
        </w:trPr>
        <w:tc>
          <w:tcPr>
            <w:shd w:val="clear" w:color="auto" w:fill="f2f5fa"/>
            <w:tcBorders/>
            <w:tcMar>
              <w:left w:w="90" w:type="dxa"/>
              <w:top w:w="60" w:type="dxa"/>
              <w:right w:w="90" w:type="dxa"/>
              <w:bottom w:w="60" w:type="dxa"/>
            </w:tcMar>
            <w:tcW w:w="2059" w:type="dxa"/>
            <w:vAlign w:val="center"/>
          </w:tcPr>
          <w:p>
            <w:pPr>
              <w:pBdr/>
              <w:spacing w:after="40" w:before="40" w:line="240" w:lineRule="auto"/>
              <w:ind/>
              <w:jc w:val="left"/>
              <w:rPr>
                <w:color w:val="000000" w:themeColor="text1"/>
              </w:rPr>
            </w:pPr>
            <w:r>
              <w:rPr>
                <w:rFonts w:ascii="Calibri" w:hAnsi="Calibri" w:eastAsia="Calibri" w:cs="Calibri"/>
                <w:color w:val="000000" w:themeColor="text1"/>
                <w:sz w:val="17"/>
                <w:szCs w:val="17"/>
                <w:lang w:val="es-ES"/>
              </w:rPr>
              <w:t xml:space="preserve">Síntesis arquitectónica</w:t>
            </w:r>
            <w:r>
              <w:rPr>
                <w:color w:val="000000" w:themeColor="text1"/>
              </w:rPr>
            </w:r>
          </w:p>
        </w:tc>
        <w:tc>
          <w:tcPr>
            <w:shd w:val="clear" w:color="auto" w:fill="f2f5fa"/>
            <w:tcBorders/>
            <w:tcMar>
              <w:left w:w="90" w:type="dxa"/>
              <w:top w:w="60" w:type="dxa"/>
              <w:right w:w="90" w:type="dxa"/>
              <w:bottom w:w="60" w:type="dxa"/>
            </w:tcMar>
            <w:tcW w:w="3650" w:type="dxa"/>
            <w:vAlign w:val="center"/>
          </w:tcPr>
          <w:p>
            <w:pPr>
              <w:pBdr/>
              <w:spacing w:after="40" w:before="40" w:line="240" w:lineRule="auto"/>
              <w:ind/>
              <w:jc w:val="left"/>
              <w:rPr>
                <w:color w:val="000000" w:themeColor="text1"/>
              </w:rPr>
            </w:pPr>
            <w:r>
              <w:rPr>
                <w:rFonts w:ascii="Calibri" w:hAnsi="Calibri" w:eastAsia="Calibri" w:cs="Calibri"/>
                <w:color w:val="000000" w:themeColor="text1"/>
                <w:sz w:val="17"/>
                <w:szCs w:val="17"/>
                <w:lang w:val="es-ES"/>
              </w:rPr>
              <w:t xml:space="preserve">Desarrollar soluciones candidatas y trabajar las compensaciones entre ellas.</w:t>
            </w:r>
            <w:r>
              <w:rPr>
                <w:color w:val="000000" w:themeColor="text1"/>
              </w:rPr>
            </w:r>
          </w:p>
        </w:tc>
        <w:tc>
          <w:tcPr>
            <w:shd w:val="clear" w:color="auto" w:fill="f2f5fa"/>
            <w:tcBorders/>
            <w:tcMar>
              <w:left w:w="90" w:type="dxa"/>
              <w:top w:w="60" w:type="dxa"/>
              <w:right w:w="90" w:type="dxa"/>
              <w:bottom w:w="60" w:type="dxa"/>
            </w:tcMar>
            <w:tcW w:w="3650" w:type="dxa"/>
            <w:vAlign w:val="center"/>
          </w:tcPr>
          <w:p>
            <w:pPr>
              <w:pBdr/>
              <w:spacing w:after="40" w:before="40" w:line="240" w:lineRule="auto"/>
              <w:ind/>
              <w:jc w:val="left"/>
              <w:rPr>
                <w:color w:val="000000" w:themeColor="text1"/>
              </w:rPr>
            </w:pPr>
            <w:r>
              <w:rPr>
                <w:rFonts w:ascii="Calibri" w:hAnsi="Calibri" w:eastAsia="Calibri" w:cs="Calibri"/>
                <w:color w:val="000000" w:themeColor="text1"/>
                <w:sz w:val="17"/>
                <w:szCs w:val="17"/>
                <w:lang w:val="es-ES"/>
              </w:rPr>
              <w:t xml:space="preserve">Secciones 2.5 y 2.6: definición de criterios ponderados y formulación de tres alternativas completas.</w:t>
            </w:r>
            <w:r>
              <w:rPr>
                <w:color w:val="000000" w:themeColor="text1"/>
              </w:rPr>
            </w:r>
          </w:p>
        </w:tc>
      </w:tr>
      <w:tr>
        <w:trPr>
          <w:cantSplit w:val="false"/>
        </w:trPr>
        <w:tc>
          <w:tcPr>
            <w:shd w:val="clear" w:color="auto" w:fill="ffffff"/>
            <w:tcBorders/>
            <w:tcMar>
              <w:left w:w="90" w:type="dxa"/>
              <w:top w:w="60" w:type="dxa"/>
              <w:right w:w="90" w:type="dxa"/>
              <w:bottom w:w="60" w:type="dxa"/>
            </w:tcMar>
            <w:tcW w:w="2059" w:type="dxa"/>
            <w:vAlign w:val="center"/>
          </w:tcPr>
          <w:p>
            <w:pPr>
              <w:pBdr/>
              <w:spacing w:after="40" w:before="40" w:line="240" w:lineRule="auto"/>
              <w:ind/>
              <w:jc w:val="left"/>
              <w:rPr>
                <w:color w:val="000000" w:themeColor="text1"/>
              </w:rPr>
            </w:pPr>
            <w:r>
              <w:rPr>
                <w:rFonts w:ascii="Calibri" w:hAnsi="Calibri" w:eastAsia="Calibri" w:cs="Calibri"/>
                <w:color w:val="000000" w:themeColor="text1"/>
                <w:sz w:val="17"/>
                <w:szCs w:val="17"/>
                <w:lang w:val="es-ES"/>
              </w:rPr>
              <w:t xml:space="preserve">Evaluación arquitectónica</w:t>
            </w:r>
            <w:r>
              <w:rPr>
                <w:color w:val="000000" w:themeColor="text1"/>
              </w:rPr>
            </w:r>
          </w:p>
        </w:tc>
        <w:tc>
          <w:tcPr>
            <w:shd w:val="clear" w:color="auto" w:fill="ffffff"/>
            <w:tcBorders/>
            <w:tcMar>
              <w:left w:w="90" w:type="dxa"/>
              <w:top w:w="60" w:type="dxa"/>
              <w:right w:w="90" w:type="dxa"/>
              <w:bottom w:w="60" w:type="dxa"/>
            </w:tcMar>
            <w:tcW w:w="3650" w:type="dxa"/>
            <w:vAlign w:val="center"/>
          </w:tcPr>
          <w:p>
            <w:pPr>
              <w:pBdr/>
              <w:spacing w:after="40" w:before="40" w:line="240" w:lineRule="auto"/>
              <w:ind/>
              <w:jc w:val="left"/>
              <w:rPr>
                <w:color w:val="000000" w:themeColor="text1"/>
              </w:rPr>
            </w:pPr>
            <w:r>
              <w:rPr>
                <w:rFonts w:ascii="Calibri" w:hAnsi="Calibri" w:eastAsia="Calibri" w:cs="Calibri"/>
                <w:color w:val="000000" w:themeColor="text1"/>
                <w:sz w:val="17"/>
                <w:szCs w:val="17"/>
                <w:lang w:val="es-ES"/>
              </w:rPr>
              <w:t xml:space="preserve">Validar las soluciones frente a los ASR e identificar dónde se requiere retrabajo.</w:t>
            </w:r>
            <w:r>
              <w:rPr>
                <w:color w:val="000000" w:themeColor="text1"/>
              </w:rPr>
            </w:r>
          </w:p>
        </w:tc>
        <w:tc>
          <w:tcPr>
            <w:shd w:val="clear" w:color="auto" w:fill="ffffff"/>
            <w:tcBorders/>
            <w:tcMar>
              <w:left w:w="90" w:type="dxa"/>
              <w:top w:w="60" w:type="dxa"/>
              <w:right w:w="90" w:type="dxa"/>
              <w:bottom w:w="60" w:type="dxa"/>
            </w:tcMar>
            <w:tcW w:w="3650" w:type="dxa"/>
            <w:vAlign w:val="center"/>
          </w:tcPr>
          <w:p>
            <w:pPr>
              <w:pBdr/>
              <w:spacing w:after="40" w:before="40" w:line="240" w:lineRule="auto"/>
              <w:ind/>
              <w:jc w:val="left"/>
              <w:rPr>
                <w:color w:val="000000" w:themeColor="text1"/>
              </w:rPr>
            </w:pPr>
            <w:r>
              <w:rPr>
                <w:rFonts w:ascii="Calibri" w:hAnsi="Calibri" w:eastAsia="Calibri" w:cs="Calibri"/>
                <w:color w:val="000000" w:themeColor="text1"/>
                <w:sz w:val="17"/>
                <w:szCs w:val="17"/>
                <w:lang w:val="es-ES"/>
              </w:rPr>
              <w:t xml:space="preserve">Secciones 2.11, 2.12 y 2.13: matrices de satisfacción, verificación de cubrimiento y evaluación por escenarios.</w:t>
            </w:r>
            <w:r>
              <w:rPr>
                <w:color w:val="000000" w:themeColor="text1"/>
              </w:rPr>
            </w:r>
          </w:p>
        </w:tc>
      </w:tr>
    </w:tbl>
    <w:p>
      <w:pPr>
        <w:pBdr/>
        <w:spacing w:after="160"/>
        <w:ind/>
        <w:rPr>
          <w:color w:val="000000" w:themeColor="text1"/>
        </w:rPr>
      </w:pPr>
      <w:r>
        <w:rPr>
          <w:color w:val="000000" w:themeColor="text1"/>
          <w:lang w:val="es-ES" w:bidi="es-ES"/>
        </w:rPr>
      </w:r>
      <w:r>
        <w:rPr>
          <w:color w:val="000000" w:themeColor="text1"/>
        </w:rPr>
      </w:r>
    </w:p>
    <w:p>
      <w:pPr>
        <w:pBdr/>
        <w:spacing w:after="140" w:line="276" w:lineRule="auto"/>
        <w:ind/>
        <w:jc w:val="both"/>
        <w:rPr>
          <w:color w:val="000000" w:themeColor="text1"/>
        </w:rPr>
      </w:pPr>
      <w:r>
        <w:rPr>
          <w:rFonts w:ascii="Calibri" w:hAnsi="Calibri" w:eastAsia="Calibri" w:cs="Calibri"/>
          <w:color w:val="000000" w:themeColor="text1"/>
          <w:sz w:val="21"/>
          <w:szCs w:val="21"/>
          <w:lang w:val="es-ES"/>
        </w:rPr>
        <w:t xml:space="preserve">El proceso fue iterativo. La primera formulación de los criterios de decisión asignaba un peso considerablemente mayor a la escalabilidad; al confrontarla con la restricción real de un equipo de dos personas y un calendario académico, la ponderación se reequilibró hacia la mantenibilidad y el costo. Esa retroalimentación —del análisis hacia la síntesis y de vuelta— es precisamente lo que el modelo describe.</w:t>
      </w:r>
      <w:r>
        <w:rPr>
          <w:color w:val="000000" w:themeColor="text1"/>
        </w:rPr>
      </w:r>
    </w:p>
    <w:p>
      <w:pPr>
        <w:pStyle w:val="904"/>
        <w:keepNext w:val="true"/>
        <w:pBdr/>
        <w:spacing w:after="140" w:before="280"/>
        <w:ind/>
        <w:rPr>
          <w:color w:val="000000" w:themeColor="text1"/>
        </w:rPr>
      </w:pPr>
      <w:r/>
      <w:bookmarkStart w:id="7" w:name="_Toc7"/>
      <w:r>
        <w:rPr>
          <w:rFonts w:ascii="Calibri" w:hAnsi="Calibri" w:eastAsia="Calibri" w:cs="Calibri"/>
          <w:b/>
          <w:bCs/>
          <w:color w:val="000000" w:themeColor="text1"/>
          <w:sz w:val="25"/>
          <w:szCs w:val="25"/>
          <w:lang w:val="es-ES"/>
        </w:rPr>
        <w:t xml:space="preserve">1.5 Conceptos fundamentales de arquitectura</w:t>
      </w:r>
      <w:r/>
      <w:bookmarkEnd w:id="7"/>
      <w:r/>
      <w:r>
        <w:rPr>
          <w:color w:val="000000" w:themeColor="text1"/>
        </w:rPr>
      </w:r>
    </w:p>
    <w:p>
      <w:pPr>
        <w:pBdr/>
        <w:spacing w:after="140" w:line="276" w:lineRule="auto"/>
        <w:ind/>
        <w:jc w:val="both"/>
        <w:rPr>
          <w:color w:val="000000" w:themeColor="text1"/>
        </w:rPr>
      </w:pPr>
      <w:r>
        <w:rPr>
          <w:rFonts w:ascii="Calibri" w:hAnsi="Calibri" w:eastAsia="Calibri" w:cs="Calibri"/>
          <w:color w:val="000000" w:themeColor="text1"/>
          <w:sz w:val="21"/>
          <w:szCs w:val="21"/>
          <w:lang w:val="es-ES"/>
        </w:rPr>
        <w:t xml:space="preserve">La norma ISO/IEC/IEEE 42010:2022 fija en sus Cláusulas 3 y 5.2 un vocabulario preciso. Dado que varios de estos términos se emplean en el lenguaje corriente con significados distintos, la tabla siguiente los fija para efectos de este documento y evita la ambigüedad que el propio SWEBOK señala como origen frecuente de descripciones arquitectónicas inútiles.</w:t>
      </w:r>
      <w:r>
        <w:rPr>
          <w:color w:val="000000" w:themeColor="text1"/>
        </w:rPr>
      </w:r>
    </w:p>
    <w:tbl>
      <w:tblPr>
        <w:tblW w:w="9360" w:type="dxa"/>
        <w:tblBorders>
          <w:top w:val="single" w:color="8ea9db" w:sz="4" w:space="0"/>
          <w:left w:val="single" w:color="8ea9db" w:sz="4" w:space="0"/>
          <w:bottom w:val="single" w:color="8ea9db" w:sz="4" w:space="0"/>
          <w:right w:val="single" w:color="8ea9db" w:sz="4" w:space="0"/>
          <w:insideH w:val="single" w:color="b4c6e7" w:sz="2" w:space="0"/>
          <w:insideV w:val="single" w:color="b4c6e7" w:sz="2" w:space="0"/>
        </w:tblBorders>
        <w:tblLook w:val="04A0" w:firstRow="1" w:lastRow="0" w:firstColumn="1" w:lastColumn="0" w:noHBand="0" w:noVBand="1"/>
      </w:tblPr>
      <w:tblGrid>
        <w:gridCol w:w="1872"/>
        <w:gridCol w:w="3931"/>
        <w:gridCol w:w="3557"/>
      </w:tblGrid>
      <w:tr>
        <w:trPr>
          <w:cantSplit w:val="false"/>
          <w:tblHeader/>
        </w:trPr>
        <w:tc>
          <w:tcPr>
            <w:shd w:val="clear" w:color="auto" w:fill="d9e2f3"/>
            <w:tcBorders/>
            <w:tcMar>
              <w:left w:w="90" w:type="dxa"/>
              <w:top w:w="60" w:type="dxa"/>
              <w:right w:w="90" w:type="dxa"/>
              <w:bottom w:w="60" w:type="dxa"/>
            </w:tcMar>
            <w:tcW w:w="1872"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7"/>
                <w:szCs w:val="17"/>
                <w:lang w:val="es-ES"/>
              </w:rPr>
              <w:t xml:space="preserve">Concepto</w:t>
            </w:r>
            <w:r>
              <w:rPr>
                <w:color w:val="000000" w:themeColor="text1"/>
              </w:rPr>
            </w:r>
          </w:p>
        </w:tc>
        <w:tc>
          <w:tcPr>
            <w:shd w:val="clear" w:color="auto" w:fill="d9e2f3"/>
            <w:tcBorders/>
            <w:tcMar>
              <w:left w:w="90" w:type="dxa"/>
              <w:top w:w="60" w:type="dxa"/>
              <w:right w:w="90" w:type="dxa"/>
              <w:bottom w:w="60" w:type="dxa"/>
            </w:tcMar>
            <w:tcW w:w="3931"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7"/>
                <w:szCs w:val="17"/>
                <w:lang w:val="es-ES"/>
              </w:rPr>
              <w:t xml:space="preserve">Definición oficial</w:t>
            </w:r>
            <w:r>
              <w:rPr>
                <w:color w:val="000000" w:themeColor="text1"/>
              </w:rPr>
            </w:r>
          </w:p>
        </w:tc>
        <w:tc>
          <w:tcPr>
            <w:shd w:val="clear" w:color="auto" w:fill="d9e2f3"/>
            <w:tcBorders/>
            <w:tcMar>
              <w:left w:w="90" w:type="dxa"/>
              <w:top w:w="60" w:type="dxa"/>
              <w:right w:w="90" w:type="dxa"/>
              <w:bottom w:w="60" w:type="dxa"/>
            </w:tcMar>
            <w:tcW w:w="3557"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7"/>
                <w:szCs w:val="17"/>
                <w:lang w:val="es-ES"/>
              </w:rPr>
              <w:t xml:space="preserve">Aplicación en este documento</w:t>
            </w:r>
            <w:r>
              <w:rPr>
                <w:color w:val="000000" w:themeColor="text1"/>
              </w:rPr>
            </w:r>
          </w:p>
        </w:tc>
      </w:tr>
      <w:tr>
        <w:trPr>
          <w:cantSplit w:val="false"/>
        </w:trPr>
        <w:tc>
          <w:tcPr>
            <w:shd w:val="clear" w:color="auto" w:fill="ffffff"/>
            <w:tcBorders/>
            <w:tcMar>
              <w:left w:w="90" w:type="dxa"/>
              <w:top w:w="60" w:type="dxa"/>
              <w:right w:w="90" w:type="dxa"/>
              <w:bottom w:w="60" w:type="dxa"/>
            </w:tcMar>
            <w:tcW w:w="1872" w:type="dxa"/>
            <w:vAlign w:val="center"/>
          </w:tcPr>
          <w:p>
            <w:pPr>
              <w:pBdr/>
              <w:spacing w:after="40" w:before="40" w:line="240" w:lineRule="auto"/>
              <w:ind/>
              <w:jc w:val="left"/>
              <w:rPr>
                <w:color w:val="000000" w:themeColor="text1"/>
              </w:rPr>
            </w:pPr>
            <w:r>
              <w:rPr>
                <w:rFonts w:ascii="Calibri" w:hAnsi="Calibri" w:eastAsia="Calibri" w:cs="Calibri"/>
                <w:color w:val="000000" w:themeColor="text1"/>
                <w:sz w:val="17"/>
                <w:szCs w:val="17"/>
                <w:lang w:val="es-ES"/>
              </w:rPr>
              <w:t xml:space="preserve">Arquitectura</w:t>
            </w:r>
            <w:r>
              <w:rPr>
                <w:color w:val="000000" w:themeColor="text1"/>
              </w:rPr>
            </w:r>
          </w:p>
        </w:tc>
        <w:tc>
          <w:tcPr>
            <w:shd w:val="clear" w:color="auto" w:fill="ffffff"/>
            <w:tcBorders/>
            <w:tcMar>
              <w:left w:w="90" w:type="dxa"/>
              <w:top w:w="60" w:type="dxa"/>
              <w:right w:w="90" w:type="dxa"/>
              <w:bottom w:w="60" w:type="dxa"/>
            </w:tcMar>
            <w:tcW w:w="3931" w:type="dxa"/>
            <w:vAlign w:val="center"/>
          </w:tcPr>
          <w:p>
            <w:pPr>
              <w:pBdr/>
              <w:spacing w:after="40" w:before="40" w:line="240" w:lineRule="auto"/>
              <w:ind/>
              <w:jc w:val="left"/>
              <w:rPr>
                <w:color w:val="000000" w:themeColor="text1"/>
              </w:rPr>
            </w:pPr>
            <w:r>
              <w:rPr>
                <w:rFonts w:ascii="Calibri" w:hAnsi="Calibri" w:eastAsia="Calibri" w:cs="Calibri"/>
                <w:color w:val="000000" w:themeColor="text1"/>
                <w:sz w:val="17"/>
                <w:szCs w:val="17"/>
                <w:lang w:val="es-ES"/>
              </w:rPr>
              <w:t xml:space="preserve">Conceptos o propiedades fundamentales de una entidad en su entorno, plasmados en sus elementos, relaciones y en los principios que rigen su realización y evolución.</w:t>
            </w:r>
            <w:r>
              <w:rPr>
                <w:color w:val="000000" w:themeColor="text1"/>
              </w:rPr>
            </w:r>
          </w:p>
        </w:tc>
        <w:tc>
          <w:tcPr>
            <w:shd w:val="clear" w:color="auto" w:fill="ffffff"/>
            <w:tcBorders/>
            <w:tcMar>
              <w:left w:w="90" w:type="dxa"/>
              <w:top w:w="60" w:type="dxa"/>
              <w:right w:w="90" w:type="dxa"/>
              <w:bottom w:w="60" w:type="dxa"/>
            </w:tcMar>
            <w:tcW w:w="3557" w:type="dxa"/>
            <w:vAlign w:val="center"/>
          </w:tcPr>
          <w:p>
            <w:pPr>
              <w:pBdr/>
              <w:spacing w:after="40" w:before="40" w:line="240" w:lineRule="auto"/>
              <w:ind/>
              <w:jc w:val="left"/>
              <w:rPr>
                <w:color w:val="000000" w:themeColor="text1"/>
              </w:rPr>
            </w:pPr>
            <w:r>
              <w:rPr>
                <w:rFonts w:ascii="Calibri" w:hAnsi="Calibri" w:eastAsia="Calibri" w:cs="Calibri"/>
                <w:color w:val="000000" w:themeColor="text1"/>
                <w:sz w:val="17"/>
                <w:szCs w:val="17"/>
                <w:lang w:val="es-ES"/>
              </w:rPr>
              <w:t xml:space="preserve">El diseño fundamental, la estructura, el comportamiento y las reglas que gobiernan AbasteceNi.</w:t>
            </w:r>
            <w:r>
              <w:rPr>
                <w:color w:val="000000" w:themeColor="text1"/>
              </w:rPr>
            </w:r>
          </w:p>
        </w:tc>
      </w:tr>
      <w:tr>
        <w:trPr>
          <w:cantSplit w:val="false"/>
        </w:trPr>
        <w:tc>
          <w:tcPr>
            <w:shd w:val="clear" w:color="auto" w:fill="f2f5fa"/>
            <w:tcBorders/>
            <w:tcMar>
              <w:left w:w="90" w:type="dxa"/>
              <w:top w:w="60" w:type="dxa"/>
              <w:right w:w="90" w:type="dxa"/>
              <w:bottom w:w="60" w:type="dxa"/>
            </w:tcMar>
            <w:tcW w:w="1872" w:type="dxa"/>
            <w:vAlign w:val="center"/>
          </w:tcPr>
          <w:p>
            <w:pPr>
              <w:pBdr/>
              <w:spacing w:after="40" w:before="40" w:line="240" w:lineRule="auto"/>
              <w:ind/>
              <w:jc w:val="left"/>
              <w:rPr>
                <w:color w:val="000000" w:themeColor="text1"/>
              </w:rPr>
            </w:pPr>
            <w:r>
              <w:rPr>
                <w:rFonts w:ascii="Calibri" w:hAnsi="Calibri" w:eastAsia="Calibri" w:cs="Calibri"/>
                <w:color w:val="000000" w:themeColor="text1"/>
                <w:sz w:val="17"/>
                <w:szCs w:val="17"/>
                <w:lang w:val="es-ES"/>
              </w:rPr>
              <w:t xml:space="preserve">Descripción de Arquitectura (DA)</w:t>
            </w:r>
            <w:r>
              <w:rPr>
                <w:color w:val="000000" w:themeColor="text1"/>
              </w:rPr>
            </w:r>
          </w:p>
        </w:tc>
        <w:tc>
          <w:tcPr>
            <w:shd w:val="clear" w:color="auto" w:fill="f2f5fa"/>
            <w:tcBorders/>
            <w:tcMar>
              <w:left w:w="90" w:type="dxa"/>
              <w:top w:w="60" w:type="dxa"/>
              <w:right w:w="90" w:type="dxa"/>
              <w:bottom w:w="60" w:type="dxa"/>
            </w:tcMar>
            <w:tcW w:w="3931" w:type="dxa"/>
            <w:vAlign w:val="center"/>
          </w:tcPr>
          <w:p>
            <w:pPr>
              <w:pBdr/>
              <w:spacing w:after="40" w:before="40" w:line="240" w:lineRule="auto"/>
              <w:ind/>
              <w:jc w:val="left"/>
              <w:rPr>
                <w:color w:val="000000" w:themeColor="text1"/>
              </w:rPr>
            </w:pPr>
            <w:r>
              <w:rPr>
                <w:rFonts w:ascii="Calibri" w:hAnsi="Calibri" w:eastAsia="Calibri" w:cs="Calibri"/>
                <w:color w:val="000000" w:themeColor="text1"/>
                <w:sz w:val="17"/>
                <w:szCs w:val="17"/>
                <w:lang w:val="es-ES"/>
              </w:rPr>
              <w:t xml:space="preserve">Producto de trabajo utilizado para expresar la arquitectura.</w:t>
            </w:r>
            <w:r>
              <w:rPr>
                <w:color w:val="000000" w:themeColor="text1"/>
              </w:rPr>
            </w:r>
          </w:p>
        </w:tc>
        <w:tc>
          <w:tcPr>
            <w:shd w:val="clear" w:color="auto" w:fill="f2f5fa"/>
            <w:tcBorders/>
            <w:tcMar>
              <w:left w:w="90" w:type="dxa"/>
              <w:top w:w="60" w:type="dxa"/>
              <w:right w:w="90" w:type="dxa"/>
              <w:bottom w:w="60" w:type="dxa"/>
            </w:tcMar>
            <w:tcW w:w="3557" w:type="dxa"/>
            <w:vAlign w:val="center"/>
          </w:tcPr>
          <w:p>
            <w:pPr>
              <w:pBdr/>
              <w:spacing w:after="40" w:before="40" w:line="240" w:lineRule="auto"/>
              <w:ind/>
              <w:jc w:val="left"/>
              <w:rPr>
                <w:color w:val="000000" w:themeColor="text1"/>
              </w:rPr>
            </w:pPr>
            <w:r>
              <w:rPr>
                <w:rFonts w:ascii="Calibri" w:hAnsi="Calibri" w:eastAsia="Calibri" w:cs="Calibri"/>
                <w:color w:val="000000" w:themeColor="text1"/>
                <w:sz w:val="17"/>
                <w:szCs w:val="17"/>
                <w:lang w:val="es-ES"/>
              </w:rPr>
              <w:t xml:space="preserve">Este documento completo; representa de forma tangible una arquitectura que en sí misma es intangible.</w:t>
            </w:r>
            <w:r>
              <w:rPr>
                <w:color w:val="000000" w:themeColor="text1"/>
              </w:rPr>
            </w:r>
          </w:p>
        </w:tc>
      </w:tr>
      <w:tr>
        <w:trPr>
          <w:cantSplit w:val="false"/>
        </w:trPr>
        <w:tc>
          <w:tcPr>
            <w:shd w:val="clear" w:color="auto" w:fill="ffffff"/>
            <w:tcBorders/>
            <w:tcMar>
              <w:left w:w="90" w:type="dxa"/>
              <w:top w:w="60" w:type="dxa"/>
              <w:right w:w="90" w:type="dxa"/>
              <w:bottom w:w="60" w:type="dxa"/>
            </w:tcMar>
            <w:tcW w:w="1872" w:type="dxa"/>
            <w:vAlign w:val="center"/>
          </w:tcPr>
          <w:p>
            <w:pPr>
              <w:pBdr/>
              <w:spacing w:after="40" w:before="40" w:line="240" w:lineRule="auto"/>
              <w:ind/>
              <w:jc w:val="left"/>
              <w:rPr>
                <w:color w:val="000000" w:themeColor="text1"/>
              </w:rPr>
            </w:pPr>
            <w:r>
              <w:rPr>
                <w:rFonts w:ascii="Calibri" w:hAnsi="Calibri" w:eastAsia="Calibri" w:cs="Calibri"/>
                <w:color w:val="000000" w:themeColor="text1"/>
                <w:sz w:val="17"/>
                <w:szCs w:val="17"/>
                <w:lang w:val="es-ES"/>
              </w:rPr>
              <w:t xml:space="preserve">Entidad de Interés (EdI)</w:t>
            </w:r>
            <w:r>
              <w:rPr>
                <w:color w:val="000000" w:themeColor="text1"/>
              </w:rPr>
            </w:r>
          </w:p>
        </w:tc>
        <w:tc>
          <w:tcPr>
            <w:shd w:val="clear" w:color="auto" w:fill="ffffff"/>
            <w:tcBorders/>
            <w:tcMar>
              <w:left w:w="90" w:type="dxa"/>
              <w:top w:w="60" w:type="dxa"/>
              <w:right w:w="90" w:type="dxa"/>
              <w:bottom w:w="60" w:type="dxa"/>
            </w:tcMar>
            <w:tcW w:w="3931" w:type="dxa"/>
            <w:vAlign w:val="center"/>
          </w:tcPr>
          <w:p>
            <w:pPr>
              <w:pBdr/>
              <w:spacing w:after="40" w:before="40" w:line="240" w:lineRule="auto"/>
              <w:ind/>
              <w:jc w:val="left"/>
              <w:rPr>
                <w:color w:val="000000" w:themeColor="text1"/>
              </w:rPr>
            </w:pPr>
            <w:r>
              <w:rPr>
                <w:rFonts w:ascii="Calibri" w:hAnsi="Calibri" w:eastAsia="Calibri" w:cs="Calibri"/>
                <w:color w:val="000000" w:themeColor="text1"/>
                <w:sz w:val="17"/>
                <w:szCs w:val="17"/>
                <w:lang w:val="es-ES"/>
              </w:rPr>
              <w:t xml:space="preserve">Sujeto de esta Descripción de Arquitectura.</w:t>
            </w:r>
            <w:r>
              <w:rPr>
                <w:color w:val="000000" w:themeColor="text1"/>
              </w:rPr>
            </w:r>
          </w:p>
        </w:tc>
        <w:tc>
          <w:tcPr>
            <w:shd w:val="clear" w:color="auto" w:fill="ffffff"/>
            <w:tcBorders/>
            <w:tcMar>
              <w:left w:w="90" w:type="dxa"/>
              <w:top w:w="60" w:type="dxa"/>
              <w:right w:w="90" w:type="dxa"/>
              <w:bottom w:w="60" w:type="dxa"/>
            </w:tcMar>
            <w:tcW w:w="3557" w:type="dxa"/>
            <w:vAlign w:val="center"/>
          </w:tcPr>
          <w:p>
            <w:pPr>
              <w:pBdr/>
              <w:spacing w:after="40" w:before="40" w:line="240" w:lineRule="auto"/>
              <w:ind/>
              <w:jc w:val="left"/>
              <w:rPr>
                <w:color w:val="000000" w:themeColor="text1"/>
              </w:rPr>
            </w:pPr>
            <w:r>
              <w:rPr>
                <w:rFonts w:ascii="Calibri" w:hAnsi="Calibri" w:eastAsia="Calibri" w:cs="Calibri"/>
                <w:color w:val="000000" w:themeColor="text1"/>
                <w:sz w:val="17"/>
                <w:szCs w:val="17"/>
                <w:lang w:val="es-ES"/>
              </w:rPr>
              <w:t xml:space="preserve">La plataforma web B2B AbasteceNi, versión MVP.</w:t>
            </w:r>
            <w:r>
              <w:rPr>
                <w:color w:val="000000" w:themeColor="text1"/>
              </w:rPr>
            </w:r>
          </w:p>
        </w:tc>
      </w:tr>
      <w:tr>
        <w:trPr>
          <w:cantSplit w:val="false"/>
        </w:trPr>
        <w:tc>
          <w:tcPr>
            <w:shd w:val="clear" w:color="auto" w:fill="f2f5fa"/>
            <w:tcBorders/>
            <w:tcMar>
              <w:left w:w="90" w:type="dxa"/>
              <w:top w:w="60" w:type="dxa"/>
              <w:right w:w="90" w:type="dxa"/>
              <w:bottom w:w="60" w:type="dxa"/>
            </w:tcMar>
            <w:tcW w:w="1872" w:type="dxa"/>
            <w:vAlign w:val="center"/>
          </w:tcPr>
          <w:p>
            <w:pPr>
              <w:pBdr/>
              <w:spacing w:after="40" w:before="40" w:line="240" w:lineRule="auto"/>
              <w:ind/>
              <w:jc w:val="left"/>
              <w:rPr>
                <w:color w:val="000000" w:themeColor="text1"/>
              </w:rPr>
            </w:pPr>
            <w:r>
              <w:rPr>
                <w:rFonts w:ascii="Calibri" w:hAnsi="Calibri" w:eastAsia="Calibri" w:cs="Calibri"/>
                <w:color w:val="000000" w:themeColor="text1"/>
                <w:sz w:val="17"/>
                <w:szCs w:val="17"/>
                <w:lang w:val="es-ES"/>
              </w:rPr>
              <w:t xml:space="preserve">Interesado</w:t>
            </w:r>
            <w:r>
              <w:rPr>
                <w:color w:val="000000" w:themeColor="text1"/>
              </w:rPr>
            </w:r>
          </w:p>
        </w:tc>
        <w:tc>
          <w:tcPr>
            <w:shd w:val="clear" w:color="auto" w:fill="f2f5fa"/>
            <w:tcBorders/>
            <w:tcMar>
              <w:left w:w="90" w:type="dxa"/>
              <w:top w:w="60" w:type="dxa"/>
              <w:right w:w="90" w:type="dxa"/>
              <w:bottom w:w="60" w:type="dxa"/>
            </w:tcMar>
            <w:tcW w:w="3931" w:type="dxa"/>
            <w:vAlign w:val="center"/>
          </w:tcPr>
          <w:p>
            <w:pPr>
              <w:pBdr/>
              <w:spacing w:after="40" w:before="40" w:line="240" w:lineRule="auto"/>
              <w:ind/>
              <w:jc w:val="left"/>
              <w:rPr>
                <w:color w:val="000000" w:themeColor="text1"/>
              </w:rPr>
            </w:pPr>
            <w:r>
              <w:rPr>
                <w:rFonts w:ascii="Calibri" w:hAnsi="Calibri" w:eastAsia="Calibri" w:cs="Calibri"/>
                <w:color w:val="000000" w:themeColor="text1"/>
                <w:sz w:val="17"/>
                <w:szCs w:val="17"/>
                <w:lang w:val="es-ES"/>
              </w:rPr>
              <w:t xml:space="preserve">Rol, persona u organización con interés en la EdI.</w:t>
            </w:r>
            <w:r>
              <w:rPr>
                <w:color w:val="000000" w:themeColor="text1"/>
              </w:rPr>
            </w:r>
          </w:p>
        </w:tc>
        <w:tc>
          <w:tcPr>
            <w:shd w:val="clear" w:color="auto" w:fill="f2f5fa"/>
            <w:tcBorders/>
            <w:tcMar>
              <w:left w:w="90" w:type="dxa"/>
              <w:top w:w="60" w:type="dxa"/>
              <w:right w:w="90" w:type="dxa"/>
              <w:bottom w:w="60" w:type="dxa"/>
            </w:tcMar>
            <w:tcW w:w="3557" w:type="dxa"/>
            <w:vAlign w:val="center"/>
          </w:tcPr>
          <w:p>
            <w:pPr>
              <w:pBdr/>
              <w:spacing w:after="40" w:before="40" w:line="240" w:lineRule="auto"/>
              <w:ind/>
              <w:jc w:val="left"/>
              <w:rPr>
                <w:color w:val="000000" w:themeColor="text1"/>
              </w:rPr>
            </w:pPr>
            <w:r>
              <w:rPr>
                <w:rFonts w:ascii="Calibri" w:hAnsi="Calibri" w:eastAsia="Calibri" w:cs="Calibri"/>
                <w:color w:val="000000" w:themeColor="text1"/>
                <w:sz w:val="17"/>
                <w:szCs w:val="17"/>
                <w:lang w:val="es-ES"/>
              </w:rPr>
              <w:t xml:space="preserve">Los seis interesados codificados I-01 a I-06 en la sección 2.3.</w:t>
            </w:r>
            <w:r>
              <w:rPr>
                <w:color w:val="000000" w:themeColor="text1"/>
              </w:rPr>
            </w:r>
          </w:p>
        </w:tc>
      </w:tr>
      <w:tr>
        <w:trPr>
          <w:cantSplit w:val="false"/>
        </w:trPr>
        <w:tc>
          <w:tcPr>
            <w:shd w:val="clear" w:color="auto" w:fill="ffffff"/>
            <w:tcBorders/>
            <w:tcMar>
              <w:left w:w="90" w:type="dxa"/>
              <w:top w:w="60" w:type="dxa"/>
              <w:right w:w="90" w:type="dxa"/>
              <w:bottom w:w="60" w:type="dxa"/>
            </w:tcMar>
            <w:tcW w:w="1872" w:type="dxa"/>
            <w:vAlign w:val="center"/>
          </w:tcPr>
          <w:p>
            <w:pPr>
              <w:pBdr/>
              <w:spacing w:after="40" w:before="40" w:line="240" w:lineRule="auto"/>
              <w:ind/>
              <w:jc w:val="left"/>
              <w:rPr>
                <w:color w:val="000000" w:themeColor="text1"/>
              </w:rPr>
            </w:pPr>
            <w:r>
              <w:rPr>
                <w:rFonts w:ascii="Calibri" w:hAnsi="Calibri" w:eastAsia="Calibri" w:cs="Calibri"/>
                <w:color w:val="000000" w:themeColor="text1"/>
                <w:sz w:val="17"/>
                <w:szCs w:val="17"/>
                <w:lang w:val="es-ES"/>
              </w:rPr>
              <w:t xml:space="preserve">Preocupación</w:t>
            </w:r>
            <w:r>
              <w:rPr>
                <w:color w:val="000000" w:themeColor="text1"/>
              </w:rPr>
            </w:r>
          </w:p>
        </w:tc>
        <w:tc>
          <w:tcPr>
            <w:shd w:val="clear" w:color="auto" w:fill="ffffff"/>
            <w:tcBorders/>
            <w:tcMar>
              <w:left w:w="90" w:type="dxa"/>
              <w:top w:w="60" w:type="dxa"/>
              <w:right w:w="90" w:type="dxa"/>
              <w:bottom w:w="60" w:type="dxa"/>
            </w:tcMar>
            <w:tcW w:w="3931" w:type="dxa"/>
            <w:vAlign w:val="center"/>
          </w:tcPr>
          <w:p>
            <w:pPr>
              <w:pBdr/>
              <w:spacing w:after="40" w:before="40" w:line="240" w:lineRule="auto"/>
              <w:ind/>
              <w:jc w:val="left"/>
              <w:rPr>
                <w:color w:val="000000" w:themeColor="text1"/>
              </w:rPr>
            </w:pPr>
            <w:r>
              <w:rPr>
                <w:rFonts w:ascii="Calibri" w:hAnsi="Calibri" w:eastAsia="Calibri" w:cs="Calibri"/>
                <w:color w:val="000000" w:themeColor="text1"/>
                <w:sz w:val="17"/>
                <w:szCs w:val="17"/>
                <w:lang w:val="es-ES"/>
              </w:rPr>
              <w:t xml:space="preserve">Asunto de importancia para un interesado respecto de la arquitectura.</w:t>
            </w:r>
            <w:r>
              <w:rPr>
                <w:color w:val="000000" w:themeColor="text1"/>
              </w:rPr>
            </w:r>
          </w:p>
        </w:tc>
        <w:tc>
          <w:tcPr>
            <w:shd w:val="clear" w:color="auto" w:fill="ffffff"/>
            <w:tcBorders/>
            <w:tcMar>
              <w:left w:w="90" w:type="dxa"/>
              <w:top w:w="60" w:type="dxa"/>
              <w:right w:w="90" w:type="dxa"/>
              <w:bottom w:w="60" w:type="dxa"/>
            </w:tcMar>
            <w:tcW w:w="3557" w:type="dxa"/>
            <w:vAlign w:val="center"/>
          </w:tcPr>
          <w:p>
            <w:pPr>
              <w:pBdr/>
              <w:spacing w:after="40" w:before="40" w:line="240" w:lineRule="auto"/>
              <w:ind/>
              <w:jc w:val="left"/>
              <w:rPr>
                <w:color w:val="000000" w:themeColor="text1"/>
              </w:rPr>
            </w:pPr>
            <w:r>
              <w:rPr>
                <w:rFonts w:ascii="Calibri" w:hAnsi="Calibri" w:eastAsia="Calibri" w:cs="Calibri"/>
                <w:color w:val="000000" w:themeColor="text1"/>
                <w:sz w:val="17"/>
                <w:szCs w:val="17"/>
                <w:lang w:val="es-ES"/>
              </w:rPr>
              <w:t xml:space="preserve">Las ocho preocupaciones P-01 a P-08 que dirigen toda la evaluación.</w:t>
            </w:r>
            <w:r>
              <w:rPr>
                <w:color w:val="000000" w:themeColor="text1"/>
              </w:rPr>
            </w:r>
          </w:p>
        </w:tc>
      </w:tr>
      <w:tr>
        <w:trPr>
          <w:cantSplit w:val="false"/>
        </w:trPr>
        <w:tc>
          <w:tcPr>
            <w:shd w:val="clear" w:color="auto" w:fill="f2f5fa"/>
            <w:tcBorders/>
            <w:tcMar>
              <w:left w:w="90" w:type="dxa"/>
              <w:top w:w="60" w:type="dxa"/>
              <w:right w:w="90" w:type="dxa"/>
              <w:bottom w:w="60" w:type="dxa"/>
            </w:tcMar>
            <w:tcW w:w="1872" w:type="dxa"/>
            <w:vAlign w:val="center"/>
          </w:tcPr>
          <w:p>
            <w:pPr>
              <w:pBdr/>
              <w:spacing w:after="40" w:before="40" w:line="240" w:lineRule="auto"/>
              <w:ind/>
              <w:jc w:val="left"/>
              <w:rPr>
                <w:color w:val="000000" w:themeColor="text1"/>
              </w:rPr>
            </w:pPr>
            <w:r>
              <w:rPr>
                <w:rFonts w:ascii="Calibri" w:hAnsi="Calibri" w:eastAsia="Calibri" w:cs="Calibri"/>
                <w:color w:val="000000" w:themeColor="text1"/>
                <w:sz w:val="17"/>
                <w:szCs w:val="17"/>
                <w:lang w:val="es-ES"/>
              </w:rPr>
              <w:t xml:space="preserve">Perspectiva del interesado</w:t>
            </w:r>
            <w:r>
              <w:rPr>
                <w:color w:val="000000" w:themeColor="text1"/>
              </w:rPr>
            </w:r>
          </w:p>
        </w:tc>
        <w:tc>
          <w:tcPr>
            <w:shd w:val="clear" w:color="auto" w:fill="f2f5fa"/>
            <w:tcBorders/>
            <w:tcMar>
              <w:left w:w="90" w:type="dxa"/>
              <w:top w:w="60" w:type="dxa"/>
              <w:right w:w="90" w:type="dxa"/>
              <w:bottom w:w="60" w:type="dxa"/>
            </w:tcMar>
            <w:tcW w:w="3931" w:type="dxa"/>
            <w:vAlign w:val="center"/>
          </w:tcPr>
          <w:p>
            <w:pPr>
              <w:pBdr/>
              <w:spacing w:after="40" w:before="40" w:line="240" w:lineRule="auto"/>
              <w:ind/>
              <w:jc w:val="left"/>
              <w:rPr>
                <w:color w:val="000000" w:themeColor="text1"/>
              </w:rPr>
            </w:pPr>
            <w:r>
              <w:rPr>
                <w:rFonts w:ascii="Calibri" w:hAnsi="Calibri" w:eastAsia="Calibri" w:cs="Calibri"/>
                <w:color w:val="000000" w:themeColor="text1"/>
                <w:sz w:val="17"/>
                <w:szCs w:val="17"/>
                <w:lang w:val="es-ES"/>
              </w:rPr>
              <w:t xml:space="preserve">Forma de pensar la EdI según el rol, la experiencia o los conocimientos de quien la observa.</w:t>
            </w:r>
            <w:r>
              <w:rPr>
                <w:color w:val="000000" w:themeColor="text1"/>
              </w:rPr>
            </w:r>
          </w:p>
        </w:tc>
        <w:tc>
          <w:tcPr>
            <w:shd w:val="clear" w:color="auto" w:fill="f2f5fa"/>
            <w:tcBorders/>
            <w:tcMar>
              <w:left w:w="90" w:type="dxa"/>
              <w:top w:w="60" w:type="dxa"/>
              <w:right w:w="90" w:type="dxa"/>
              <w:bottom w:w="60" w:type="dxa"/>
            </w:tcMar>
            <w:tcW w:w="3557" w:type="dxa"/>
            <w:vAlign w:val="center"/>
          </w:tcPr>
          <w:p>
            <w:pPr>
              <w:pBdr/>
              <w:spacing w:after="40" w:before="40" w:line="240" w:lineRule="auto"/>
              <w:ind/>
              <w:jc w:val="left"/>
              <w:rPr>
                <w:color w:val="000000" w:themeColor="text1"/>
              </w:rPr>
            </w:pPr>
            <w:r>
              <w:rPr>
                <w:rFonts w:ascii="Calibri" w:hAnsi="Calibri" w:eastAsia="Calibri" w:cs="Calibri"/>
                <w:color w:val="000000" w:themeColor="text1"/>
                <w:sz w:val="17"/>
                <w:szCs w:val="17"/>
                <w:lang w:val="es-ES"/>
              </w:rPr>
              <w:t xml:space="preserve">Las cuatro perspectivas S-01 a S-04: estratégica, operativa, técnica y legal.</w:t>
            </w:r>
            <w:r>
              <w:rPr>
                <w:color w:val="000000" w:themeColor="text1"/>
              </w:rPr>
            </w:r>
          </w:p>
        </w:tc>
      </w:tr>
      <w:tr>
        <w:trPr>
          <w:cantSplit w:val="false"/>
        </w:trPr>
        <w:tc>
          <w:tcPr>
            <w:shd w:val="clear" w:color="auto" w:fill="ffffff"/>
            <w:tcBorders/>
            <w:tcMar>
              <w:left w:w="90" w:type="dxa"/>
              <w:top w:w="60" w:type="dxa"/>
              <w:right w:w="90" w:type="dxa"/>
              <w:bottom w:w="60" w:type="dxa"/>
            </w:tcMar>
            <w:tcW w:w="1872" w:type="dxa"/>
            <w:vAlign w:val="center"/>
          </w:tcPr>
          <w:p>
            <w:pPr>
              <w:pBdr/>
              <w:spacing w:after="40" w:before="40" w:line="240" w:lineRule="auto"/>
              <w:ind/>
              <w:jc w:val="left"/>
              <w:rPr>
                <w:color w:val="000000" w:themeColor="text1"/>
              </w:rPr>
            </w:pPr>
            <w:r>
              <w:rPr>
                <w:rFonts w:ascii="Calibri" w:hAnsi="Calibri" w:eastAsia="Calibri" w:cs="Calibri"/>
                <w:color w:val="000000" w:themeColor="text1"/>
                <w:sz w:val="17"/>
                <w:szCs w:val="17"/>
                <w:lang w:val="es-ES"/>
              </w:rPr>
              <w:t xml:space="preserve">Aspecto</w:t>
            </w:r>
            <w:r>
              <w:rPr>
                <w:color w:val="000000" w:themeColor="text1"/>
              </w:rPr>
            </w:r>
          </w:p>
        </w:tc>
        <w:tc>
          <w:tcPr>
            <w:shd w:val="clear" w:color="auto" w:fill="ffffff"/>
            <w:tcBorders/>
            <w:tcMar>
              <w:left w:w="90" w:type="dxa"/>
              <w:top w:w="60" w:type="dxa"/>
              <w:right w:w="90" w:type="dxa"/>
              <w:bottom w:w="60" w:type="dxa"/>
            </w:tcMar>
            <w:tcW w:w="3931" w:type="dxa"/>
            <w:vAlign w:val="center"/>
          </w:tcPr>
          <w:p>
            <w:pPr>
              <w:pBdr/>
              <w:spacing w:after="40" w:before="40" w:line="240" w:lineRule="auto"/>
              <w:ind/>
              <w:jc w:val="left"/>
              <w:rPr>
                <w:color w:val="000000" w:themeColor="text1"/>
              </w:rPr>
            </w:pPr>
            <w:r>
              <w:rPr>
                <w:rFonts w:ascii="Calibri" w:hAnsi="Calibri" w:eastAsia="Calibri" w:cs="Calibri"/>
                <w:color w:val="000000" w:themeColor="text1"/>
                <w:sz w:val="17"/>
                <w:szCs w:val="17"/>
                <w:lang w:val="es-ES"/>
              </w:rPr>
              <w:t xml:space="preserve">Característica o faceta de la EdI.</w:t>
            </w:r>
            <w:r>
              <w:rPr>
                <w:color w:val="000000" w:themeColor="text1"/>
              </w:rPr>
            </w:r>
          </w:p>
        </w:tc>
        <w:tc>
          <w:tcPr>
            <w:shd w:val="clear" w:color="auto" w:fill="ffffff"/>
            <w:tcBorders/>
            <w:tcMar>
              <w:left w:w="90" w:type="dxa"/>
              <w:top w:w="60" w:type="dxa"/>
              <w:right w:w="90" w:type="dxa"/>
              <w:bottom w:w="60" w:type="dxa"/>
            </w:tcMar>
            <w:tcW w:w="3557" w:type="dxa"/>
            <w:vAlign w:val="center"/>
          </w:tcPr>
          <w:p>
            <w:pPr>
              <w:pBdr/>
              <w:spacing w:after="40" w:before="40" w:line="240" w:lineRule="auto"/>
              <w:ind/>
              <w:jc w:val="left"/>
              <w:rPr>
                <w:color w:val="000000" w:themeColor="text1"/>
              </w:rPr>
            </w:pPr>
            <w:r>
              <w:rPr>
                <w:rFonts w:ascii="Calibri" w:hAnsi="Calibri" w:eastAsia="Calibri" w:cs="Calibri"/>
                <w:color w:val="000000" w:themeColor="text1"/>
                <w:sz w:val="17"/>
                <w:szCs w:val="17"/>
                <w:lang w:val="es-ES"/>
              </w:rPr>
              <w:t xml:space="preserve">Las cuatro dimensiones de análisis A-01 a A-04: estructural, funcional, informacional y comportamental.</w:t>
            </w:r>
            <w:r>
              <w:rPr>
                <w:color w:val="000000" w:themeColor="text1"/>
              </w:rPr>
            </w:r>
          </w:p>
        </w:tc>
      </w:tr>
      <w:tr>
        <w:trPr>
          <w:cantSplit w:val="false"/>
        </w:trPr>
        <w:tc>
          <w:tcPr>
            <w:shd w:val="clear" w:color="auto" w:fill="f2f5fa"/>
            <w:tcBorders/>
            <w:tcMar>
              <w:left w:w="90" w:type="dxa"/>
              <w:top w:w="60" w:type="dxa"/>
              <w:right w:w="90" w:type="dxa"/>
              <w:bottom w:w="60" w:type="dxa"/>
            </w:tcMar>
            <w:tcW w:w="1872" w:type="dxa"/>
            <w:vAlign w:val="center"/>
          </w:tcPr>
          <w:p>
            <w:pPr>
              <w:pBdr/>
              <w:spacing w:after="40" w:before="40" w:line="240" w:lineRule="auto"/>
              <w:ind/>
              <w:jc w:val="left"/>
              <w:rPr>
                <w:color w:val="000000" w:themeColor="text1"/>
              </w:rPr>
            </w:pPr>
            <w:r>
              <w:rPr>
                <w:rFonts w:ascii="Calibri" w:hAnsi="Calibri" w:eastAsia="Calibri" w:cs="Calibri"/>
                <w:color w:val="000000" w:themeColor="text1"/>
                <w:sz w:val="17"/>
                <w:szCs w:val="17"/>
                <w:lang w:val="es-ES"/>
              </w:rPr>
              <w:t xml:space="preserve">Punto de Vista (PV)</w:t>
            </w:r>
            <w:r>
              <w:rPr>
                <w:color w:val="000000" w:themeColor="text1"/>
              </w:rPr>
            </w:r>
          </w:p>
        </w:tc>
        <w:tc>
          <w:tcPr>
            <w:shd w:val="clear" w:color="auto" w:fill="f2f5fa"/>
            <w:tcBorders/>
            <w:tcMar>
              <w:left w:w="90" w:type="dxa"/>
              <w:top w:w="60" w:type="dxa"/>
              <w:right w:w="90" w:type="dxa"/>
              <w:bottom w:w="60" w:type="dxa"/>
            </w:tcMar>
            <w:tcW w:w="3931" w:type="dxa"/>
            <w:vAlign w:val="center"/>
          </w:tcPr>
          <w:p>
            <w:pPr>
              <w:pBdr/>
              <w:spacing w:after="40" w:before="40" w:line="240" w:lineRule="auto"/>
              <w:ind/>
              <w:jc w:val="left"/>
              <w:rPr>
                <w:color w:val="000000" w:themeColor="text1"/>
              </w:rPr>
            </w:pPr>
            <w:r>
              <w:rPr>
                <w:rFonts w:ascii="Calibri" w:hAnsi="Calibri" w:eastAsia="Calibri" w:cs="Calibri"/>
                <w:color w:val="000000" w:themeColor="text1"/>
                <w:sz w:val="17"/>
                <w:szCs w:val="17"/>
                <w:lang w:val="es-ES"/>
              </w:rPr>
              <w:t xml:space="preserve">Conjunto de convenciones para crear, interpretar y usar una Vista.</w:t>
            </w:r>
            <w:r>
              <w:rPr>
                <w:color w:val="000000" w:themeColor="text1"/>
              </w:rPr>
            </w:r>
          </w:p>
        </w:tc>
        <w:tc>
          <w:tcPr>
            <w:shd w:val="clear" w:color="auto" w:fill="f2f5fa"/>
            <w:tcBorders/>
            <w:tcMar>
              <w:left w:w="90" w:type="dxa"/>
              <w:top w:w="60" w:type="dxa"/>
              <w:right w:w="90" w:type="dxa"/>
              <w:bottom w:w="60" w:type="dxa"/>
            </w:tcMar>
            <w:tcW w:w="3557" w:type="dxa"/>
            <w:vAlign w:val="center"/>
          </w:tcPr>
          <w:p>
            <w:pPr>
              <w:pBdr/>
              <w:spacing w:after="40" w:before="40" w:line="240" w:lineRule="auto"/>
              <w:ind/>
              <w:jc w:val="left"/>
              <w:rPr>
                <w:color w:val="000000" w:themeColor="text1"/>
              </w:rPr>
            </w:pPr>
            <w:r>
              <w:rPr>
                <w:rFonts w:ascii="Calibri" w:hAnsi="Calibri" w:eastAsia="Calibri" w:cs="Calibri"/>
                <w:color w:val="000000" w:themeColor="text1"/>
                <w:sz w:val="17"/>
                <w:szCs w:val="17"/>
                <w:lang w:val="es-ES"/>
              </w:rPr>
              <w:t xml:space="preserve">Los cinco puntos de vista PV-01 a PV-05 definidos en la sección 2.8.</w:t>
            </w:r>
            <w:r>
              <w:rPr>
                <w:color w:val="000000" w:themeColor="text1"/>
              </w:rPr>
            </w:r>
          </w:p>
        </w:tc>
      </w:tr>
      <w:tr>
        <w:trPr>
          <w:cantSplit w:val="false"/>
        </w:trPr>
        <w:tc>
          <w:tcPr>
            <w:shd w:val="clear" w:color="auto" w:fill="ffffff"/>
            <w:tcBorders/>
            <w:tcMar>
              <w:left w:w="90" w:type="dxa"/>
              <w:top w:w="60" w:type="dxa"/>
              <w:right w:w="90" w:type="dxa"/>
              <w:bottom w:w="60" w:type="dxa"/>
            </w:tcMar>
            <w:tcW w:w="1872" w:type="dxa"/>
            <w:vAlign w:val="center"/>
          </w:tcPr>
          <w:p>
            <w:pPr>
              <w:pBdr/>
              <w:spacing w:after="40" w:before="40" w:line="240" w:lineRule="auto"/>
              <w:ind/>
              <w:jc w:val="left"/>
              <w:rPr>
                <w:color w:val="000000" w:themeColor="text1"/>
              </w:rPr>
            </w:pPr>
            <w:r>
              <w:rPr>
                <w:rFonts w:ascii="Calibri" w:hAnsi="Calibri" w:eastAsia="Calibri" w:cs="Calibri"/>
                <w:color w:val="000000" w:themeColor="text1"/>
                <w:sz w:val="17"/>
                <w:szCs w:val="17"/>
                <w:lang w:val="es-ES"/>
              </w:rPr>
              <w:t xml:space="preserve">Vista de Arquitectura</w:t>
            </w:r>
            <w:r>
              <w:rPr>
                <w:color w:val="000000" w:themeColor="text1"/>
              </w:rPr>
            </w:r>
          </w:p>
        </w:tc>
        <w:tc>
          <w:tcPr>
            <w:shd w:val="clear" w:color="auto" w:fill="ffffff"/>
            <w:tcBorders/>
            <w:tcMar>
              <w:left w:w="90" w:type="dxa"/>
              <w:top w:w="60" w:type="dxa"/>
              <w:right w:w="90" w:type="dxa"/>
              <w:bottom w:w="60" w:type="dxa"/>
            </w:tcMar>
            <w:tcW w:w="3931" w:type="dxa"/>
            <w:vAlign w:val="center"/>
          </w:tcPr>
          <w:p>
            <w:pPr>
              <w:pBdr/>
              <w:spacing w:after="40" w:before="40" w:line="240" w:lineRule="auto"/>
              <w:ind/>
              <w:jc w:val="left"/>
              <w:rPr>
                <w:color w:val="000000" w:themeColor="text1"/>
              </w:rPr>
            </w:pPr>
            <w:r>
              <w:rPr>
                <w:rFonts w:ascii="Calibri" w:hAnsi="Calibri" w:eastAsia="Calibri" w:cs="Calibri"/>
                <w:color w:val="000000" w:themeColor="text1"/>
                <w:sz w:val="17"/>
                <w:szCs w:val="17"/>
                <w:lang w:val="es-ES"/>
              </w:rPr>
              <w:t xml:space="preserve">Porción de la DA que expresa la arquitectura desde un Punto de Vista.</w:t>
            </w:r>
            <w:r>
              <w:rPr>
                <w:color w:val="000000" w:themeColor="text1"/>
              </w:rPr>
            </w:r>
          </w:p>
        </w:tc>
        <w:tc>
          <w:tcPr>
            <w:shd w:val="clear" w:color="auto" w:fill="ffffff"/>
            <w:tcBorders/>
            <w:tcMar>
              <w:left w:w="90" w:type="dxa"/>
              <w:top w:w="60" w:type="dxa"/>
              <w:right w:w="90" w:type="dxa"/>
              <w:bottom w:w="60" w:type="dxa"/>
            </w:tcMar>
            <w:tcW w:w="3557" w:type="dxa"/>
            <w:vAlign w:val="center"/>
          </w:tcPr>
          <w:p>
            <w:pPr>
              <w:pBdr/>
              <w:spacing w:after="40" w:before="40" w:line="240" w:lineRule="auto"/>
              <w:ind/>
              <w:jc w:val="left"/>
              <w:rPr>
                <w:color w:val="000000" w:themeColor="text1"/>
              </w:rPr>
            </w:pPr>
            <w:r>
              <w:rPr>
                <w:rFonts w:ascii="Calibri" w:hAnsi="Calibri" w:eastAsia="Calibri" w:cs="Calibri"/>
                <w:color w:val="000000" w:themeColor="text1"/>
                <w:sz w:val="17"/>
                <w:szCs w:val="17"/>
                <w:lang w:val="es-ES"/>
              </w:rPr>
              <w:t xml:space="preserve">Las cinco vistas V-01 a V-05 desarrolladas en la sección 2.9 y graficadas en los anexos.</w:t>
            </w:r>
            <w:r>
              <w:rPr>
                <w:color w:val="000000" w:themeColor="text1"/>
              </w:rPr>
            </w:r>
          </w:p>
        </w:tc>
      </w:tr>
      <w:tr>
        <w:trPr>
          <w:cantSplit w:val="false"/>
        </w:trPr>
        <w:tc>
          <w:tcPr>
            <w:shd w:val="clear" w:color="auto" w:fill="f2f5fa"/>
            <w:tcBorders/>
            <w:tcMar>
              <w:left w:w="90" w:type="dxa"/>
              <w:top w:w="60" w:type="dxa"/>
              <w:right w:w="90" w:type="dxa"/>
              <w:bottom w:w="60" w:type="dxa"/>
            </w:tcMar>
            <w:tcW w:w="1872" w:type="dxa"/>
            <w:vAlign w:val="center"/>
          </w:tcPr>
          <w:p>
            <w:pPr>
              <w:pBdr/>
              <w:spacing w:after="40" w:before="40" w:line="240" w:lineRule="auto"/>
              <w:ind/>
              <w:jc w:val="left"/>
              <w:rPr>
                <w:color w:val="000000" w:themeColor="text1"/>
              </w:rPr>
            </w:pPr>
            <w:r>
              <w:rPr>
                <w:rFonts w:ascii="Calibri" w:hAnsi="Calibri" w:eastAsia="Calibri" w:cs="Calibri"/>
                <w:color w:val="000000" w:themeColor="text1"/>
                <w:sz w:val="17"/>
                <w:szCs w:val="17"/>
                <w:lang w:val="es-ES"/>
              </w:rPr>
              <w:t xml:space="preserve">Correspondencia</w:t>
            </w:r>
            <w:r>
              <w:rPr>
                <w:color w:val="000000" w:themeColor="text1"/>
              </w:rPr>
            </w:r>
          </w:p>
        </w:tc>
        <w:tc>
          <w:tcPr>
            <w:shd w:val="clear" w:color="auto" w:fill="f2f5fa"/>
            <w:tcBorders/>
            <w:tcMar>
              <w:left w:w="90" w:type="dxa"/>
              <w:top w:w="60" w:type="dxa"/>
              <w:right w:w="90" w:type="dxa"/>
              <w:bottom w:w="60" w:type="dxa"/>
            </w:tcMar>
            <w:tcW w:w="3931" w:type="dxa"/>
            <w:vAlign w:val="center"/>
          </w:tcPr>
          <w:p>
            <w:pPr>
              <w:pBdr/>
              <w:spacing w:after="40" w:before="40" w:line="240" w:lineRule="auto"/>
              <w:ind/>
              <w:jc w:val="left"/>
              <w:rPr>
                <w:color w:val="000000" w:themeColor="text1"/>
              </w:rPr>
            </w:pPr>
            <w:r>
              <w:rPr>
                <w:rFonts w:ascii="Calibri" w:hAnsi="Calibri" w:eastAsia="Calibri" w:cs="Calibri"/>
                <w:color w:val="000000" w:themeColor="text1"/>
                <w:sz w:val="17"/>
                <w:szCs w:val="17"/>
                <w:lang w:val="es-ES"/>
              </w:rPr>
              <w:t xml:space="preserve">Relación nombrada entre elementos de la DA.</w:t>
            </w:r>
            <w:r>
              <w:rPr>
                <w:color w:val="000000" w:themeColor="text1"/>
              </w:rPr>
            </w:r>
          </w:p>
        </w:tc>
        <w:tc>
          <w:tcPr>
            <w:shd w:val="clear" w:color="auto" w:fill="f2f5fa"/>
            <w:tcBorders/>
            <w:tcMar>
              <w:left w:w="90" w:type="dxa"/>
              <w:top w:w="60" w:type="dxa"/>
              <w:right w:w="90" w:type="dxa"/>
              <w:bottom w:w="60" w:type="dxa"/>
            </w:tcMar>
            <w:tcW w:w="3557" w:type="dxa"/>
            <w:vAlign w:val="center"/>
          </w:tcPr>
          <w:p>
            <w:pPr>
              <w:pBdr/>
              <w:spacing w:after="40" w:before="40" w:line="240" w:lineRule="auto"/>
              <w:ind/>
              <w:jc w:val="left"/>
              <w:rPr>
                <w:color w:val="000000" w:themeColor="text1"/>
              </w:rPr>
            </w:pPr>
            <w:r>
              <w:rPr>
                <w:rFonts w:ascii="Calibri" w:hAnsi="Calibri" w:eastAsia="Calibri" w:cs="Calibri"/>
                <w:color w:val="000000" w:themeColor="text1"/>
                <w:sz w:val="17"/>
                <w:szCs w:val="17"/>
                <w:lang w:val="es-ES"/>
              </w:rPr>
              <w:t xml:space="preserve">Las diez correspondencias CR-01 a CR-10 que garantizan la trazabilidad interna.</w:t>
            </w:r>
            <w:r>
              <w:rPr>
                <w:color w:val="000000" w:themeColor="text1"/>
              </w:rPr>
            </w:r>
          </w:p>
        </w:tc>
      </w:tr>
      <w:tr>
        <w:trPr>
          <w:cantSplit w:val="false"/>
        </w:trPr>
        <w:tc>
          <w:tcPr>
            <w:shd w:val="clear" w:color="auto" w:fill="ffffff"/>
            <w:tcBorders/>
            <w:tcMar>
              <w:left w:w="90" w:type="dxa"/>
              <w:top w:w="60" w:type="dxa"/>
              <w:right w:w="90" w:type="dxa"/>
              <w:bottom w:w="60" w:type="dxa"/>
            </w:tcMar>
            <w:tcW w:w="1872" w:type="dxa"/>
            <w:vAlign w:val="center"/>
          </w:tcPr>
          <w:p>
            <w:pPr>
              <w:pBdr/>
              <w:spacing w:after="40" w:before="40" w:line="240" w:lineRule="auto"/>
              <w:ind/>
              <w:jc w:val="left"/>
              <w:rPr>
                <w:color w:val="000000" w:themeColor="text1"/>
              </w:rPr>
            </w:pPr>
            <w:r>
              <w:rPr>
                <w:rFonts w:ascii="Calibri" w:hAnsi="Calibri" w:eastAsia="Calibri" w:cs="Calibri"/>
                <w:color w:val="000000" w:themeColor="text1"/>
                <w:sz w:val="17"/>
                <w:szCs w:val="17"/>
                <w:lang w:val="es-ES"/>
              </w:rPr>
              <w:t xml:space="preserve">Decisión de Arquitectura</w:t>
            </w:r>
            <w:r>
              <w:rPr>
                <w:color w:val="000000" w:themeColor="text1"/>
              </w:rPr>
            </w:r>
          </w:p>
        </w:tc>
        <w:tc>
          <w:tcPr>
            <w:shd w:val="clear" w:color="auto" w:fill="ffffff"/>
            <w:tcBorders/>
            <w:tcMar>
              <w:left w:w="90" w:type="dxa"/>
              <w:top w:w="60" w:type="dxa"/>
              <w:right w:w="90" w:type="dxa"/>
              <w:bottom w:w="60" w:type="dxa"/>
            </w:tcMar>
            <w:tcW w:w="3931" w:type="dxa"/>
            <w:vAlign w:val="center"/>
          </w:tcPr>
          <w:p>
            <w:pPr>
              <w:pBdr/>
              <w:spacing w:after="40" w:before="40" w:line="240" w:lineRule="auto"/>
              <w:ind/>
              <w:jc w:val="left"/>
              <w:rPr>
                <w:color w:val="000000" w:themeColor="text1"/>
              </w:rPr>
            </w:pPr>
            <w:r>
              <w:rPr>
                <w:rFonts w:ascii="Calibri" w:hAnsi="Calibri" w:eastAsia="Calibri" w:cs="Calibri"/>
                <w:color w:val="000000" w:themeColor="text1"/>
                <w:sz w:val="17"/>
                <w:szCs w:val="17"/>
                <w:lang w:val="es-ES"/>
              </w:rPr>
              <w:t xml:space="preserve">Elección fundamental tomada al definir la arquitectura.</w:t>
            </w:r>
            <w:r>
              <w:rPr>
                <w:color w:val="000000" w:themeColor="text1"/>
              </w:rPr>
            </w:r>
          </w:p>
        </w:tc>
        <w:tc>
          <w:tcPr>
            <w:shd w:val="clear" w:color="auto" w:fill="ffffff"/>
            <w:tcBorders/>
            <w:tcMar>
              <w:left w:w="90" w:type="dxa"/>
              <w:top w:w="60" w:type="dxa"/>
              <w:right w:w="90" w:type="dxa"/>
              <w:bottom w:w="60" w:type="dxa"/>
            </w:tcMar>
            <w:tcW w:w="3557" w:type="dxa"/>
            <w:vAlign w:val="center"/>
          </w:tcPr>
          <w:p>
            <w:pPr>
              <w:pBdr/>
              <w:spacing w:after="40" w:before="40" w:line="240" w:lineRule="auto"/>
              <w:ind/>
              <w:jc w:val="left"/>
              <w:rPr>
                <w:color w:val="000000" w:themeColor="text1"/>
              </w:rPr>
            </w:pPr>
            <w:r>
              <w:rPr>
                <w:rFonts w:ascii="Calibri" w:hAnsi="Calibri" w:eastAsia="Calibri" w:cs="Calibri"/>
                <w:color w:val="000000" w:themeColor="text1"/>
                <w:sz w:val="17"/>
                <w:szCs w:val="17"/>
                <w:lang w:val="es-ES"/>
              </w:rPr>
              <w:t xml:space="preserve">La decisión principal de la sección 2.7 y las seis decisiones complementarias ADR-01 a ADR-06.</w:t>
            </w:r>
            <w:r>
              <w:rPr>
                <w:color w:val="000000" w:themeColor="text1"/>
              </w:rPr>
            </w:r>
          </w:p>
        </w:tc>
      </w:tr>
      <w:tr>
        <w:trPr>
          <w:cantSplit w:val="false"/>
        </w:trPr>
        <w:tc>
          <w:tcPr>
            <w:shd w:val="clear" w:color="auto" w:fill="f2f5fa"/>
            <w:tcBorders/>
            <w:tcMar>
              <w:left w:w="90" w:type="dxa"/>
              <w:top w:w="60" w:type="dxa"/>
              <w:right w:w="90" w:type="dxa"/>
              <w:bottom w:w="60" w:type="dxa"/>
            </w:tcMar>
            <w:tcW w:w="1872" w:type="dxa"/>
            <w:vAlign w:val="center"/>
          </w:tcPr>
          <w:p>
            <w:pPr>
              <w:pBdr/>
              <w:spacing w:after="40" w:before="40" w:line="240" w:lineRule="auto"/>
              <w:ind/>
              <w:jc w:val="left"/>
              <w:rPr>
                <w:color w:val="000000" w:themeColor="text1"/>
              </w:rPr>
            </w:pPr>
            <w:r>
              <w:rPr>
                <w:rFonts w:ascii="Calibri" w:hAnsi="Calibri" w:eastAsia="Calibri" w:cs="Calibri"/>
                <w:color w:val="000000" w:themeColor="text1"/>
                <w:sz w:val="17"/>
                <w:szCs w:val="17"/>
                <w:lang w:val="es-ES"/>
              </w:rPr>
              <w:t xml:space="preserve">Justificación</w:t>
            </w:r>
            <w:r>
              <w:rPr>
                <w:color w:val="000000" w:themeColor="text1"/>
              </w:rPr>
            </w:r>
          </w:p>
        </w:tc>
        <w:tc>
          <w:tcPr>
            <w:shd w:val="clear" w:color="auto" w:fill="f2f5fa"/>
            <w:tcBorders/>
            <w:tcMar>
              <w:left w:w="90" w:type="dxa"/>
              <w:top w:w="60" w:type="dxa"/>
              <w:right w:w="90" w:type="dxa"/>
              <w:bottom w:w="60" w:type="dxa"/>
            </w:tcMar>
            <w:tcW w:w="3931" w:type="dxa"/>
            <w:vAlign w:val="center"/>
          </w:tcPr>
          <w:p>
            <w:pPr>
              <w:pBdr/>
              <w:spacing w:after="40" w:before="40" w:line="240" w:lineRule="auto"/>
              <w:ind/>
              <w:jc w:val="left"/>
              <w:rPr>
                <w:color w:val="000000" w:themeColor="text1"/>
              </w:rPr>
            </w:pPr>
            <w:r>
              <w:rPr>
                <w:rFonts w:ascii="Calibri" w:hAnsi="Calibri" w:eastAsia="Calibri" w:cs="Calibri"/>
                <w:color w:val="000000" w:themeColor="text1"/>
                <w:sz w:val="17"/>
                <w:szCs w:val="17"/>
                <w:lang w:val="es-ES"/>
              </w:rPr>
              <w:t xml:space="preserve">Explicación de por qué se tomó una decisión.</w:t>
            </w:r>
            <w:r>
              <w:rPr>
                <w:color w:val="000000" w:themeColor="text1"/>
              </w:rPr>
            </w:r>
          </w:p>
        </w:tc>
        <w:tc>
          <w:tcPr>
            <w:shd w:val="clear" w:color="auto" w:fill="f2f5fa"/>
            <w:tcBorders/>
            <w:tcMar>
              <w:left w:w="90" w:type="dxa"/>
              <w:top w:w="60" w:type="dxa"/>
              <w:right w:w="90" w:type="dxa"/>
              <w:bottom w:w="60" w:type="dxa"/>
            </w:tcMar>
            <w:tcW w:w="3557" w:type="dxa"/>
            <w:vAlign w:val="center"/>
          </w:tcPr>
          <w:p>
            <w:pPr>
              <w:pBdr/>
              <w:spacing w:after="40" w:before="40" w:line="240" w:lineRule="auto"/>
              <w:ind/>
              <w:jc w:val="left"/>
              <w:rPr>
                <w:color w:val="000000" w:themeColor="text1"/>
              </w:rPr>
            </w:pPr>
            <w:r>
              <w:rPr>
                <w:rFonts w:ascii="Calibri" w:hAnsi="Calibri" w:eastAsia="Calibri" w:cs="Calibri"/>
                <w:color w:val="000000" w:themeColor="text1"/>
                <w:sz w:val="17"/>
                <w:szCs w:val="17"/>
                <w:lang w:val="es-ES"/>
              </w:rPr>
              <w:t xml:space="preserve">Criterios ponderados, alternativas descartadas, consecuencias y riesgos aceptados.</w:t>
            </w:r>
            <w:r>
              <w:rPr>
                <w:color w:val="000000" w:themeColor="text1"/>
              </w:rPr>
            </w:r>
          </w:p>
        </w:tc>
      </w:tr>
    </w:tbl>
    <w:p>
      <w:pPr>
        <w:pBdr/>
        <w:spacing w:after="160"/>
        <w:ind/>
        <w:rPr>
          <w:color w:val="000000" w:themeColor="text1"/>
        </w:rPr>
      </w:pPr>
      <w:r>
        <w:rPr>
          <w:color w:val="000000" w:themeColor="text1"/>
          <w:lang w:val="es-ES" w:bidi="es-ES"/>
        </w:rPr>
      </w:r>
      <w:r>
        <w:rPr>
          <w:color w:val="000000" w:themeColor="text1"/>
        </w:rPr>
      </w:r>
    </w:p>
    <w:p>
      <w:pPr>
        <w:pBdr/>
        <w:spacing w:after="140" w:line="276" w:lineRule="auto"/>
        <w:ind/>
        <w:jc w:val="both"/>
        <w:rPr>
          <w:color w:val="000000" w:themeColor="text1"/>
        </w:rPr>
      </w:pPr>
      <w:r>
        <w:rPr>
          <w:rFonts w:ascii="Calibri" w:hAnsi="Calibri" w:eastAsia="Calibri" w:cs="Calibri"/>
          <w:color w:val="000000" w:themeColor="text1"/>
          <w:sz w:val="21"/>
          <w:szCs w:val="21"/>
          <w:lang w:val="es-ES"/>
        </w:rPr>
        <w:t xml:space="preserve">Dos precisiones conceptuales del SWEBOK merecen destacarse porque orientan la totalidad del documento. La primera es que no todo es arquitectura: solo lo fundamental, entendido como aquello que afecta propiedades esenciales del sistema y que resulta costoso de revertir. La segunda es que la arquitectura mira hacia afuera; no describe únicamente la estructura interna del código, sino la relación del sistema con su entorno, con las organizaciones que lo rodean y con los sistemas vecinos con los que debe convivir.</w:t>
      </w:r>
      <w:r>
        <w:rPr>
          <w:color w:val="000000" w:themeColor="text1"/>
        </w:rPr>
      </w:r>
    </w:p>
    <w:p>
      <w:pPr>
        <w:pStyle w:val="903"/>
        <w:keepNext w:val="true"/>
        <w:pageBreakBefore w:val="true"/>
        <w:pBdr/>
        <w:spacing w:after="180" w:before="320"/>
        <w:ind/>
        <w:rPr>
          <w:color w:val="000000" w:themeColor="text1"/>
        </w:rPr>
      </w:pPr>
      <w:r/>
      <w:bookmarkStart w:id="8" w:name="_Toc8"/>
      <w:r>
        <w:rPr>
          <w:rFonts w:ascii="Calibri" w:hAnsi="Calibri" w:eastAsia="Calibri" w:cs="Calibri"/>
          <w:b/>
          <w:bCs/>
          <w:color w:val="000000" w:themeColor="text1"/>
          <w:sz w:val="30"/>
          <w:szCs w:val="30"/>
          <w:lang w:val="es-ES"/>
        </w:rPr>
        <w:t xml:space="preserve">2. Desarrollo</w:t>
      </w:r>
      <w:r/>
      <w:bookmarkEnd w:id="8"/>
      <w:r/>
      <w:r>
        <w:rPr>
          <w:color w:val="000000" w:themeColor="text1"/>
        </w:rPr>
      </w:r>
    </w:p>
    <w:p>
      <w:pPr>
        <w:pBdr/>
        <w:spacing w:after="140" w:line="276" w:lineRule="auto"/>
        <w:ind/>
        <w:jc w:val="both"/>
        <w:rPr>
          <w:color w:val="000000" w:themeColor="text1"/>
        </w:rPr>
      </w:pPr>
      <w:r>
        <w:rPr>
          <w:rFonts w:ascii="Calibri" w:hAnsi="Calibri" w:eastAsia="Calibri" w:cs="Calibri"/>
          <w:color w:val="000000" w:themeColor="text1"/>
          <w:sz w:val="21"/>
          <w:szCs w:val="21"/>
          <w:lang w:val="es-ES"/>
        </w:rPr>
        <w:t xml:space="preserve">El desarrollo sigue el orden que la propia norma ISO/IEC/IEEE 42010:2022 impone en su Cláusula 6 y que la plantilla de la asignatura reproduce: primero se identifica el sistema y su propósito, luego se establece qué debe cumplir, después quiénes lo observan y qué les preocupa, y solo entonces se decide su arquitectura. Elegir antes de haber establecido los criterios sería, en términos de la norma, una preferencia y no una decisión.</w:t>
      </w:r>
      <w:r>
        <w:rPr>
          <w:color w:val="000000" w:themeColor="text1"/>
        </w:rPr>
      </w:r>
    </w:p>
    <w:p>
      <w:pPr>
        <w:pStyle w:val="904"/>
        <w:keepNext w:val="true"/>
        <w:pBdr/>
        <w:spacing w:after="140" w:before="280"/>
        <w:ind/>
        <w:rPr>
          <w:color w:val="000000" w:themeColor="text1"/>
        </w:rPr>
      </w:pPr>
      <w:r/>
      <w:bookmarkStart w:id="9" w:name="_Toc9"/>
      <w:r>
        <w:rPr>
          <w:rFonts w:ascii="Calibri" w:hAnsi="Calibri" w:eastAsia="Calibri" w:cs="Calibri"/>
          <w:b/>
          <w:bCs/>
          <w:color w:val="000000" w:themeColor="text1"/>
          <w:sz w:val="25"/>
          <w:szCs w:val="25"/>
          <w:lang w:val="es-ES"/>
        </w:rPr>
        <w:t xml:space="preserve">2.1 Identificación del proyecto y propósito</w:t>
      </w:r>
      <w:r/>
      <w:bookmarkEnd w:id="9"/>
      <w:r/>
      <w:r>
        <w:rPr>
          <w:color w:val="000000" w:themeColor="text1"/>
        </w:rPr>
      </w:r>
    </w:p>
    <w:p>
      <w:pPr>
        <w:pBdr/>
        <w:spacing w:after="140" w:line="276" w:lineRule="auto"/>
        <w:ind/>
        <w:jc w:val="both"/>
        <w:rPr>
          <w:color w:val="000000" w:themeColor="text1"/>
        </w:rPr>
      </w:pPr>
      <w:r>
        <w:rPr>
          <w:rFonts w:ascii="Calibri" w:hAnsi="Calibri" w:eastAsia="Calibri" w:cs="Calibri"/>
          <w:color w:val="000000" w:themeColor="text1"/>
          <w:sz w:val="21"/>
          <w:szCs w:val="21"/>
          <w:lang w:val="es-ES"/>
        </w:rPr>
        <w:t xml:space="preserve">Conforme a la Cláusula 6.1 de la norma, toda Descripción de Arquitectura debe identificar inequívocamente la Entidad de Interés y el propósito que persigue su arquitectura.</w:t>
      </w:r>
      <w:r>
        <w:rPr>
          <w:color w:val="000000" w:themeColor="text1"/>
        </w:rPr>
      </w:r>
    </w:p>
    <w:tbl>
      <w:tblPr>
        <w:tblW w:w="9360" w:type="dxa"/>
        <w:tblBorders>
          <w:top w:val="single" w:color="8ea9db" w:sz="4" w:space="0"/>
          <w:left w:val="single" w:color="8ea9db" w:sz="4" w:space="0"/>
          <w:bottom w:val="single" w:color="8ea9db" w:sz="4" w:space="0"/>
          <w:right w:val="single" w:color="8ea9db" w:sz="4" w:space="0"/>
          <w:insideH w:val="single" w:color="b4c6e7" w:sz="2" w:space="0"/>
          <w:insideV w:val="single" w:color="b4c6e7" w:sz="2" w:space="0"/>
        </w:tblBorders>
        <w:tblLook w:val="04A0" w:firstRow="1" w:lastRow="0" w:firstColumn="1" w:lastColumn="0" w:noHBand="0" w:noVBand="1"/>
      </w:tblPr>
      <w:tblGrid>
        <w:gridCol w:w="2246"/>
        <w:gridCol w:w="7114"/>
      </w:tblGrid>
      <w:tr>
        <w:trPr>
          <w:cantSplit w:val="false"/>
          <w:tblHeader/>
        </w:trPr>
        <w:tc>
          <w:tcPr>
            <w:shd w:val="clear" w:color="auto" w:fill="d9e2f3"/>
            <w:tcBorders/>
            <w:tcMar>
              <w:left w:w="90" w:type="dxa"/>
              <w:top w:w="60" w:type="dxa"/>
              <w:right w:w="90" w:type="dxa"/>
              <w:bottom w:w="60" w:type="dxa"/>
            </w:tcMar>
            <w:tcW w:w="2246"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7"/>
                <w:szCs w:val="17"/>
                <w:lang w:val="es-ES"/>
              </w:rPr>
              <w:t xml:space="preserve">Campo</w:t>
            </w:r>
            <w:r>
              <w:rPr>
                <w:color w:val="000000" w:themeColor="text1"/>
              </w:rPr>
            </w:r>
          </w:p>
        </w:tc>
        <w:tc>
          <w:tcPr>
            <w:shd w:val="clear" w:color="auto" w:fill="d9e2f3"/>
            <w:tcBorders/>
            <w:tcMar>
              <w:left w:w="90" w:type="dxa"/>
              <w:top w:w="60" w:type="dxa"/>
              <w:right w:w="90" w:type="dxa"/>
              <w:bottom w:w="60" w:type="dxa"/>
            </w:tcMar>
            <w:tcW w:w="7114"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7"/>
                <w:szCs w:val="17"/>
                <w:lang w:val="es-ES"/>
              </w:rPr>
              <w:t xml:space="preserve">Contenido</w:t>
            </w:r>
            <w:r>
              <w:rPr>
                <w:color w:val="000000" w:themeColor="text1"/>
              </w:rPr>
            </w:r>
          </w:p>
        </w:tc>
      </w:tr>
      <w:tr>
        <w:trPr>
          <w:cantSplit w:val="false"/>
        </w:trPr>
        <w:tc>
          <w:tcPr>
            <w:shd w:val="clear" w:color="auto" w:fill="ffffff"/>
            <w:tcBorders/>
            <w:tcMar>
              <w:left w:w="90" w:type="dxa"/>
              <w:top w:w="60" w:type="dxa"/>
              <w:right w:w="90" w:type="dxa"/>
              <w:bottom w:w="60" w:type="dxa"/>
            </w:tcMar>
            <w:tcW w:w="2246"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7"/>
                <w:szCs w:val="17"/>
                <w:lang w:val="es-ES"/>
              </w:rPr>
              <w:t xml:space="preserve">Entidad de Interés (EdI)</w:t>
            </w:r>
            <w:r>
              <w:rPr>
                <w:color w:val="000000" w:themeColor="text1"/>
              </w:rPr>
            </w:r>
          </w:p>
        </w:tc>
        <w:tc>
          <w:tcPr>
            <w:shd w:val="clear" w:color="auto" w:fill="ffffff"/>
            <w:tcBorders/>
            <w:tcMar>
              <w:left w:w="90" w:type="dxa"/>
              <w:top w:w="60" w:type="dxa"/>
              <w:right w:w="90" w:type="dxa"/>
              <w:bottom w:w="60" w:type="dxa"/>
            </w:tcMar>
            <w:tcW w:w="7114"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7"/>
                <w:szCs w:val="17"/>
                <w:lang w:val="es-ES"/>
              </w:rPr>
              <w:t xml:space="preserve">Plataforma web B2B de emparejamiento comercial AbasteceNi — versión MVP (Producto Mínimo Viable).</w:t>
            </w:r>
            <w:r>
              <w:rPr>
                <w:color w:val="000000" w:themeColor="text1"/>
              </w:rPr>
            </w:r>
          </w:p>
        </w:tc>
      </w:tr>
      <w:tr>
        <w:trPr>
          <w:cantSplit w:val="false"/>
        </w:trPr>
        <w:tc>
          <w:tcPr>
            <w:shd w:val="clear" w:color="auto" w:fill="f2f5fa"/>
            <w:tcBorders/>
            <w:tcMar>
              <w:left w:w="90" w:type="dxa"/>
              <w:top w:w="60" w:type="dxa"/>
              <w:right w:w="90" w:type="dxa"/>
              <w:bottom w:w="60" w:type="dxa"/>
            </w:tcMar>
            <w:tcW w:w="2246"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7"/>
                <w:szCs w:val="17"/>
                <w:lang w:val="es-ES"/>
              </w:rPr>
              <w:t xml:space="preserve">Versión de esta DA</w:t>
            </w:r>
            <w:r>
              <w:rPr>
                <w:color w:val="000000" w:themeColor="text1"/>
              </w:rPr>
            </w:r>
          </w:p>
        </w:tc>
        <w:tc>
          <w:tcPr>
            <w:shd w:val="clear" w:color="auto" w:fill="f2f5fa"/>
            <w:tcBorders/>
            <w:tcMar>
              <w:left w:w="90" w:type="dxa"/>
              <w:top w:w="60" w:type="dxa"/>
              <w:right w:w="90" w:type="dxa"/>
              <w:bottom w:w="60" w:type="dxa"/>
            </w:tcMar>
            <w:tcW w:w="7114"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7"/>
                <w:szCs w:val="17"/>
                <w:lang w:val="es-ES"/>
              </w:rPr>
              <w:t xml:space="preserve">1.1 (revisión de la emisión integral 1.0).</w:t>
            </w:r>
            <w:r>
              <w:rPr>
                <w:color w:val="000000" w:themeColor="text1"/>
              </w:rPr>
            </w:r>
          </w:p>
        </w:tc>
      </w:tr>
      <w:tr>
        <w:trPr>
          <w:cantSplit w:val="false"/>
        </w:trPr>
        <w:tc>
          <w:tcPr>
            <w:shd w:val="clear" w:color="auto" w:fill="ffffff"/>
            <w:tcBorders/>
            <w:tcMar>
              <w:left w:w="90" w:type="dxa"/>
              <w:top w:w="60" w:type="dxa"/>
              <w:right w:w="90" w:type="dxa"/>
              <w:bottom w:w="60" w:type="dxa"/>
            </w:tcMar>
            <w:tcW w:w="2246"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7"/>
                <w:szCs w:val="17"/>
                <w:lang w:val="es-ES"/>
              </w:rPr>
              <w:t xml:space="preserve">Fecha</w:t>
            </w:r>
            <w:r>
              <w:rPr>
                <w:color w:val="000000" w:themeColor="text1"/>
              </w:rPr>
            </w:r>
          </w:p>
        </w:tc>
        <w:tc>
          <w:tcPr>
            <w:shd w:val="clear" w:color="auto" w:fill="ffffff"/>
            <w:tcBorders/>
            <w:tcMar>
              <w:left w:w="90" w:type="dxa"/>
              <w:top w:w="60" w:type="dxa"/>
              <w:right w:w="90" w:type="dxa"/>
              <w:bottom w:w="60" w:type="dxa"/>
            </w:tcMar>
            <w:tcW w:w="7114"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7"/>
                <w:szCs w:val="17"/>
                <w:lang w:val="es-ES"/>
              </w:rPr>
              <w:t xml:space="preserve">14 de septiembre de 2026</w:t>
            </w:r>
            <w:r>
              <w:rPr>
                <w:color w:val="000000" w:themeColor="text1"/>
              </w:rPr>
            </w:r>
          </w:p>
        </w:tc>
      </w:tr>
      <w:tr>
        <w:trPr>
          <w:cantSplit w:val="false"/>
        </w:trPr>
        <w:tc>
          <w:tcPr>
            <w:shd w:val="clear" w:color="auto" w:fill="f2f5fa"/>
            <w:tcBorders/>
            <w:tcMar>
              <w:left w:w="90" w:type="dxa"/>
              <w:top w:w="60" w:type="dxa"/>
              <w:right w:w="90" w:type="dxa"/>
              <w:bottom w:w="60" w:type="dxa"/>
            </w:tcMar>
            <w:tcW w:w="2246"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7"/>
                <w:szCs w:val="17"/>
                <w:lang w:val="es-ES"/>
              </w:rPr>
              <w:t xml:space="preserve">Arquitecto / Equipo responsable</w:t>
            </w:r>
            <w:r>
              <w:rPr>
                <w:color w:val="000000" w:themeColor="text1"/>
              </w:rPr>
            </w:r>
          </w:p>
        </w:tc>
        <w:tc>
          <w:tcPr>
            <w:shd w:val="clear" w:color="auto" w:fill="f2f5fa"/>
            <w:tcBorders/>
            <w:tcMar>
              <w:left w:w="90" w:type="dxa"/>
              <w:top w:w="60" w:type="dxa"/>
              <w:right w:w="90" w:type="dxa"/>
              <w:bottom w:w="60" w:type="dxa"/>
            </w:tcMar>
            <w:tcW w:w="7114"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7"/>
                <w:szCs w:val="17"/>
                <w:lang w:val="es-ES"/>
              </w:rPr>
              <w:t xml:space="preserve">Edith Yasohara Roda Hernández y Pedro José Miranda Gómez, Grupo 4S1-COM, Ingeniería de Software I.</w:t>
            </w:r>
            <w:r>
              <w:rPr>
                <w:color w:val="000000" w:themeColor="text1"/>
              </w:rPr>
            </w:r>
          </w:p>
        </w:tc>
      </w:tr>
      <w:tr>
        <w:trPr>
          <w:cantSplit w:val="false"/>
        </w:trPr>
        <w:tc>
          <w:tcPr>
            <w:shd w:val="clear" w:color="auto" w:fill="ffffff"/>
            <w:tcBorders/>
            <w:tcMar>
              <w:left w:w="90" w:type="dxa"/>
              <w:top w:w="60" w:type="dxa"/>
              <w:right w:w="90" w:type="dxa"/>
              <w:bottom w:w="60" w:type="dxa"/>
            </w:tcMar>
            <w:tcW w:w="2246"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7"/>
                <w:szCs w:val="17"/>
                <w:lang w:val="es-ES"/>
              </w:rPr>
              <w:t xml:space="preserve">Propósito de la arquitectura</w:t>
            </w:r>
            <w:r>
              <w:rPr>
                <w:color w:val="000000" w:themeColor="text1"/>
              </w:rPr>
            </w:r>
          </w:p>
        </w:tc>
        <w:tc>
          <w:tcPr>
            <w:shd w:val="clear" w:color="auto" w:fill="ffffff"/>
            <w:tcBorders/>
            <w:tcMar>
              <w:left w:w="90" w:type="dxa"/>
              <w:top w:w="60" w:type="dxa"/>
              <w:right w:w="90" w:type="dxa"/>
              <w:bottom w:w="60" w:type="dxa"/>
            </w:tcMar>
            <w:tcW w:w="7114"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7"/>
                <w:szCs w:val="17"/>
                <w:lang w:val="es-ES"/>
              </w:rPr>
              <w:t xml:space="preserve">Sostener una plataforma de emparejamiento comercial bajo enfoque «Demand-First» que consolide la demanda de minoristas departamentales en bloques regionales negociables y habilite a productores agrícolas a colocar excedentes por un canal alternativo. La arquitectura debe permitir que dos personas construyan, prueben y desplieguen ese sistema dentro de un calendario académico, sin comprometer la capacidad de crecer después.</w:t>
            </w:r>
            <w:r>
              <w:rPr>
                <w:color w:val="000000" w:themeColor="text1"/>
              </w:rPr>
            </w:r>
          </w:p>
        </w:tc>
      </w:tr>
      <w:tr>
        <w:trPr>
          <w:cantSplit w:val="false"/>
        </w:trPr>
        <w:tc>
          <w:tcPr>
            <w:shd w:val="clear" w:color="auto" w:fill="f2f5fa"/>
            <w:tcBorders/>
            <w:tcMar>
              <w:left w:w="90" w:type="dxa"/>
              <w:top w:w="60" w:type="dxa"/>
              <w:right w:w="90" w:type="dxa"/>
              <w:bottom w:w="60" w:type="dxa"/>
            </w:tcMar>
            <w:tcW w:w="2246"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7"/>
                <w:szCs w:val="17"/>
                <w:lang w:val="es-ES"/>
              </w:rPr>
              <w:t xml:space="preserve">Alcance incluido</w:t>
            </w:r>
            <w:r>
              <w:rPr>
                <w:color w:val="000000" w:themeColor="text1"/>
              </w:rPr>
            </w:r>
          </w:p>
        </w:tc>
        <w:tc>
          <w:tcPr>
            <w:shd w:val="clear" w:color="auto" w:fill="f2f5fa"/>
            <w:tcBorders/>
            <w:tcMar>
              <w:left w:w="90" w:type="dxa"/>
              <w:top w:w="60" w:type="dxa"/>
              <w:right w:w="90" w:type="dxa"/>
              <w:bottom w:w="60" w:type="dxa"/>
            </w:tcMar>
            <w:tcW w:w="7114"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7"/>
                <w:szCs w:val="17"/>
                <w:lang w:val="es-ES"/>
              </w:rPr>
              <w:t xml:space="preserve">Gestión de usuarios y validación comercial por RUC; publicación y consolidación de bloques de demanda; publicación de excedentes agrícolas; motor de búsqueda multicriterio; ciclo de cotización, contra-oferta y adjudicación; mensajería interna y notificaciones externas; calificaciones y reputación; soporte, auditoría inmutable y privacidad.</w:t>
            </w:r>
            <w:r>
              <w:rPr>
                <w:color w:val="000000" w:themeColor="text1"/>
              </w:rPr>
            </w:r>
          </w:p>
        </w:tc>
      </w:tr>
      <w:tr>
        <w:trPr>
          <w:cantSplit w:val="false"/>
        </w:trPr>
        <w:tc>
          <w:tcPr>
            <w:shd w:val="clear" w:color="auto" w:fill="ffffff"/>
            <w:tcBorders/>
            <w:tcMar>
              <w:left w:w="90" w:type="dxa"/>
              <w:top w:w="60" w:type="dxa"/>
              <w:right w:w="90" w:type="dxa"/>
              <w:bottom w:w="60" w:type="dxa"/>
            </w:tcMar>
            <w:tcW w:w="2246"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7"/>
                <w:szCs w:val="17"/>
                <w:lang w:val="es-ES"/>
              </w:rPr>
              <w:t xml:space="preserve">Alcance excluido</w:t>
            </w:r>
            <w:r>
              <w:rPr>
                <w:color w:val="000000" w:themeColor="text1"/>
              </w:rPr>
            </w:r>
          </w:p>
        </w:tc>
        <w:tc>
          <w:tcPr>
            <w:shd w:val="clear" w:color="auto" w:fill="ffffff"/>
            <w:tcBorders/>
            <w:tcMar>
              <w:left w:w="90" w:type="dxa"/>
              <w:top w:w="60" w:type="dxa"/>
              <w:right w:w="90" w:type="dxa"/>
              <w:bottom w:w="60" w:type="dxa"/>
            </w:tcMar>
            <w:tcW w:w="7114"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7"/>
                <w:szCs w:val="17"/>
                <w:lang w:val="es-ES"/>
              </w:rPr>
              <w:t xml:space="preserve">Pasarela de pagos electrónicos automatizados; rastreo logístico por GPS en tiempo real; aplicaciones móviles nativas. La liquidación de comisiones se realiza por canales bancarios externos al sistema.</w:t>
            </w:r>
            <w:r>
              <w:rPr>
                <w:color w:val="000000" w:themeColor="text1"/>
              </w:rPr>
            </w:r>
          </w:p>
        </w:tc>
      </w:tr>
      <w:tr>
        <w:trPr>
          <w:cantSplit w:val="false"/>
        </w:trPr>
        <w:tc>
          <w:tcPr>
            <w:shd w:val="clear" w:color="auto" w:fill="f2f5fa"/>
            <w:tcBorders/>
            <w:tcMar>
              <w:left w:w="90" w:type="dxa"/>
              <w:top w:w="60" w:type="dxa"/>
              <w:right w:w="90" w:type="dxa"/>
              <w:bottom w:w="60" w:type="dxa"/>
            </w:tcMar>
            <w:tcW w:w="2246"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7"/>
                <w:szCs w:val="17"/>
                <w:lang w:val="es-ES"/>
              </w:rPr>
              <w:t xml:space="preserve">Entorno de la EdI</w:t>
            </w:r>
            <w:r>
              <w:rPr>
                <w:color w:val="000000" w:themeColor="text1"/>
              </w:rPr>
            </w:r>
          </w:p>
        </w:tc>
        <w:tc>
          <w:tcPr>
            <w:shd w:val="clear" w:color="auto" w:fill="f2f5fa"/>
            <w:tcBorders/>
            <w:tcMar>
              <w:left w:w="90" w:type="dxa"/>
              <w:top w:w="60" w:type="dxa"/>
              <w:right w:w="90" w:type="dxa"/>
              <w:bottom w:w="60" w:type="dxa"/>
            </w:tcMar>
            <w:tcW w:w="7114"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7"/>
                <w:szCs w:val="17"/>
                <w:lang w:val="es-ES"/>
              </w:rPr>
              <w:t xml:space="preserve">Aplicación web responsiva bajo enfoque mobile-first, operada mayoritariamente desde teléfonos de gama media sobre redes 3G y 4G/LTE en los departamentos de Chinandega, Estelí y el occidente de Nicaragua. Restricciones normativas: Ley No. 787 de Protección de Datos Personales de Nicaragua, retención fiscal y comercial de siete años, WCAG 2.1 nivel AA y OWASP Top 10. Integración obligatoria con un servicio externo de mensajería (WhatsApp Business API) y con un servicio de correo saliente. Restricción organizacional determinante: equipo de dos desarrolladores estudiantes, sin operador de infraestructura dedicado y sin presupuesto de licenciamiento.</w:t>
            </w:r>
            <w:r>
              <w:rPr>
                <w:color w:val="000000" w:themeColor="text1"/>
              </w:rPr>
            </w:r>
          </w:p>
        </w:tc>
      </w:tr>
      <w:tr>
        <w:trPr>
          <w:cantSplit w:val="false"/>
        </w:trPr>
        <w:tc>
          <w:tcPr>
            <w:shd w:val="clear" w:color="auto" w:fill="ffffff"/>
            <w:tcBorders/>
            <w:tcMar>
              <w:left w:w="90" w:type="dxa"/>
              <w:top w:w="60" w:type="dxa"/>
              <w:right w:w="90" w:type="dxa"/>
              <w:bottom w:w="60" w:type="dxa"/>
            </w:tcMar>
            <w:tcW w:w="2246"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7"/>
                <w:szCs w:val="17"/>
                <w:lang w:val="es-ES"/>
              </w:rPr>
              <w:t xml:space="preserve">Glosario</w:t>
            </w:r>
            <w:r>
              <w:rPr>
                <w:color w:val="000000" w:themeColor="text1"/>
              </w:rPr>
            </w:r>
          </w:p>
        </w:tc>
        <w:tc>
          <w:tcPr>
            <w:shd w:val="clear" w:color="auto" w:fill="ffffff"/>
            <w:tcBorders/>
            <w:tcMar>
              <w:left w:w="90" w:type="dxa"/>
              <w:top w:w="60" w:type="dxa"/>
              <w:right w:w="90" w:type="dxa"/>
              <w:bottom w:w="60" w:type="dxa"/>
            </w:tcMar>
            <w:tcW w:w="7114"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7"/>
                <w:szCs w:val="17"/>
                <w:lang w:val="es-ES"/>
              </w:rPr>
              <w:t xml:space="preserve">Véase la sección 1.5 de este documento para el vocabulario de ISO/IEC/IEEE 42010:2022, y la sección 1.4 del documento de levantamiento de requerimientos para los términos del dominio (bloque de demanda, RUC, StRS, MoSCoW).</w:t>
            </w:r>
            <w:r>
              <w:rPr>
                <w:color w:val="000000" w:themeColor="text1"/>
              </w:rPr>
            </w:r>
          </w:p>
        </w:tc>
      </w:tr>
    </w:tbl>
    <w:p>
      <w:pPr>
        <w:pBdr/>
        <w:spacing w:after="160"/>
        <w:ind/>
        <w:rPr>
          <w:color w:val="000000" w:themeColor="text1"/>
        </w:rPr>
      </w:pPr>
      <w:r>
        <w:rPr>
          <w:color w:val="000000" w:themeColor="text1"/>
          <w:lang w:val="es-ES" w:bidi="es-ES"/>
        </w:rPr>
      </w:r>
      <w:r>
        <w:rPr>
          <w:color w:val="000000" w:themeColor="text1"/>
        </w:rPr>
      </w:r>
    </w:p>
    <w:p>
      <w:pPr>
        <w:pStyle w:val="904"/>
        <w:keepNext w:val="true"/>
        <w:pBdr/>
        <w:spacing w:after="140" w:before="280"/>
        <w:ind/>
        <w:rPr>
          <w:color w:val="000000" w:themeColor="text1"/>
        </w:rPr>
      </w:pPr>
      <w:r/>
      <w:bookmarkStart w:id="10" w:name="_Toc10"/>
      <w:r>
        <w:rPr>
          <w:rFonts w:ascii="Calibri" w:hAnsi="Calibri" w:eastAsia="Calibri" w:cs="Calibri"/>
          <w:b/>
          <w:bCs/>
          <w:color w:val="000000" w:themeColor="text1"/>
          <w:sz w:val="25"/>
          <w:szCs w:val="25"/>
          <w:lang w:val="es-ES"/>
        </w:rPr>
        <w:t xml:space="preserve">2.2 Requisitos arquitectónicamente significativos (ASR)</w:t>
      </w:r>
      <w:r/>
      <w:bookmarkEnd w:id="10"/>
      <w:r/>
      <w:r>
        <w:rPr>
          <w:color w:val="000000" w:themeColor="text1"/>
        </w:rPr>
      </w:r>
    </w:p>
    <w:p>
      <w:pPr>
        <w:pStyle w:val="905"/>
        <w:keepNext w:val="true"/>
        <w:pBdr/>
        <w:spacing w:after="120" w:before="220"/>
        <w:ind/>
        <w:rPr>
          <w:color w:val="000000" w:themeColor="text1"/>
        </w:rPr>
      </w:pPr>
      <w:r/>
      <w:bookmarkStart w:id="11" w:name="_Toc11"/>
      <w:r>
        <w:rPr>
          <w:rFonts w:ascii="Calibri" w:hAnsi="Calibri" w:eastAsia="Calibri" w:cs="Calibri"/>
          <w:b/>
          <w:bCs/>
          <w:color w:val="000000" w:themeColor="text1"/>
          <w:sz w:val="22"/>
          <w:szCs w:val="22"/>
          <w:lang w:val="es-ES"/>
        </w:rPr>
        <w:t xml:space="preserve">2.2.1 Criterio de selección</w:t>
      </w:r>
      <w:r/>
      <w:bookmarkEnd w:id="11"/>
      <w:r/>
      <w:r>
        <w:rPr>
          <w:color w:val="000000" w:themeColor="text1"/>
        </w:rPr>
      </w:r>
    </w:p>
    <w:p>
      <w:pPr>
        <w:pBdr/>
        <w:spacing w:after="140" w:line="276" w:lineRule="auto"/>
        <w:ind/>
        <w:jc w:val="both"/>
        <w:rPr>
          <w:color w:val="000000" w:themeColor="text1"/>
        </w:rPr>
      </w:pPr>
      <w:r>
        <w:rPr>
          <w:rFonts w:ascii="Calibri" w:hAnsi="Calibri" w:eastAsia="Calibri" w:cs="Calibri"/>
          <w:color w:val="000000" w:themeColor="text1"/>
          <w:sz w:val="21"/>
          <w:szCs w:val="21"/>
          <w:lang w:val="es-ES"/>
        </w:rPr>
        <w:t xml:space="preserve">El SWEBOK define los ASR como aquellos requisitos que influyen sobre la arquitectura, y advierte que no todos los requisitos son igualmente importantes para ella. De los 53 requisitos del catálogo, el equipo aplicó tres pruebas para determinar cuáles alcanzan esa condición:</w:t>
      </w:r>
      <w:r>
        <w:rPr>
          <w:color w:val="000000" w:themeColor="text1"/>
        </w:rPr>
      </w:r>
    </w:p>
    <w:p>
      <w:pPr>
        <w:pStyle w:val="910"/>
        <w:numPr>
          <w:ilvl w:val="0"/>
          <w:numId w:val="2"/>
        </w:numPr>
        <w:pBdr/>
        <w:spacing w:after="90" w:line="270" w:lineRule="auto"/>
        <w:ind/>
        <w:jc w:val="both"/>
        <w:rPr>
          <w:color w:val="000000" w:themeColor="text1"/>
        </w:rPr>
      </w:pPr>
      <w:r>
        <w:rPr>
          <w:rFonts w:ascii="Calibri" w:hAnsi="Calibri" w:eastAsia="Calibri" w:cs="Calibri"/>
          <w:b/>
          <w:bCs/>
          <w:color w:val="000000" w:themeColor="text1"/>
          <w:sz w:val="21"/>
          <w:szCs w:val="21"/>
          <w:lang w:val="es-ES"/>
        </w:rPr>
        <w:t xml:space="preserve">Prueba de estructura: </w:t>
      </w:r>
      <w:r>
        <w:rPr>
          <w:rFonts w:ascii="Calibri" w:hAnsi="Calibri" w:eastAsia="Calibri" w:cs="Calibri"/>
          <w:color w:val="000000" w:themeColor="text1"/>
          <w:sz w:val="21"/>
          <w:szCs w:val="21"/>
          <w:lang w:val="es-ES"/>
        </w:rPr>
        <w:t xml:space="preserve">el requisito obliga a la existencia de un componente, una frontera o un canal de comunicación que de otro modo no existiría.</w:t>
      </w:r>
      <w:r>
        <w:rPr>
          <w:color w:val="000000" w:themeColor="text1"/>
        </w:rPr>
      </w:r>
    </w:p>
    <w:p>
      <w:pPr>
        <w:pStyle w:val="910"/>
        <w:numPr>
          <w:ilvl w:val="0"/>
          <w:numId w:val="2"/>
        </w:numPr>
        <w:pBdr/>
        <w:spacing w:after="90" w:line="270" w:lineRule="auto"/>
        <w:ind/>
        <w:jc w:val="both"/>
        <w:rPr>
          <w:color w:val="000000" w:themeColor="text1"/>
        </w:rPr>
      </w:pPr>
      <w:r>
        <w:rPr>
          <w:rFonts w:ascii="Calibri" w:hAnsi="Calibri" w:eastAsia="Calibri" w:cs="Calibri"/>
          <w:b/>
          <w:bCs/>
          <w:color w:val="000000" w:themeColor="text1"/>
          <w:sz w:val="21"/>
          <w:szCs w:val="21"/>
          <w:lang w:val="es-ES"/>
        </w:rPr>
        <w:t xml:space="preserve">Prueba de reversibilidad: </w:t>
      </w:r>
      <w:r>
        <w:rPr>
          <w:rFonts w:ascii="Calibri" w:hAnsi="Calibri" w:eastAsia="Calibri" w:cs="Calibri"/>
          <w:color w:val="000000" w:themeColor="text1"/>
          <w:sz w:val="21"/>
          <w:szCs w:val="21"/>
          <w:lang w:val="es-ES"/>
        </w:rPr>
        <w:t xml:space="preserve">satisfacerlo tarde resultaría considerablemente más caro que satisfacerlo desde el inicio, porque afectaría transversalmente al sistema.</w:t>
      </w:r>
      <w:r>
        <w:rPr>
          <w:color w:val="000000" w:themeColor="text1"/>
        </w:rPr>
      </w:r>
    </w:p>
    <w:p>
      <w:pPr>
        <w:pStyle w:val="910"/>
        <w:numPr>
          <w:ilvl w:val="0"/>
          <w:numId w:val="2"/>
        </w:numPr>
        <w:pBdr/>
        <w:spacing w:after="90" w:line="270" w:lineRule="auto"/>
        <w:ind/>
        <w:jc w:val="both"/>
        <w:rPr>
          <w:color w:val="000000" w:themeColor="text1"/>
        </w:rPr>
      </w:pPr>
      <w:r>
        <w:rPr>
          <w:rFonts w:ascii="Calibri" w:hAnsi="Calibri" w:eastAsia="Calibri" w:cs="Calibri"/>
          <w:b/>
          <w:bCs/>
          <w:color w:val="000000" w:themeColor="text1"/>
          <w:sz w:val="21"/>
          <w:szCs w:val="21"/>
          <w:lang w:val="es-ES"/>
        </w:rPr>
        <w:t xml:space="preserve">Prueba de discriminación: </w:t>
      </w:r>
      <w:r>
        <w:rPr>
          <w:rFonts w:ascii="Calibri" w:hAnsi="Calibri" w:eastAsia="Calibri" w:cs="Calibri"/>
          <w:color w:val="000000" w:themeColor="text1"/>
          <w:sz w:val="21"/>
          <w:szCs w:val="21"/>
          <w:lang w:val="es-ES"/>
        </w:rPr>
        <w:t xml:space="preserve">el requisito permite distinguir entre las alternativas de arquitectura evaluadas, es decir, unas lo satisfacen mejor que otras.</w:t>
      </w:r>
      <w:r>
        <w:rPr>
          <w:color w:val="000000" w:themeColor="text1"/>
        </w:rPr>
      </w:r>
    </w:p>
    <w:p>
      <w:pPr>
        <w:pBdr/>
        <w:spacing w:after="140" w:line="276" w:lineRule="auto"/>
        <w:ind/>
        <w:jc w:val="both"/>
        <w:rPr>
          <w:color w:val="000000" w:themeColor="text1"/>
        </w:rPr>
      </w:pPr>
      <w:r>
        <w:rPr>
          <w:rFonts w:ascii="Calibri" w:hAnsi="Calibri" w:eastAsia="Calibri" w:cs="Calibri"/>
          <w:color w:val="000000" w:themeColor="text1"/>
          <w:sz w:val="21"/>
          <w:szCs w:val="21"/>
          <w:lang w:val="es-ES"/>
        </w:rPr>
        <w:t xml:space="preserve">Requisitos como SYS-FN-24 (repositorio de plantillas de mensajes) o SYS-FN-30 (insignia de reputación) no superan ninguna de las tres pruebas: son valiosos para el producto, pero cualquiera de las tres arquitecturas evaluadas los soporta de manera indistinta y añadirlos tardíamente no genera retrabajo estructural. Por ello no figuran como ASR, sin que esto implique menor prioridad de implementación.</w:t>
      </w:r>
      <w:r>
        <w:rPr>
          <w:color w:val="000000" w:themeColor="text1"/>
        </w:rPr>
      </w:r>
    </w:p>
    <w:p>
      <w:pPr>
        <w:pStyle w:val="905"/>
        <w:keepNext w:val="true"/>
        <w:pBdr/>
        <w:spacing w:after="120" w:before="220"/>
        <w:ind/>
        <w:rPr>
          <w:color w:val="000000" w:themeColor="text1"/>
        </w:rPr>
      </w:pPr>
      <w:r/>
      <w:bookmarkStart w:id="12" w:name="_Toc12"/>
      <w:r>
        <w:rPr>
          <w:rFonts w:ascii="Calibri" w:hAnsi="Calibri" w:eastAsia="Calibri" w:cs="Calibri"/>
          <w:b/>
          <w:bCs/>
          <w:color w:val="000000" w:themeColor="text1"/>
          <w:sz w:val="22"/>
          <w:szCs w:val="22"/>
          <w:lang w:val="es-ES"/>
        </w:rPr>
        <w:t xml:space="preserve">2.2.2 Requisitos funcionales arquitectónicamente significativos</w:t>
      </w:r>
      <w:r/>
      <w:bookmarkEnd w:id="12"/>
      <w:r/>
      <w:r>
        <w:rPr>
          <w:color w:val="000000" w:themeColor="text1"/>
        </w:rPr>
      </w:r>
    </w:p>
    <w:p>
      <w:pPr>
        <w:pBdr/>
        <w:spacing w:after="140" w:line="276" w:lineRule="auto"/>
        <w:ind/>
        <w:jc w:val="both"/>
        <w:rPr>
          <w:color w:val="000000" w:themeColor="text1"/>
        </w:rPr>
      </w:pPr>
      <w:r>
        <w:rPr>
          <w:rFonts w:ascii="Calibri" w:hAnsi="Calibri" w:eastAsia="Calibri" w:cs="Calibri"/>
          <w:color w:val="000000" w:themeColor="text1"/>
          <w:sz w:val="21"/>
          <w:szCs w:val="21"/>
          <w:lang w:val="es-ES"/>
        </w:rPr>
        <w:t xml:space="preserve">La tabla presenta los diez ASR funcionales, agrupando los requisitos del catálogo que responden a una misma exigencia estructural. La columna de trazabilidad </w:t>
      </w:r>
      <w:r>
        <w:rPr>
          <w:color w:val="000000" w:themeColor="text1"/>
        </w:rPr>
        <w:t xml:space="preserve">conserva los identificadores del documento de levantamiento de requerimientos</w:t>
      </w:r>
      <w:r>
        <w:rPr>
          <w:rFonts w:ascii="Calibri" w:hAnsi="Calibri" w:eastAsia="Calibri" w:cs="Calibri"/>
          <w:color w:val="000000" w:themeColor="text1"/>
          <w:sz w:val="21"/>
          <w:szCs w:val="21"/>
          <w:lang w:val="es-ES"/>
        </w:rPr>
        <w:t xml:space="preserve">.</w:t>
      </w:r>
      <w:r>
        <w:rPr>
          <w:color w:val="000000" w:themeColor="text1"/>
        </w:rPr>
      </w:r>
    </w:p>
    <w:tbl>
      <w:tblPr>
        <w:tblW w:w="9360" w:type="dxa"/>
        <w:tblBorders>
          <w:top w:val="single" w:color="8ea9db" w:sz="4" w:space="0"/>
          <w:left w:val="single" w:color="8ea9db" w:sz="4" w:space="0"/>
          <w:bottom w:val="single" w:color="8ea9db" w:sz="4" w:space="0"/>
          <w:right w:val="single" w:color="8ea9db" w:sz="4" w:space="0"/>
          <w:insideH w:val="single" w:color="b4c6e7" w:sz="2" w:space="0"/>
          <w:insideV w:val="single" w:color="b4c6e7" w:sz="2" w:space="0"/>
        </w:tblBorders>
        <w:tblLook w:val="04A0" w:firstRow="1" w:lastRow="0" w:firstColumn="1" w:lastColumn="0" w:noHBand="0" w:noVBand="1"/>
      </w:tblPr>
      <w:tblGrid>
        <w:gridCol w:w="749"/>
        <w:gridCol w:w="1872"/>
        <w:gridCol w:w="4306"/>
        <w:gridCol w:w="1404"/>
        <w:gridCol w:w="1030"/>
      </w:tblGrid>
      <w:tr>
        <w:trPr>
          <w:cantSplit w:val="false"/>
          <w:tblHeader/>
        </w:trPr>
        <w:tc>
          <w:tcPr>
            <w:shd w:val="clear" w:color="auto" w:fill="d9e2f3"/>
            <w:tcBorders/>
            <w:tcMar>
              <w:left w:w="90" w:type="dxa"/>
              <w:top w:w="60" w:type="dxa"/>
              <w:right w:w="90" w:type="dxa"/>
              <w:bottom w:w="60" w:type="dxa"/>
            </w:tcMar>
            <w:tcW w:w="749"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w:t>
            </w:r>
            <w:r>
              <w:rPr>
                <w:color w:val="000000" w:themeColor="text1"/>
              </w:rPr>
            </w:r>
          </w:p>
        </w:tc>
        <w:tc>
          <w:tcPr>
            <w:shd w:val="clear" w:color="auto" w:fill="d9e2f3"/>
            <w:tcBorders/>
            <w:tcMar>
              <w:left w:w="90" w:type="dxa"/>
              <w:top w:w="60" w:type="dxa"/>
              <w:right w:w="90" w:type="dxa"/>
              <w:bottom w:w="60" w:type="dxa"/>
            </w:tcMar>
            <w:tcW w:w="1872"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Requisito funcional</w:t>
            </w:r>
            <w:r>
              <w:rPr>
                <w:color w:val="000000" w:themeColor="text1"/>
              </w:rPr>
            </w:r>
          </w:p>
        </w:tc>
        <w:tc>
          <w:tcPr>
            <w:shd w:val="clear" w:color="auto" w:fill="d9e2f3"/>
            <w:tcBorders/>
            <w:tcMar>
              <w:left w:w="90" w:type="dxa"/>
              <w:top w:w="60" w:type="dxa"/>
              <w:right w:w="90" w:type="dxa"/>
              <w:bottom w:w="60" w:type="dxa"/>
            </w:tcMar>
            <w:tcW w:w="4306"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Descripción breve y exigencia estructural que impone</w:t>
            </w:r>
            <w:r>
              <w:rPr>
                <w:color w:val="000000" w:themeColor="text1"/>
              </w:rPr>
            </w:r>
          </w:p>
        </w:tc>
        <w:tc>
          <w:tcPr>
            <w:shd w:val="clear" w:color="auto" w:fill="d9e2f3"/>
            <w:tcBorders/>
            <w:tcMar>
              <w:left w:w="90" w:type="dxa"/>
              <w:top w:w="60" w:type="dxa"/>
              <w:right w:w="90" w:type="dxa"/>
              <w:bottom w:w="60" w:type="dxa"/>
            </w:tcMar>
            <w:tcW w:w="1404"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Trazabilidad</w:t>
            </w:r>
            <w:r>
              <w:rPr>
                <w:color w:val="000000" w:themeColor="text1"/>
              </w:rPr>
            </w:r>
          </w:p>
        </w:tc>
        <w:tc>
          <w:tcPr>
            <w:shd w:val="clear" w:color="auto" w:fill="d9e2f3"/>
            <w:tcBorders/>
            <w:tcMar>
              <w:left w:w="90" w:type="dxa"/>
              <w:top w:w="60" w:type="dxa"/>
              <w:right w:w="90" w:type="dxa"/>
              <w:bottom w:w="60" w:type="dxa"/>
            </w:tcMar>
            <w:tcW w:w="1030"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Prioridad</w:t>
            </w:r>
            <w:r>
              <w:rPr>
                <w:color w:val="000000" w:themeColor="text1"/>
              </w:rPr>
            </w:r>
          </w:p>
        </w:tc>
      </w:tr>
      <w:tr>
        <w:trPr>
          <w:cantSplit w:val="false"/>
        </w:trPr>
        <w:tc>
          <w:tcPr>
            <w:shd w:val="clear" w:color="auto" w:fill="ffffff"/>
            <w:tcBorders/>
            <w:tcMar>
              <w:left w:w="90" w:type="dxa"/>
              <w:top w:w="60" w:type="dxa"/>
              <w:right w:w="90" w:type="dxa"/>
              <w:bottom w:w="60" w:type="dxa"/>
            </w:tcMar>
            <w:tcW w:w="749"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RF-01</w:t>
            </w:r>
            <w:r>
              <w:rPr>
                <w:color w:val="000000" w:themeColor="text1"/>
              </w:rPr>
            </w:r>
          </w:p>
        </w:tc>
        <w:tc>
          <w:tcPr>
            <w:shd w:val="clear" w:color="auto" w:fill="ffffff"/>
            <w:tcBorders/>
            <w:tcMar>
              <w:left w:w="90" w:type="dxa"/>
              <w:top w:w="60" w:type="dxa"/>
              <w:right w:w="90" w:type="dxa"/>
              <w:bottom w:w="60" w:type="dxa"/>
            </w:tcMar>
            <w:tcW w:w="1872"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Identidad, roles y validación comercial</w:t>
            </w:r>
            <w:r>
              <w:rPr>
                <w:color w:val="000000" w:themeColor="text1"/>
              </w:rPr>
            </w:r>
          </w:p>
        </w:tc>
        <w:tc>
          <w:tcPr>
            <w:shd w:val="clear" w:color="auto" w:fill="ffffff"/>
            <w:tcBorders/>
            <w:tcMar>
              <w:left w:w="90" w:type="dxa"/>
              <w:top w:w="60" w:type="dxa"/>
              <w:right w:w="90" w:type="dxa"/>
              <w:bottom w:w="60" w:type="dxa"/>
            </w:tcMar>
            <w:tcW w:w="4306"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Registro de cuentas comerciales con carga de RUC, validación por el administrador y cuatro roles diferenciados. Exige un componente de autorización transversal a todos los módulos.</w:t>
            </w:r>
            <w:r>
              <w:rPr>
                <w:color w:val="000000" w:themeColor="text1"/>
              </w:rPr>
            </w:r>
          </w:p>
        </w:tc>
        <w:tc>
          <w:tcPr>
            <w:shd w:val="clear" w:color="auto" w:fill="ffffff"/>
            <w:tcBorders/>
            <w:tcMar>
              <w:left w:w="90" w:type="dxa"/>
              <w:top w:w="60" w:type="dxa"/>
              <w:right w:w="90" w:type="dxa"/>
              <w:bottom w:w="60" w:type="dxa"/>
            </w:tcMar>
            <w:tcW w:w="1404"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SYS-FN-01 a 04</w:t>
            </w:r>
            <w:r>
              <w:rPr>
                <w:color w:val="000000" w:themeColor="text1"/>
              </w:rPr>
            </w:r>
          </w:p>
        </w:tc>
        <w:tc>
          <w:tcPr>
            <w:shd w:val="clear" w:color="auto" w:fill="ffffff"/>
            <w:tcBorders/>
            <w:tcMar>
              <w:left w:w="90" w:type="dxa"/>
              <w:top w:w="60" w:type="dxa"/>
              <w:right w:w="90" w:type="dxa"/>
              <w:bottom w:w="60" w:type="dxa"/>
            </w:tcMar>
            <w:tcW w:w="1030"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Alta</w:t>
            </w:r>
            <w:r>
              <w:rPr>
                <w:color w:val="000000" w:themeColor="text1"/>
              </w:rPr>
            </w:r>
          </w:p>
        </w:tc>
      </w:tr>
      <w:tr>
        <w:trPr>
          <w:cantSplit w:val="false"/>
        </w:trPr>
        <w:tc>
          <w:tcPr>
            <w:shd w:val="clear" w:color="auto" w:fill="f2f5fa"/>
            <w:tcBorders/>
            <w:tcMar>
              <w:left w:w="90" w:type="dxa"/>
              <w:top w:w="60" w:type="dxa"/>
              <w:right w:w="90" w:type="dxa"/>
              <w:bottom w:w="60" w:type="dxa"/>
            </w:tcMar>
            <w:tcW w:w="749"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RF-02</w:t>
            </w:r>
            <w:r>
              <w:rPr>
                <w:color w:val="000000" w:themeColor="text1"/>
              </w:rPr>
            </w:r>
          </w:p>
        </w:tc>
        <w:tc>
          <w:tcPr>
            <w:shd w:val="clear" w:color="auto" w:fill="f2f5fa"/>
            <w:tcBorders/>
            <w:tcMar>
              <w:left w:w="90" w:type="dxa"/>
              <w:top w:w="60" w:type="dxa"/>
              <w:right w:w="90" w:type="dxa"/>
              <w:bottom w:w="60" w:type="dxa"/>
            </w:tcMar>
            <w:tcW w:w="1872"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Consolidación automática de bloques de demanda</w:t>
            </w:r>
            <w:r>
              <w:rPr>
                <w:color w:val="000000" w:themeColor="text1"/>
              </w:rPr>
            </w:r>
          </w:p>
        </w:tc>
        <w:tc>
          <w:tcPr>
            <w:shd w:val="clear" w:color="auto" w:fill="f2f5fa"/>
            <w:tcBorders/>
            <w:tcMar>
              <w:left w:w="90" w:type="dxa"/>
              <w:top w:w="60" w:type="dxa"/>
              <w:right w:w="90" w:type="dxa"/>
              <w:bottom w:w="60" w:type="dxa"/>
            </w:tcMar>
            <w:tcW w:w="4306"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Agrupación de demandas individuales que comparten categoría y departamento en un bloque regional con volumen agregado. Exige lógica de dominio no trivial e invariantes de consistencia.</w:t>
            </w:r>
            <w:r>
              <w:rPr>
                <w:color w:val="000000" w:themeColor="text1"/>
              </w:rPr>
            </w:r>
          </w:p>
        </w:tc>
        <w:tc>
          <w:tcPr>
            <w:shd w:val="clear" w:color="auto" w:fill="f2f5fa"/>
            <w:tcBorders/>
            <w:tcMar>
              <w:left w:w="90" w:type="dxa"/>
              <w:top w:w="60" w:type="dxa"/>
              <w:right w:w="90" w:type="dxa"/>
              <w:bottom w:w="60" w:type="dxa"/>
            </w:tcMar>
            <w:tcW w:w="1404"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SYS-FN-09, 11</w:t>
            </w:r>
            <w:r>
              <w:rPr>
                <w:color w:val="000000" w:themeColor="text1"/>
              </w:rPr>
            </w:r>
          </w:p>
        </w:tc>
        <w:tc>
          <w:tcPr>
            <w:shd w:val="clear" w:color="auto" w:fill="f2f5fa"/>
            <w:tcBorders/>
            <w:tcMar>
              <w:left w:w="90" w:type="dxa"/>
              <w:top w:w="60" w:type="dxa"/>
              <w:right w:w="90" w:type="dxa"/>
              <w:bottom w:w="60" w:type="dxa"/>
            </w:tcMar>
            <w:tcW w:w="1030"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Alta</w:t>
            </w:r>
            <w:r>
              <w:rPr>
                <w:color w:val="000000" w:themeColor="text1"/>
              </w:rPr>
            </w:r>
          </w:p>
        </w:tc>
      </w:tr>
      <w:tr>
        <w:trPr>
          <w:cantSplit w:val="false"/>
        </w:trPr>
        <w:tc>
          <w:tcPr>
            <w:shd w:val="clear" w:color="auto" w:fill="ffffff"/>
            <w:tcBorders/>
            <w:tcMar>
              <w:left w:w="90" w:type="dxa"/>
              <w:top w:w="60" w:type="dxa"/>
              <w:right w:w="90" w:type="dxa"/>
              <w:bottom w:w="60" w:type="dxa"/>
            </w:tcMar>
            <w:tcW w:w="749"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RF-03</w:t>
            </w:r>
            <w:r>
              <w:rPr>
                <w:color w:val="000000" w:themeColor="text1"/>
              </w:rPr>
            </w:r>
          </w:p>
        </w:tc>
        <w:tc>
          <w:tcPr>
            <w:shd w:val="clear" w:color="auto" w:fill="ffffff"/>
            <w:tcBorders/>
            <w:tcMar>
              <w:left w:w="90" w:type="dxa"/>
              <w:top w:w="60" w:type="dxa"/>
              <w:right w:w="90" w:type="dxa"/>
              <w:bottom w:w="60" w:type="dxa"/>
            </w:tcMar>
            <w:tcW w:w="1872"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Búsqueda multicriterio combinada</w:t>
            </w:r>
            <w:r>
              <w:rPr>
                <w:color w:val="000000" w:themeColor="text1"/>
              </w:rPr>
            </w:r>
          </w:p>
        </w:tc>
        <w:tc>
          <w:tcPr>
            <w:shd w:val="clear" w:color="auto" w:fill="ffffff"/>
            <w:tcBorders/>
            <w:tcMar>
              <w:left w:w="90" w:type="dxa"/>
              <w:top w:w="60" w:type="dxa"/>
              <w:right w:w="90" w:type="dxa"/>
              <w:bottom w:w="60" w:type="dxa"/>
            </w:tcMar>
            <w:tcW w:w="4306"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Filtrado simultáneo por departamento, municipio, categoría y rango de volumen sobre demandas y ofertas activas. Exige una estrategia de indexación y separación del camino de lectura.</w:t>
            </w:r>
            <w:r>
              <w:rPr>
                <w:color w:val="000000" w:themeColor="text1"/>
              </w:rPr>
            </w:r>
          </w:p>
        </w:tc>
        <w:tc>
          <w:tcPr>
            <w:shd w:val="clear" w:color="auto" w:fill="ffffff"/>
            <w:tcBorders/>
            <w:tcMar>
              <w:left w:w="90" w:type="dxa"/>
              <w:top w:w="60" w:type="dxa"/>
              <w:right w:w="90" w:type="dxa"/>
              <w:bottom w:w="60" w:type="dxa"/>
            </w:tcMar>
            <w:tcW w:w="1404"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SYS-FN-15</w:t>
            </w:r>
            <w:r>
              <w:rPr>
                <w:color w:val="000000" w:themeColor="text1"/>
              </w:rPr>
            </w:r>
          </w:p>
        </w:tc>
        <w:tc>
          <w:tcPr>
            <w:shd w:val="clear" w:color="auto" w:fill="ffffff"/>
            <w:tcBorders/>
            <w:tcMar>
              <w:left w:w="90" w:type="dxa"/>
              <w:top w:w="60" w:type="dxa"/>
              <w:right w:w="90" w:type="dxa"/>
              <w:bottom w:w="60" w:type="dxa"/>
            </w:tcMar>
            <w:tcW w:w="1030"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Alta</w:t>
            </w:r>
            <w:r>
              <w:rPr>
                <w:color w:val="000000" w:themeColor="text1"/>
              </w:rPr>
            </w:r>
          </w:p>
        </w:tc>
      </w:tr>
      <w:tr>
        <w:trPr>
          <w:cantSplit w:val="false"/>
        </w:trPr>
        <w:tc>
          <w:tcPr>
            <w:shd w:val="clear" w:color="auto" w:fill="f2f5fa"/>
            <w:tcBorders/>
            <w:tcMar>
              <w:left w:w="90" w:type="dxa"/>
              <w:top w:w="60" w:type="dxa"/>
              <w:right w:w="90" w:type="dxa"/>
              <w:bottom w:w="60" w:type="dxa"/>
            </w:tcMar>
            <w:tcW w:w="749"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RF-04</w:t>
            </w:r>
            <w:r>
              <w:rPr>
                <w:color w:val="000000" w:themeColor="text1"/>
              </w:rPr>
            </w:r>
          </w:p>
        </w:tc>
        <w:tc>
          <w:tcPr>
            <w:shd w:val="clear" w:color="auto" w:fill="f2f5fa"/>
            <w:tcBorders/>
            <w:tcMar>
              <w:left w:w="90" w:type="dxa"/>
              <w:top w:w="60" w:type="dxa"/>
              <w:right w:w="90" w:type="dxa"/>
              <w:bottom w:w="60" w:type="dxa"/>
            </w:tcMar>
            <w:tcW w:w="1872"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Ciclo de cotización y negociación</w:t>
            </w:r>
            <w:r>
              <w:rPr>
                <w:color w:val="000000" w:themeColor="text1"/>
              </w:rPr>
            </w:r>
          </w:p>
        </w:tc>
        <w:tc>
          <w:tcPr>
            <w:shd w:val="clear" w:color="auto" w:fill="f2f5fa"/>
            <w:tcBorders/>
            <w:tcMar>
              <w:left w:w="90" w:type="dxa"/>
              <w:top w:w="60" w:type="dxa"/>
              <w:right w:w="90" w:type="dxa"/>
              <w:bottom w:w="60" w:type="dxa"/>
            </w:tcMar>
            <w:tcW w:w="4306"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Emisión de cotizaciones, aceptación o rechazo y hasta tres rondas de contra-oferta con registro en bitácora. Exige una máquina de estados explícita y transaccionalidad.</w:t>
            </w:r>
            <w:r>
              <w:rPr>
                <w:color w:val="000000" w:themeColor="text1"/>
              </w:rPr>
            </w:r>
          </w:p>
        </w:tc>
        <w:tc>
          <w:tcPr>
            <w:shd w:val="clear" w:color="auto" w:fill="f2f5fa"/>
            <w:tcBorders/>
            <w:tcMar>
              <w:left w:w="90" w:type="dxa"/>
              <w:top w:w="60" w:type="dxa"/>
              <w:right w:w="90" w:type="dxa"/>
              <w:bottom w:w="60" w:type="dxa"/>
            </w:tcMar>
            <w:tcW w:w="1404"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SYS-FN-18 a 20</w:t>
            </w:r>
            <w:r>
              <w:rPr>
                <w:color w:val="000000" w:themeColor="text1"/>
              </w:rPr>
            </w:r>
          </w:p>
        </w:tc>
        <w:tc>
          <w:tcPr>
            <w:shd w:val="clear" w:color="auto" w:fill="f2f5fa"/>
            <w:tcBorders/>
            <w:tcMar>
              <w:left w:w="90" w:type="dxa"/>
              <w:top w:w="60" w:type="dxa"/>
              <w:right w:w="90" w:type="dxa"/>
              <w:bottom w:w="60" w:type="dxa"/>
            </w:tcMar>
            <w:tcW w:w="1030"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Alta</w:t>
            </w:r>
            <w:r>
              <w:rPr>
                <w:color w:val="000000" w:themeColor="text1"/>
              </w:rPr>
            </w:r>
          </w:p>
        </w:tc>
      </w:tr>
      <w:tr>
        <w:trPr>
          <w:cantSplit w:val="false"/>
        </w:trPr>
        <w:tc>
          <w:tcPr>
            <w:shd w:val="clear" w:color="auto" w:fill="ffffff"/>
            <w:tcBorders/>
            <w:tcMar>
              <w:left w:w="90" w:type="dxa"/>
              <w:top w:w="60" w:type="dxa"/>
              <w:right w:w="90" w:type="dxa"/>
              <w:bottom w:w="60" w:type="dxa"/>
            </w:tcMar>
            <w:tcW w:w="749"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RF-05</w:t>
            </w:r>
            <w:r>
              <w:rPr>
                <w:color w:val="000000" w:themeColor="text1"/>
              </w:rPr>
            </w:r>
          </w:p>
        </w:tc>
        <w:tc>
          <w:tcPr>
            <w:shd w:val="clear" w:color="auto" w:fill="ffffff"/>
            <w:tcBorders/>
            <w:tcMar>
              <w:left w:w="90" w:type="dxa"/>
              <w:top w:w="60" w:type="dxa"/>
              <w:right w:w="90" w:type="dxa"/>
              <w:bottom w:w="60" w:type="dxa"/>
            </w:tcMar>
            <w:tcW w:w="1872"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Congelamiento y liberación de inventario</w:t>
            </w:r>
            <w:r>
              <w:rPr>
                <w:color w:val="000000" w:themeColor="text1"/>
              </w:rPr>
            </w:r>
          </w:p>
        </w:tc>
        <w:tc>
          <w:tcPr>
            <w:shd w:val="clear" w:color="auto" w:fill="ffffff"/>
            <w:tcBorders/>
            <w:tcMar>
              <w:left w:w="90" w:type="dxa"/>
              <w:top w:w="60" w:type="dxa"/>
              <w:right w:w="90" w:type="dxa"/>
              <w:bottom w:w="60" w:type="dxa"/>
            </w:tcMar>
            <w:tcW w:w="4306"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Reserva del 80 % del volumen durante 48 horas y liberación automática al vencer el plazo sin confirmación. Exige ejecución diferida en el tiempo, no disparada por el usuario.</w:t>
            </w:r>
            <w:r>
              <w:rPr>
                <w:color w:val="000000" w:themeColor="text1"/>
              </w:rPr>
            </w:r>
          </w:p>
        </w:tc>
        <w:tc>
          <w:tcPr>
            <w:shd w:val="clear" w:color="auto" w:fill="ffffff"/>
            <w:tcBorders/>
            <w:tcMar>
              <w:left w:w="90" w:type="dxa"/>
              <w:top w:w="60" w:type="dxa"/>
              <w:right w:w="90" w:type="dxa"/>
              <w:bottom w:w="60" w:type="dxa"/>
            </w:tcMar>
            <w:tcW w:w="1404"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SYS-FN-16, 17</w:t>
            </w:r>
            <w:r>
              <w:rPr>
                <w:color w:val="000000" w:themeColor="text1"/>
              </w:rPr>
            </w:r>
          </w:p>
        </w:tc>
        <w:tc>
          <w:tcPr>
            <w:shd w:val="clear" w:color="auto" w:fill="ffffff"/>
            <w:tcBorders/>
            <w:tcMar>
              <w:left w:w="90" w:type="dxa"/>
              <w:top w:w="60" w:type="dxa"/>
              <w:right w:w="90" w:type="dxa"/>
              <w:bottom w:w="60" w:type="dxa"/>
            </w:tcMar>
            <w:tcW w:w="1030"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Alta</w:t>
            </w:r>
            <w:r>
              <w:rPr>
                <w:color w:val="000000" w:themeColor="text1"/>
              </w:rPr>
            </w:r>
          </w:p>
        </w:tc>
      </w:tr>
      <w:tr>
        <w:trPr>
          <w:cantSplit w:val="false"/>
        </w:trPr>
        <w:tc>
          <w:tcPr>
            <w:shd w:val="clear" w:color="auto" w:fill="f2f5fa"/>
            <w:tcBorders/>
            <w:tcMar>
              <w:left w:w="90" w:type="dxa"/>
              <w:top w:w="60" w:type="dxa"/>
              <w:right w:w="90" w:type="dxa"/>
              <w:bottom w:w="60" w:type="dxa"/>
            </w:tcMar>
            <w:tcW w:w="749"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RF-06</w:t>
            </w:r>
            <w:r>
              <w:rPr>
                <w:color w:val="000000" w:themeColor="text1"/>
              </w:rPr>
            </w:r>
          </w:p>
        </w:tc>
        <w:tc>
          <w:tcPr>
            <w:shd w:val="clear" w:color="auto" w:fill="f2f5fa"/>
            <w:tcBorders/>
            <w:tcMar>
              <w:left w:w="90" w:type="dxa"/>
              <w:top w:w="60" w:type="dxa"/>
              <w:right w:w="90" w:type="dxa"/>
              <w:bottom w:w="60" w:type="dxa"/>
            </w:tcMar>
            <w:tcW w:w="1872"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Mensajería privada condicionada</w:t>
            </w:r>
            <w:r>
              <w:rPr>
                <w:color w:val="000000" w:themeColor="text1"/>
              </w:rPr>
            </w:r>
          </w:p>
        </w:tc>
        <w:tc>
          <w:tcPr>
            <w:shd w:val="clear" w:color="auto" w:fill="f2f5fa"/>
            <w:tcBorders/>
            <w:tcMar>
              <w:left w:w="90" w:type="dxa"/>
              <w:top w:w="60" w:type="dxa"/>
              <w:right w:w="90" w:type="dxa"/>
              <w:bottom w:w="60" w:type="dxa"/>
            </w:tcMar>
            <w:tcW w:w="4306"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Chat habilitado únicamente tras la aceptación provisional de una cotización, con retención de doce meses. Exige acoplamiento controlado entre el módulo de cotizaciones y el de chat.</w:t>
            </w:r>
            <w:r>
              <w:rPr>
                <w:color w:val="000000" w:themeColor="text1"/>
              </w:rPr>
            </w:r>
          </w:p>
        </w:tc>
        <w:tc>
          <w:tcPr>
            <w:shd w:val="clear" w:color="auto" w:fill="f2f5fa"/>
            <w:tcBorders/>
            <w:tcMar>
              <w:left w:w="90" w:type="dxa"/>
              <w:top w:w="60" w:type="dxa"/>
              <w:right w:w="90" w:type="dxa"/>
              <w:bottom w:w="60" w:type="dxa"/>
            </w:tcMar>
            <w:tcW w:w="1404"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SYS-FN-22, 23</w:t>
            </w:r>
            <w:r>
              <w:rPr>
                <w:color w:val="000000" w:themeColor="text1"/>
              </w:rPr>
            </w:r>
          </w:p>
        </w:tc>
        <w:tc>
          <w:tcPr>
            <w:shd w:val="clear" w:color="auto" w:fill="f2f5fa"/>
            <w:tcBorders/>
            <w:tcMar>
              <w:left w:w="90" w:type="dxa"/>
              <w:top w:w="60" w:type="dxa"/>
              <w:right w:w="90" w:type="dxa"/>
              <w:bottom w:w="60" w:type="dxa"/>
            </w:tcMar>
            <w:tcW w:w="1030"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Media</w:t>
            </w:r>
            <w:r>
              <w:rPr>
                <w:color w:val="000000" w:themeColor="text1"/>
              </w:rPr>
            </w:r>
          </w:p>
        </w:tc>
      </w:tr>
      <w:tr>
        <w:trPr>
          <w:cantSplit w:val="false"/>
        </w:trPr>
        <w:tc>
          <w:tcPr>
            <w:shd w:val="clear" w:color="auto" w:fill="ffffff"/>
            <w:tcBorders/>
            <w:tcMar>
              <w:left w:w="90" w:type="dxa"/>
              <w:top w:w="60" w:type="dxa"/>
              <w:right w:w="90" w:type="dxa"/>
              <w:bottom w:w="60" w:type="dxa"/>
            </w:tcMar>
            <w:tcW w:w="749"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RF-07</w:t>
            </w:r>
            <w:r>
              <w:rPr>
                <w:color w:val="000000" w:themeColor="text1"/>
              </w:rPr>
            </w:r>
          </w:p>
        </w:tc>
        <w:tc>
          <w:tcPr>
            <w:shd w:val="clear" w:color="auto" w:fill="ffffff"/>
            <w:tcBorders/>
            <w:tcMar>
              <w:left w:w="90" w:type="dxa"/>
              <w:top w:w="60" w:type="dxa"/>
              <w:right w:w="90" w:type="dxa"/>
              <w:bottom w:w="60" w:type="dxa"/>
            </w:tcMar>
            <w:tcW w:w="1872"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Notificación externa acotada en el tiempo</w:t>
            </w:r>
            <w:r>
              <w:rPr>
                <w:color w:val="000000" w:themeColor="text1"/>
              </w:rPr>
            </w:r>
          </w:p>
        </w:tc>
        <w:tc>
          <w:tcPr>
            <w:shd w:val="clear" w:color="auto" w:fill="ffffff"/>
            <w:tcBorders/>
            <w:tcMar>
              <w:left w:w="90" w:type="dxa"/>
              <w:top w:w="60" w:type="dxa"/>
              <w:right w:w="90" w:type="dxa"/>
              <w:bottom w:w="60" w:type="dxa"/>
            </w:tcMar>
            <w:tcW w:w="4306"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Aviso por WhatsApp Business API en menos de 60 segundos desde el evento, con franja horaria de silencio. Exige integración con un tercero no confiable y desacople del camino síncrono.</w:t>
            </w:r>
            <w:r>
              <w:rPr>
                <w:color w:val="000000" w:themeColor="text1"/>
              </w:rPr>
            </w:r>
          </w:p>
        </w:tc>
        <w:tc>
          <w:tcPr>
            <w:shd w:val="clear" w:color="auto" w:fill="ffffff"/>
            <w:tcBorders/>
            <w:tcMar>
              <w:left w:w="90" w:type="dxa"/>
              <w:top w:w="60" w:type="dxa"/>
              <w:right w:w="90" w:type="dxa"/>
              <w:bottom w:w="60" w:type="dxa"/>
            </w:tcMar>
            <w:tcW w:w="1404"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SYS-FN-25, 26</w:t>
            </w:r>
            <w:r>
              <w:rPr>
                <w:color w:val="000000" w:themeColor="text1"/>
              </w:rPr>
            </w:r>
          </w:p>
        </w:tc>
        <w:tc>
          <w:tcPr>
            <w:shd w:val="clear" w:color="auto" w:fill="ffffff"/>
            <w:tcBorders/>
            <w:tcMar>
              <w:left w:w="90" w:type="dxa"/>
              <w:top w:w="60" w:type="dxa"/>
              <w:right w:w="90" w:type="dxa"/>
              <w:bottom w:w="60" w:type="dxa"/>
            </w:tcMar>
            <w:tcW w:w="1030"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Alta</w:t>
            </w:r>
            <w:r>
              <w:rPr>
                <w:color w:val="000000" w:themeColor="text1"/>
              </w:rPr>
            </w:r>
          </w:p>
        </w:tc>
      </w:tr>
      <w:tr>
        <w:trPr>
          <w:cantSplit w:val="false"/>
        </w:trPr>
        <w:tc>
          <w:tcPr>
            <w:shd w:val="clear" w:color="auto" w:fill="f2f5fa"/>
            <w:tcBorders/>
            <w:tcMar>
              <w:left w:w="90" w:type="dxa"/>
              <w:top w:w="60" w:type="dxa"/>
              <w:right w:w="90" w:type="dxa"/>
              <w:bottom w:w="60" w:type="dxa"/>
            </w:tcMar>
            <w:tcW w:w="749"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RF-08</w:t>
            </w:r>
            <w:r>
              <w:rPr>
                <w:color w:val="000000" w:themeColor="text1"/>
              </w:rPr>
            </w:r>
          </w:p>
        </w:tc>
        <w:tc>
          <w:tcPr>
            <w:shd w:val="clear" w:color="auto" w:fill="f2f5fa"/>
            <w:tcBorders/>
            <w:tcMar>
              <w:left w:w="90" w:type="dxa"/>
              <w:top w:w="60" w:type="dxa"/>
              <w:right w:w="90" w:type="dxa"/>
              <w:bottom w:w="60" w:type="dxa"/>
            </w:tcMar>
            <w:tcW w:w="1872"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Procesos programados del sistema</w:t>
            </w:r>
            <w:r>
              <w:rPr>
                <w:color w:val="000000" w:themeColor="text1"/>
              </w:rPr>
            </w:r>
          </w:p>
        </w:tc>
        <w:tc>
          <w:tcPr>
            <w:shd w:val="clear" w:color="auto" w:fill="f2f5fa"/>
            <w:tcBorders/>
            <w:tcMar>
              <w:left w:w="90" w:type="dxa"/>
              <w:top w:w="60" w:type="dxa"/>
              <w:right w:w="90" w:type="dxa"/>
              <w:bottom w:w="60" w:type="dxa"/>
            </w:tcMar>
            <w:tcW w:w="4306"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Expiración de demandas a los 15 días, renovación automática configurable y escalamiento de tickets sin respuesta a las 48 horas. Exige un ejecutor de tareas independiente de la petición web.</w:t>
            </w:r>
            <w:r>
              <w:rPr>
                <w:color w:val="000000" w:themeColor="text1"/>
              </w:rPr>
            </w:r>
          </w:p>
        </w:tc>
        <w:tc>
          <w:tcPr>
            <w:shd w:val="clear" w:color="auto" w:fill="f2f5fa"/>
            <w:tcBorders/>
            <w:tcMar>
              <w:left w:w="90" w:type="dxa"/>
              <w:top w:w="60" w:type="dxa"/>
              <w:right w:w="90" w:type="dxa"/>
              <w:bottom w:w="60" w:type="dxa"/>
            </w:tcMar>
            <w:tcW w:w="1404"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SYS-FN-12, 13, 32</w:t>
            </w:r>
            <w:r>
              <w:rPr>
                <w:color w:val="000000" w:themeColor="text1"/>
              </w:rPr>
            </w:r>
          </w:p>
        </w:tc>
        <w:tc>
          <w:tcPr>
            <w:shd w:val="clear" w:color="auto" w:fill="f2f5fa"/>
            <w:tcBorders/>
            <w:tcMar>
              <w:left w:w="90" w:type="dxa"/>
              <w:top w:w="60" w:type="dxa"/>
              <w:right w:w="90" w:type="dxa"/>
              <w:bottom w:w="60" w:type="dxa"/>
            </w:tcMar>
            <w:tcW w:w="1030"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Media</w:t>
            </w:r>
            <w:r>
              <w:rPr>
                <w:color w:val="000000" w:themeColor="text1"/>
              </w:rPr>
            </w:r>
          </w:p>
        </w:tc>
      </w:tr>
      <w:tr>
        <w:trPr>
          <w:cantSplit w:val="false"/>
        </w:trPr>
        <w:tc>
          <w:tcPr>
            <w:shd w:val="clear" w:color="auto" w:fill="ffffff"/>
            <w:tcBorders/>
            <w:tcMar>
              <w:left w:w="90" w:type="dxa"/>
              <w:top w:w="60" w:type="dxa"/>
              <w:right w:w="90" w:type="dxa"/>
              <w:bottom w:w="60" w:type="dxa"/>
            </w:tcMar>
            <w:tcW w:w="749"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RF-09</w:t>
            </w:r>
            <w:r>
              <w:rPr>
                <w:color w:val="000000" w:themeColor="text1"/>
              </w:rPr>
            </w:r>
          </w:p>
        </w:tc>
        <w:tc>
          <w:tcPr>
            <w:shd w:val="clear" w:color="auto" w:fill="ffffff"/>
            <w:tcBorders/>
            <w:tcMar>
              <w:left w:w="90" w:type="dxa"/>
              <w:top w:w="60" w:type="dxa"/>
              <w:right w:w="90" w:type="dxa"/>
              <w:bottom w:w="60" w:type="dxa"/>
            </w:tcMar>
            <w:tcW w:w="1872"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Reputación bidireccional con suspensión</w:t>
            </w:r>
            <w:r>
              <w:rPr>
                <w:color w:val="000000" w:themeColor="text1"/>
              </w:rPr>
            </w:r>
          </w:p>
        </w:tc>
        <w:tc>
          <w:tcPr>
            <w:shd w:val="clear" w:color="auto" w:fill="ffffff"/>
            <w:tcBorders/>
            <w:tcMar>
              <w:left w:w="90" w:type="dxa"/>
              <w:top w:w="60" w:type="dxa"/>
              <w:right w:w="90" w:type="dxa"/>
              <w:bottom w:w="60" w:type="dxa"/>
            </w:tcMar>
            <w:tcW w:w="4306"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Evaluación mutua al cierre, promedio publicado y suspensión de la evaluación mientras exista disputa abierta. Exige que el módulo de reputación observe eventos de otros módulos.</w:t>
            </w:r>
            <w:r>
              <w:rPr>
                <w:color w:val="000000" w:themeColor="text1"/>
              </w:rPr>
            </w:r>
          </w:p>
        </w:tc>
        <w:tc>
          <w:tcPr>
            <w:shd w:val="clear" w:color="auto" w:fill="ffffff"/>
            <w:tcBorders/>
            <w:tcMar>
              <w:left w:w="90" w:type="dxa"/>
              <w:top w:w="60" w:type="dxa"/>
              <w:right w:w="90" w:type="dxa"/>
              <w:bottom w:w="60" w:type="dxa"/>
            </w:tcMar>
            <w:tcW w:w="1404"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SYS-FN-27, 29</w:t>
            </w:r>
            <w:r>
              <w:rPr>
                <w:color w:val="000000" w:themeColor="text1"/>
              </w:rPr>
            </w:r>
          </w:p>
        </w:tc>
        <w:tc>
          <w:tcPr>
            <w:shd w:val="clear" w:color="auto" w:fill="ffffff"/>
            <w:tcBorders/>
            <w:tcMar>
              <w:left w:w="90" w:type="dxa"/>
              <w:top w:w="60" w:type="dxa"/>
              <w:right w:w="90" w:type="dxa"/>
              <w:bottom w:w="60" w:type="dxa"/>
            </w:tcMar>
            <w:tcW w:w="1030"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Media</w:t>
            </w:r>
            <w:r>
              <w:rPr>
                <w:color w:val="000000" w:themeColor="text1"/>
              </w:rPr>
            </w:r>
          </w:p>
        </w:tc>
      </w:tr>
      <w:tr>
        <w:trPr>
          <w:cantSplit w:val="false"/>
        </w:trPr>
        <w:tc>
          <w:tcPr>
            <w:shd w:val="clear" w:color="auto" w:fill="f2f5fa"/>
            <w:tcBorders/>
            <w:tcMar>
              <w:left w:w="90" w:type="dxa"/>
              <w:top w:w="60" w:type="dxa"/>
              <w:right w:w="90" w:type="dxa"/>
              <w:bottom w:w="60" w:type="dxa"/>
            </w:tcMar>
            <w:tcW w:w="749"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RF-10</w:t>
            </w:r>
            <w:r>
              <w:rPr>
                <w:color w:val="000000" w:themeColor="text1"/>
              </w:rPr>
            </w:r>
          </w:p>
        </w:tc>
        <w:tc>
          <w:tcPr>
            <w:shd w:val="clear" w:color="auto" w:fill="f2f5fa"/>
            <w:tcBorders/>
            <w:tcMar>
              <w:left w:w="90" w:type="dxa"/>
              <w:top w:w="60" w:type="dxa"/>
              <w:right w:w="90" w:type="dxa"/>
              <w:bottom w:w="60" w:type="dxa"/>
            </w:tcMar>
            <w:tcW w:w="1872"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Auditoría inmutable y ciclo de vida del dato personal</w:t>
            </w:r>
            <w:r>
              <w:rPr>
                <w:color w:val="000000" w:themeColor="text1"/>
              </w:rPr>
            </w:r>
          </w:p>
        </w:tc>
        <w:tc>
          <w:tcPr>
            <w:shd w:val="clear" w:color="auto" w:fill="f2f5fa"/>
            <w:tcBorders/>
            <w:tcMar>
              <w:left w:w="90" w:type="dxa"/>
              <w:top w:w="60" w:type="dxa"/>
              <w:right w:w="90" w:type="dxa"/>
              <w:bottom w:w="60" w:type="dxa"/>
            </w:tcMar>
            <w:tcW w:w="4306"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Registro append-only de toda operación con usuario, acción, marca temporal e IP; consentimiento explícito y borrado programado a 30 días. Exige un canal de escritura privilegiado y control de permisos a nivel de almacenamiento.</w:t>
            </w:r>
            <w:r>
              <w:rPr>
                <w:color w:val="000000" w:themeColor="text1"/>
              </w:rPr>
            </w:r>
          </w:p>
        </w:tc>
        <w:tc>
          <w:tcPr>
            <w:shd w:val="clear" w:color="auto" w:fill="f2f5fa"/>
            <w:tcBorders/>
            <w:tcMar>
              <w:left w:w="90" w:type="dxa"/>
              <w:top w:w="60" w:type="dxa"/>
              <w:right w:w="90" w:type="dxa"/>
              <w:bottom w:w="60" w:type="dxa"/>
            </w:tcMar>
            <w:tcW w:w="1404"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SYS-FN-35 a 37</w:t>
            </w:r>
            <w:r>
              <w:rPr>
                <w:color w:val="000000" w:themeColor="text1"/>
              </w:rPr>
            </w:r>
          </w:p>
        </w:tc>
        <w:tc>
          <w:tcPr>
            <w:shd w:val="clear" w:color="auto" w:fill="f2f5fa"/>
            <w:tcBorders/>
            <w:tcMar>
              <w:left w:w="90" w:type="dxa"/>
              <w:top w:w="60" w:type="dxa"/>
              <w:right w:w="90" w:type="dxa"/>
              <w:bottom w:w="60" w:type="dxa"/>
            </w:tcMar>
            <w:tcW w:w="1030"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Alta</w:t>
            </w:r>
            <w:r>
              <w:rPr>
                <w:color w:val="000000" w:themeColor="text1"/>
              </w:rPr>
            </w:r>
          </w:p>
        </w:tc>
      </w:tr>
    </w:tbl>
    <w:p>
      <w:pPr>
        <w:pBdr/>
        <w:spacing w:after="160"/>
        <w:ind/>
        <w:rPr>
          <w:color w:val="000000" w:themeColor="text1"/>
        </w:rPr>
      </w:pPr>
      <w:r>
        <w:rPr>
          <w:color w:val="000000" w:themeColor="text1"/>
          <w:lang w:val="es-ES" w:bidi="es-ES"/>
        </w:rPr>
      </w:r>
      <w:r>
        <w:rPr>
          <w:color w:val="000000" w:themeColor="text1"/>
        </w:rPr>
      </w:r>
    </w:p>
    <w:p>
      <w:pPr>
        <w:pStyle w:val="905"/>
        <w:keepNext w:val="true"/>
        <w:pBdr/>
        <w:spacing w:after="120" w:before="220"/>
        <w:ind/>
        <w:rPr>
          <w:color w:val="000000" w:themeColor="text1"/>
        </w:rPr>
      </w:pPr>
      <w:r/>
      <w:bookmarkStart w:id="13" w:name="_Toc13"/>
      <w:r>
        <w:rPr>
          <w:rFonts w:ascii="Calibri" w:hAnsi="Calibri" w:eastAsia="Calibri" w:cs="Calibri"/>
          <w:b/>
          <w:bCs/>
          <w:color w:val="000000" w:themeColor="text1"/>
          <w:sz w:val="22"/>
          <w:szCs w:val="22"/>
          <w:lang w:val="es-ES"/>
        </w:rPr>
        <w:t xml:space="preserve">2.2.3 Requisitos no funcionales — calidades de arquitectura</w:t>
      </w:r>
      <w:r/>
      <w:bookmarkEnd w:id="13"/>
      <w:r/>
      <w:r>
        <w:rPr>
          <w:color w:val="000000" w:themeColor="text1"/>
        </w:rPr>
      </w:r>
    </w:p>
    <w:p>
      <w:pPr>
        <w:pBdr/>
        <w:spacing w:after="140" w:line="276" w:lineRule="auto"/>
        <w:ind/>
        <w:jc w:val="both"/>
        <w:rPr>
          <w:color w:val="000000" w:themeColor="text1"/>
        </w:rPr>
      </w:pPr>
      <w:r>
        <w:rPr>
          <w:rFonts w:ascii="Calibri" w:hAnsi="Calibri" w:eastAsia="Calibri" w:cs="Calibri"/>
          <w:color w:val="000000" w:themeColor="text1"/>
          <w:sz w:val="21"/>
          <w:szCs w:val="21"/>
          <w:lang w:val="es-ES"/>
        </w:rPr>
        <w:t xml:space="preserve">El SWEBOK señala que la arquitectura es el vehículo principal para lograr los atributos de calidad. Los nueve requisitos no funcionales siguientes reagrupan, bajo las categorías de la plantilla de la asignatura, los dieciséis requisitos no funcionales del catálogo, conservando sus umbrales cuantitativos.</w:t>
      </w:r>
      <w:r>
        <w:rPr>
          <w:color w:val="000000" w:themeColor="text1"/>
        </w:rPr>
      </w:r>
    </w:p>
    <w:tbl>
      <w:tblPr>
        <w:tblW w:w="9360" w:type="dxa"/>
        <w:tblBorders>
          <w:top w:val="single" w:color="8ea9db" w:sz="4" w:space="0"/>
          <w:left w:val="single" w:color="8ea9db" w:sz="4" w:space="0"/>
          <w:bottom w:val="single" w:color="8ea9db" w:sz="4" w:space="0"/>
          <w:right w:val="single" w:color="8ea9db" w:sz="4" w:space="0"/>
          <w:insideH w:val="single" w:color="b4c6e7" w:sz="2" w:space="0"/>
          <w:insideV w:val="single" w:color="b4c6e7" w:sz="2" w:space="0"/>
        </w:tblBorders>
        <w:tblLook w:val="04A0" w:firstRow="1" w:lastRow="0" w:firstColumn="1" w:lastColumn="0" w:noHBand="0" w:noVBand="1"/>
      </w:tblPr>
      <w:tblGrid>
        <w:gridCol w:w="842"/>
        <w:gridCol w:w="1778"/>
        <w:gridCol w:w="4212"/>
        <w:gridCol w:w="1498"/>
        <w:gridCol w:w="1030"/>
      </w:tblGrid>
      <w:tr>
        <w:trPr>
          <w:cantSplit w:val="false"/>
          <w:tblHeader/>
        </w:trPr>
        <w:tc>
          <w:tcPr>
            <w:shd w:val="clear" w:color="auto" w:fill="d9e2f3"/>
            <w:tcBorders/>
            <w:tcMar>
              <w:left w:w="90" w:type="dxa"/>
              <w:top w:w="60" w:type="dxa"/>
              <w:right w:w="90" w:type="dxa"/>
              <w:bottom w:w="60" w:type="dxa"/>
            </w:tcMar>
            <w:tcW w:w="842"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w:t>
            </w:r>
            <w:r>
              <w:rPr>
                <w:color w:val="000000" w:themeColor="text1"/>
              </w:rPr>
            </w:r>
          </w:p>
        </w:tc>
        <w:tc>
          <w:tcPr>
            <w:shd w:val="clear" w:color="auto" w:fill="d9e2f3"/>
            <w:tcBorders/>
            <w:tcMar>
              <w:left w:w="90" w:type="dxa"/>
              <w:top w:w="60" w:type="dxa"/>
              <w:right w:w="90" w:type="dxa"/>
              <w:bottom w:w="60" w:type="dxa"/>
            </w:tcMar>
            <w:tcW w:w="1778"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Calidad</w:t>
            </w:r>
            <w:r>
              <w:rPr>
                <w:color w:val="000000" w:themeColor="text1"/>
              </w:rPr>
            </w:r>
          </w:p>
        </w:tc>
        <w:tc>
          <w:tcPr>
            <w:shd w:val="clear" w:color="auto" w:fill="d9e2f3"/>
            <w:tcBorders/>
            <w:tcMar>
              <w:left w:w="90" w:type="dxa"/>
              <w:top w:w="60" w:type="dxa"/>
              <w:right w:w="90" w:type="dxa"/>
              <w:bottom w:w="60" w:type="dxa"/>
            </w:tcMar>
            <w:tcW w:w="4212"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Métrica o criterio de aceptación</w:t>
            </w:r>
            <w:r>
              <w:rPr>
                <w:color w:val="000000" w:themeColor="text1"/>
              </w:rPr>
            </w:r>
          </w:p>
        </w:tc>
        <w:tc>
          <w:tcPr>
            <w:shd w:val="clear" w:color="auto" w:fill="d9e2f3"/>
            <w:tcBorders/>
            <w:tcMar>
              <w:left w:w="90" w:type="dxa"/>
              <w:top w:w="60" w:type="dxa"/>
              <w:right w:w="90" w:type="dxa"/>
              <w:bottom w:w="60" w:type="dxa"/>
            </w:tcMar>
            <w:tcW w:w="1498"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Trazabilidad</w:t>
            </w:r>
            <w:r>
              <w:rPr>
                <w:color w:val="000000" w:themeColor="text1"/>
              </w:rPr>
            </w:r>
          </w:p>
        </w:tc>
        <w:tc>
          <w:tcPr>
            <w:shd w:val="clear" w:color="auto" w:fill="d9e2f3"/>
            <w:tcBorders/>
            <w:tcMar>
              <w:left w:w="90" w:type="dxa"/>
              <w:top w:w="60" w:type="dxa"/>
              <w:right w:w="90" w:type="dxa"/>
              <w:bottom w:w="60" w:type="dxa"/>
            </w:tcMar>
            <w:tcW w:w="1030"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Prioridad</w:t>
            </w:r>
            <w:r>
              <w:rPr>
                <w:color w:val="000000" w:themeColor="text1"/>
              </w:rPr>
            </w:r>
          </w:p>
        </w:tc>
      </w:tr>
      <w:tr>
        <w:trPr>
          <w:cantSplit w:val="false"/>
        </w:trPr>
        <w:tc>
          <w:tcPr>
            <w:shd w:val="clear" w:color="auto" w:fill="ffffff"/>
            <w:tcBorders/>
            <w:tcMar>
              <w:left w:w="90" w:type="dxa"/>
              <w:top w:w="60" w:type="dxa"/>
              <w:right w:w="90" w:type="dxa"/>
              <w:bottom w:w="60" w:type="dxa"/>
            </w:tcMar>
            <w:tcW w:w="842"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RNF-01</w:t>
            </w:r>
            <w:r>
              <w:rPr>
                <w:color w:val="000000" w:themeColor="text1"/>
              </w:rPr>
            </w:r>
          </w:p>
        </w:tc>
        <w:tc>
          <w:tcPr>
            <w:shd w:val="clear" w:color="auto" w:fill="ffffff"/>
            <w:tcBorders/>
            <w:tcMar>
              <w:left w:w="90" w:type="dxa"/>
              <w:top w:w="60" w:type="dxa"/>
              <w:right w:w="90" w:type="dxa"/>
              <w:bottom w:w="60" w:type="dxa"/>
            </w:tcMar>
            <w:tcW w:w="1778"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Rendimiento y tiempo de respuesta</w:t>
            </w:r>
            <w:r>
              <w:rPr>
                <w:color w:val="000000" w:themeColor="text1"/>
              </w:rPr>
            </w:r>
          </w:p>
        </w:tc>
        <w:tc>
          <w:tcPr>
            <w:shd w:val="clear" w:color="auto" w:fill="ffffff"/>
            <w:tcBorders/>
            <w:tcMar>
              <w:left w:w="90" w:type="dxa"/>
              <w:top w:w="60" w:type="dxa"/>
              <w:right w:w="90" w:type="dxa"/>
              <w:bottom w:w="60" w:type="dxa"/>
            </w:tcMar>
            <w:tcW w:w="4212"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Procesamiento y notificación de cotización en ≤ 4,0 s (percentil 95) bajo carga nominal. Carga inicial &lt; 2,5 s sobre 4G/LTE y &lt; 5,0 s sobre 3G. Peso de página ≤ 2,5 MB.</w:t>
            </w:r>
            <w:r>
              <w:rPr>
                <w:color w:val="000000" w:themeColor="text1"/>
              </w:rPr>
            </w:r>
          </w:p>
        </w:tc>
        <w:tc>
          <w:tcPr>
            <w:shd w:val="clear" w:color="auto" w:fill="ffffff"/>
            <w:tcBorders/>
            <w:tcMar>
              <w:left w:w="90" w:type="dxa"/>
              <w:top w:w="60" w:type="dxa"/>
              <w:right w:w="90" w:type="dxa"/>
              <w:bottom w:w="60" w:type="dxa"/>
            </w:tcMar>
            <w:tcW w:w="1498"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SYS-NFN-05, 08, 10</w:t>
            </w:r>
            <w:r>
              <w:rPr>
                <w:color w:val="000000" w:themeColor="text1"/>
              </w:rPr>
            </w:r>
          </w:p>
        </w:tc>
        <w:tc>
          <w:tcPr>
            <w:shd w:val="clear" w:color="auto" w:fill="ffffff"/>
            <w:tcBorders/>
            <w:tcMar>
              <w:left w:w="90" w:type="dxa"/>
              <w:top w:w="60" w:type="dxa"/>
              <w:right w:w="90" w:type="dxa"/>
              <w:bottom w:w="60" w:type="dxa"/>
            </w:tcMar>
            <w:tcW w:w="1030"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Alta</w:t>
            </w:r>
            <w:r>
              <w:rPr>
                <w:color w:val="000000" w:themeColor="text1"/>
              </w:rPr>
            </w:r>
          </w:p>
        </w:tc>
      </w:tr>
      <w:tr>
        <w:trPr>
          <w:cantSplit w:val="false"/>
        </w:trPr>
        <w:tc>
          <w:tcPr>
            <w:shd w:val="clear" w:color="auto" w:fill="f2f5fa"/>
            <w:tcBorders/>
            <w:tcMar>
              <w:left w:w="90" w:type="dxa"/>
              <w:top w:w="60" w:type="dxa"/>
              <w:right w:w="90" w:type="dxa"/>
              <w:bottom w:w="60" w:type="dxa"/>
            </w:tcMar>
            <w:tcW w:w="842"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RNF-02</w:t>
            </w:r>
            <w:r>
              <w:rPr>
                <w:color w:val="000000" w:themeColor="text1"/>
              </w:rPr>
            </w:r>
          </w:p>
        </w:tc>
        <w:tc>
          <w:tcPr>
            <w:shd w:val="clear" w:color="auto" w:fill="f2f5fa"/>
            <w:tcBorders/>
            <w:tcMar>
              <w:left w:w="90" w:type="dxa"/>
              <w:top w:w="60" w:type="dxa"/>
              <w:right w:w="90" w:type="dxa"/>
              <w:bottom w:w="60" w:type="dxa"/>
            </w:tcMar>
            <w:tcW w:w="1778"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Disponibilidad</w:t>
            </w:r>
            <w:r>
              <w:rPr>
                <w:color w:val="000000" w:themeColor="text1"/>
              </w:rPr>
            </w:r>
          </w:p>
        </w:tc>
        <w:tc>
          <w:tcPr>
            <w:shd w:val="clear" w:color="auto" w:fill="f2f5fa"/>
            <w:tcBorders/>
            <w:tcMar>
              <w:left w:w="90" w:type="dxa"/>
              <w:top w:w="60" w:type="dxa"/>
              <w:right w:w="90" w:type="dxa"/>
              <w:bottom w:w="60" w:type="dxa"/>
            </w:tcMar>
            <w:tcW w:w="4212"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Disponibilidad mensual ≥ 99,0 %, excluidas ventanas de mantenimiento comunicadas con 72 h de antelación.</w:t>
            </w:r>
            <w:r>
              <w:rPr>
                <w:color w:val="000000" w:themeColor="text1"/>
              </w:rPr>
            </w:r>
          </w:p>
        </w:tc>
        <w:tc>
          <w:tcPr>
            <w:shd w:val="clear" w:color="auto" w:fill="f2f5fa"/>
            <w:tcBorders/>
            <w:tcMar>
              <w:left w:w="90" w:type="dxa"/>
              <w:top w:w="60" w:type="dxa"/>
              <w:right w:w="90" w:type="dxa"/>
              <w:bottom w:w="60" w:type="dxa"/>
            </w:tcMar>
            <w:tcW w:w="1498"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SYS-NFN-13</w:t>
            </w:r>
            <w:r>
              <w:rPr>
                <w:color w:val="000000" w:themeColor="text1"/>
              </w:rPr>
            </w:r>
          </w:p>
        </w:tc>
        <w:tc>
          <w:tcPr>
            <w:shd w:val="clear" w:color="auto" w:fill="f2f5fa"/>
            <w:tcBorders/>
            <w:tcMar>
              <w:left w:w="90" w:type="dxa"/>
              <w:top w:w="60" w:type="dxa"/>
              <w:right w:w="90" w:type="dxa"/>
              <w:bottom w:w="60" w:type="dxa"/>
            </w:tcMar>
            <w:tcW w:w="1030"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Alta</w:t>
            </w:r>
            <w:r>
              <w:rPr>
                <w:color w:val="000000" w:themeColor="text1"/>
              </w:rPr>
            </w:r>
          </w:p>
        </w:tc>
      </w:tr>
      <w:tr>
        <w:trPr>
          <w:cantSplit w:val="false"/>
        </w:trPr>
        <w:tc>
          <w:tcPr>
            <w:shd w:val="clear" w:color="auto" w:fill="ffffff"/>
            <w:tcBorders/>
            <w:tcMar>
              <w:left w:w="90" w:type="dxa"/>
              <w:top w:w="60" w:type="dxa"/>
              <w:right w:w="90" w:type="dxa"/>
              <w:bottom w:w="60" w:type="dxa"/>
            </w:tcMar>
            <w:tcW w:w="842"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RNF-03</w:t>
            </w:r>
            <w:r>
              <w:rPr>
                <w:color w:val="000000" w:themeColor="text1"/>
              </w:rPr>
            </w:r>
          </w:p>
        </w:tc>
        <w:tc>
          <w:tcPr>
            <w:shd w:val="clear" w:color="auto" w:fill="ffffff"/>
            <w:tcBorders/>
            <w:tcMar>
              <w:left w:w="90" w:type="dxa"/>
              <w:top w:w="60" w:type="dxa"/>
              <w:right w:w="90" w:type="dxa"/>
              <w:bottom w:w="60" w:type="dxa"/>
            </w:tcMar>
            <w:tcW w:w="1778"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Seguridad y confidencialidad</w:t>
            </w:r>
            <w:r>
              <w:rPr>
                <w:color w:val="000000" w:themeColor="text1"/>
              </w:rPr>
            </w:r>
          </w:p>
        </w:tc>
        <w:tc>
          <w:tcPr>
            <w:shd w:val="clear" w:color="auto" w:fill="ffffff"/>
            <w:tcBorders/>
            <w:tcMar>
              <w:left w:w="90" w:type="dxa"/>
              <w:top w:w="60" w:type="dxa"/>
              <w:right w:w="90" w:type="dxa"/>
              <w:bottom w:w="60" w:type="dxa"/>
            </w:tcMar>
            <w:tcW w:w="4212"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Cifrado en reposo AES-256; TLS 1.3 o superior en tránsito; límite de 120 peticiones por minuto y por IP con respuesta HTTP 429; bloqueo de cuenta tras 5 intentos fallidos.</w:t>
            </w:r>
            <w:r>
              <w:rPr>
                <w:color w:val="000000" w:themeColor="text1"/>
              </w:rPr>
            </w:r>
          </w:p>
        </w:tc>
        <w:tc>
          <w:tcPr>
            <w:shd w:val="clear" w:color="auto" w:fill="ffffff"/>
            <w:tcBorders/>
            <w:tcMar>
              <w:left w:w="90" w:type="dxa"/>
              <w:top w:w="60" w:type="dxa"/>
              <w:right w:w="90" w:type="dxa"/>
              <w:bottom w:w="60" w:type="dxa"/>
            </w:tcMar>
            <w:tcW w:w="1498"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SYS-NFN-01, 02, 03; SYS-FN-07</w:t>
            </w:r>
            <w:r>
              <w:rPr>
                <w:color w:val="000000" w:themeColor="text1"/>
              </w:rPr>
            </w:r>
          </w:p>
        </w:tc>
        <w:tc>
          <w:tcPr>
            <w:shd w:val="clear" w:color="auto" w:fill="ffffff"/>
            <w:tcBorders/>
            <w:tcMar>
              <w:left w:w="90" w:type="dxa"/>
              <w:top w:w="60" w:type="dxa"/>
              <w:right w:w="90" w:type="dxa"/>
              <w:bottom w:w="60" w:type="dxa"/>
            </w:tcMar>
            <w:tcW w:w="1030"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Alta</w:t>
            </w:r>
            <w:r>
              <w:rPr>
                <w:color w:val="000000" w:themeColor="text1"/>
              </w:rPr>
            </w:r>
          </w:p>
        </w:tc>
      </w:tr>
      <w:tr>
        <w:trPr>
          <w:cantSplit w:val="false"/>
        </w:trPr>
        <w:tc>
          <w:tcPr>
            <w:shd w:val="clear" w:color="auto" w:fill="f2f5fa"/>
            <w:tcBorders/>
            <w:tcMar>
              <w:left w:w="90" w:type="dxa"/>
              <w:top w:w="60" w:type="dxa"/>
              <w:right w:w="90" w:type="dxa"/>
              <w:bottom w:w="60" w:type="dxa"/>
            </w:tcMar>
            <w:tcW w:w="842"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RNF-04</w:t>
            </w:r>
            <w:r>
              <w:rPr>
                <w:color w:val="000000" w:themeColor="text1"/>
              </w:rPr>
            </w:r>
          </w:p>
        </w:tc>
        <w:tc>
          <w:tcPr>
            <w:shd w:val="clear" w:color="auto" w:fill="f2f5fa"/>
            <w:tcBorders/>
            <w:tcMar>
              <w:left w:w="90" w:type="dxa"/>
              <w:top w:w="60" w:type="dxa"/>
              <w:right w:w="90" w:type="dxa"/>
              <w:bottom w:w="60" w:type="dxa"/>
            </w:tcMar>
            <w:tcW w:w="1778"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Mantenibilidad y evolutividad</w:t>
            </w:r>
            <w:r>
              <w:rPr>
                <w:color w:val="000000" w:themeColor="text1"/>
              </w:rPr>
            </w:r>
          </w:p>
        </w:tc>
        <w:tc>
          <w:tcPr>
            <w:shd w:val="clear" w:color="auto" w:fill="f2f5fa"/>
            <w:tcBorders/>
            <w:tcMar>
              <w:left w:w="90" w:type="dxa"/>
              <w:top w:w="60" w:type="dxa"/>
              <w:right w:w="90" w:type="dxa"/>
              <w:bottom w:w="60" w:type="dxa"/>
            </w:tcMar>
            <w:tcW w:w="4212"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Cobertura de pruebas unitarias del backend &gt; 80 % verificada en cada integración continua; posibilidad de incorporar módulos nuevos sin modificar los existentes.</w:t>
            </w:r>
            <w:r>
              <w:rPr>
                <w:color w:val="000000" w:themeColor="text1"/>
              </w:rPr>
            </w:r>
          </w:p>
        </w:tc>
        <w:tc>
          <w:tcPr>
            <w:shd w:val="clear" w:color="auto" w:fill="f2f5fa"/>
            <w:tcBorders/>
            <w:tcMar>
              <w:left w:w="90" w:type="dxa"/>
              <w:top w:w="60" w:type="dxa"/>
              <w:right w:w="90" w:type="dxa"/>
              <w:bottom w:w="60" w:type="dxa"/>
            </w:tcMar>
            <w:tcW w:w="1498"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SYS-NFN-15</w:t>
            </w:r>
            <w:r>
              <w:rPr>
                <w:color w:val="000000" w:themeColor="text1"/>
              </w:rPr>
            </w:r>
          </w:p>
        </w:tc>
        <w:tc>
          <w:tcPr>
            <w:shd w:val="clear" w:color="auto" w:fill="f2f5fa"/>
            <w:tcBorders/>
            <w:tcMar>
              <w:left w:w="90" w:type="dxa"/>
              <w:top w:w="60" w:type="dxa"/>
              <w:right w:w="90" w:type="dxa"/>
              <w:bottom w:w="60" w:type="dxa"/>
            </w:tcMar>
            <w:tcW w:w="1030"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Alta</w:t>
            </w:r>
            <w:r>
              <w:rPr>
                <w:color w:val="000000" w:themeColor="text1"/>
              </w:rPr>
            </w:r>
          </w:p>
        </w:tc>
      </w:tr>
      <w:tr>
        <w:trPr>
          <w:cantSplit w:val="false"/>
        </w:trPr>
        <w:tc>
          <w:tcPr>
            <w:shd w:val="clear" w:color="auto" w:fill="ffffff"/>
            <w:tcBorders/>
            <w:tcMar>
              <w:left w:w="90" w:type="dxa"/>
              <w:top w:w="60" w:type="dxa"/>
              <w:right w:w="90" w:type="dxa"/>
              <w:bottom w:w="60" w:type="dxa"/>
            </w:tcMar>
            <w:tcW w:w="842"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RNF-05</w:t>
            </w:r>
            <w:r>
              <w:rPr>
                <w:color w:val="000000" w:themeColor="text1"/>
              </w:rPr>
            </w:r>
          </w:p>
        </w:tc>
        <w:tc>
          <w:tcPr>
            <w:shd w:val="clear" w:color="auto" w:fill="ffffff"/>
            <w:tcBorders/>
            <w:tcMar>
              <w:left w:w="90" w:type="dxa"/>
              <w:top w:w="60" w:type="dxa"/>
              <w:right w:w="90" w:type="dxa"/>
              <w:bottom w:w="60" w:type="dxa"/>
            </w:tcMar>
            <w:tcW w:w="1778"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Escalabilidad</w:t>
            </w:r>
            <w:r>
              <w:rPr>
                <w:color w:val="000000" w:themeColor="text1"/>
              </w:rPr>
            </w:r>
          </w:p>
        </w:tc>
        <w:tc>
          <w:tcPr>
            <w:shd w:val="clear" w:color="auto" w:fill="ffffff"/>
            <w:tcBorders/>
            <w:tcMar>
              <w:left w:w="90" w:type="dxa"/>
              <w:top w:w="60" w:type="dxa"/>
              <w:right w:w="90" w:type="dxa"/>
              <w:bottom w:w="60" w:type="dxa"/>
            </w:tcMar>
            <w:tcW w:w="4212"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Soporte de 500 usuarios concurrentes autenticados con degradación ≤ 20 % respecto de la línea base; escalamiento horizontal que absorba un crecimiento del 200 % en el primer año.</w:t>
            </w:r>
            <w:r>
              <w:rPr>
                <w:color w:val="000000" w:themeColor="text1"/>
              </w:rPr>
            </w:r>
          </w:p>
        </w:tc>
        <w:tc>
          <w:tcPr>
            <w:shd w:val="clear" w:color="auto" w:fill="ffffff"/>
            <w:tcBorders/>
            <w:tcMar>
              <w:left w:w="90" w:type="dxa"/>
              <w:top w:w="60" w:type="dxa"/>
              <w:right w:w="90" w:type="dxa"/>
              <w:bottom w:w="60" w:type="dxa"/>
            </w:tcMar>
            <w:tcW w:w="1498"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SYS-NFN-06, 07</w:t>
            </w:r>
            <w:r>
              <w:rPr>
                <w:color w:val="000000" w:themeColor="text1"/>
              </w:rPr>
            </w:r>
          </w:p>
        </w:tc>
        <w:tc>
          <w:tcPr>
            <w:shd w:val="clear" w:color="auto" w:fill="ffffff"/>
            <w:tcBorders/>
            <w:tcMar>
              <w:left w:w="90" w:type="dxa"/>
              <w:top w:w="60" w:type="dxa"/>
              <w:right w:w="90" w:type="dxa"/>
              <w:bottom w:w="60" w:type="dxa"/>
            </w:tcMar>
            <w:tcW w:w="1030"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Alta</w:t>
            </w:r>
            <w:r>
              <w:rPr>
                <w:color w:val="000000" w:themeColor="text1"/>
              </w:rPr>
            </w:r>
          </w:p>
        </w:tc>
      </w:tr>
      <w:tr>
        <w:trPr>
          <w:cantSplit w:val="false"/>
        </w:trPr>
        <w:tc>
          <w:tcPr>
            <w:shd w:val="clear" w:color="auto" w:fill="f2f5fa"/>
            <w:tcBorders/>
            <w:tcMar>
              <w:left w:w="90" w:type="dxa"/>
              <w:top w:w="60" w:type="dxa"/>
              <w:right w:w="90" w:type="dxa"/>
              <w:bottom w:w="60" w:type="dxa"/>
            </w:tcMar>
            <w:tcW w:w="842"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RNF-06</w:t>
            </w:r>
            <w:r>
              <w:rPr>
                <w:color w:val="000000" w:themeColor="text1"/>
              </w:rPr>
            </w:r>
          </w:p>
        </w:tc>
        <w:tc>
          <w:tcPr>
            <w:shd w:val="clear" w:color="auto" w:fill="f2f5fa"/>
            <w:tcBorders/>
            <w:tcMar>
              <w:left w:w="90" w:type="dxa"/>
              <w:top w:w="60" w:type="dxa"/>
              <w:right w:w="90" w:type="dxa"/>
              <w:bottom w:w="60" w:type="dxa"/>
            </w:tcMar>
            <w:tcW w:w="1778"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Interoperabilidad</w:t>
            </w:r>
            <w:r>
              <w:rPr>
                <w:color w:val="000000" w:themeColor="text1"/>
              </w:rPr>
            </w:r>
          </w:p>
        </w:tc>
        <w:tc>
          <w:tcPr>
            <w:shd w:val="clear" w:color="auto" w:fill="f2f5fa"/>
            <w:tcBorders/>
            <w:tcMar>
              <w:left w:w="90" w:type="dxa"/>
              <w:top w:w="60" w:type="dxa"/>
              <w:right w:w="90" w:type="dxa"/>
              <w:bottom w:w="60" w:type="dxa"/>
            </w:tcMar>
            <w:tcW w:w="4212"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Totalidad de los servicios documentados conforme a OpenAPI 3.0; integración con WhatsApp Business API; exportación de reportes en CSV y XLSX.</w:t>
            </w:r>
            <w:r>
              <w:rPr>
                <w:color w:val="000000" w:themeColor="text1"/>
              </w:rPr>
            </w:r>
          </w:p>
        </w:tc>
        <w:tc>
          <w:tcPr>
            <w:shd w:val="clear" w:color="auto" w:fill="f2f5fa"/>
            <w:tcBorders/>
            <w:tcMar>
              <w:left w:w="90" w:type="dxa"/>
              <w:top w:w="60" w:type="dxa"/>
              <w:right w:w="90" w:type="dxa"/>
              <w:bottom w:w="60" w:type="dxa"/>
            </w:tcMar>
            <w:tcW w:w="1498"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SYS-NFN-16; SYS-FN-25, 34</w:t>
            </w:r>
            <w:r>
              <w:rPr>
                <w:color w:val="000000" w:themeColor="text1"/>
              </w:rPr>
            </w:r>
          </w:p>
        </w:tc>
        <w:tc>
          <w:tcPr>
            <w:shd w:val="clear" w:color="auto" w:fill="f2f5fa"/>
            <w:tcBorders/>
            <w:tcMar>
              <w:left w:w="90" w:type="dxa"/>
              <w:top w:w="60" w:type="dxa"/>
              <w:right w:w="90" w:type="dxa"/>
              <w:bottom w:w="60" w:type="dxa"/>
            </w:tcMar>
            <w:tcW w:w="1030"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Media</w:t>
            </w:r>
            <w:r>
              <w:rPr>
                <w:color w:val="000000" w:themeColor="text1"/>
              </w:rPr>
            </w:r>
          </w:p>
        </w:tc>
      </w:tr>
      <w:tr>
        <w:trPr>
          <w:cantSplit w:val="false"/>
        </w:trPr>
        <w:tc>
          <w:tcPr>
            <w:shd w:val="clear" w:color="auto" w:fill="ffffff"/>
            <w:tcBorders/>
            <w:tcMar>
              <w:left w:w="90" w:type="dxa"/>
              <w:top w:w="60" w:type="dxa"/>
              <w:right w:w="90" w:type="dxa"/>
              <w:bottom w:w="60" w:type="dxa"/>
            </w:tcMar>
            <w:tcW w:w="842"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RNF-07</w:t>
            </w:r>
            <w:r>
              <w:rPr>
                <w:color w:val="000000" w:themeColor="text1"/>
              </w:rPr>
            </w:r>
          </w:p>
        </w:tc>
        <w:tc>
          <w:tcPr>
            <w:shd w:val="clear" w:color="auto" w:fill="ffffff"/>
            <w:tcBorders/>
            <w:tcMar>
              <w:left w:w="90" w:type="dxa"/>
              <w:top w:w="60" w:type="dxa"/>
              <w:right w:w="90" w:type="dxa"/>
              <w:bottom w:w="60" w:type="dxa"/>
            </w:tcMar>
            <w:tcW w:w="1778"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Fiabilidad y recuperación</w:t>
            </w:r>
            <w:r>
              <w:rPr>
                <w:color w:val="000000" w:themeColor="text1"/>
              </w:rPr>
            </w:r>
          </w:p>
        </w:tc>
        <w:tc>
          <w:tcPr>
            <w:shd w:val="clear" w:color="auto" w:fill="ffffff"/>
            <w:tcBorders/>
            <w:tcMar>
              <w:left w:w="90" w:type="dxa"/>
              <w:top w:w="60" w:type="dxa"/>
              <w:right w:w="90" w:type="dxa"/>
              <w:bottom w:w="60" w:type="dxa"/>
            </w:tcMar>
            <w:tcW w:w="4212"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Respaldo completo diario a las 02:00 con retención de 30 días e incrementales cada 6 horas; auditoría en acceso rápido 90 días y en archivo 7 años.</w:t>
            </w:r>
            <w:r>
              <w:rPr>
                <w:color w:val="000000" w:themeColor="text1"/>
              </w:rPr>
            </w:r>
          </w:p>
        </w:tc>
        <w:tc>
          <w:tcPr>
            <w:shd w:val="clear" w:color="auto" w:fill="ffffff"/>
            <w:tcBorders/>
            <w:tcMar>
              <w:left w:w="90" w:type="dxa"/>
              <w:top w:w="60" w:type="dxa"/>
              <w:right w:w="90" w:type="dxa"/>
              <w:bottom w:w="60" w:type="dxa"/>
            </w:tcMar>
            <w:tcW w:w="1498"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SYS-NFN-14, 04</w:t>
            </w:r>
            <w:r>
              <w:rPr>
                <w:color w:val="000000" w:themeColor="text1"/>
              </w:rPr>
            </w:r>
          </w:p>
        </w:tc>
        <w:tc>
          <w:tcPr>
            <w:shd w:val="clear" w:color="auto" w:fill="ffffff"/>
            <w:tcBorders/>
            <w:tcMar>
              <w:left w:w="90" w:type="dxa"/>
              <w:top w:w="60" w:type="dxa"/>
              <w:right w:w="90" w:type="dxa"/>
              <w:bottom w:w="60" w:type="dxa"/>
            </w:tcMar>
            <w:tcW w:w="1030"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Alta</w:t>
            </w:r>
            <w:r>
              <w:rPr>
                <w:color w:val="000000" w:themeColor="text1"/>
              </w:rPr>
            </w:r>
          </w:p>
        </w:tc>
      </w:tr>
      <w:tr>
        <w:trPr>
          <w:cantSplit w:val="false"/>
        </w:trPr>
        <w:tc>
          <w:tcPr>
            <w:shd w:val="clear" w:color="auto" w:fill="f2f5fa"/>
            <w:tcBorders/>
            <w:tcMar>
              <w:left w:w="90" w:type="dxa"/>
              <w:top w:w="60" w:type="dxa"/>
              <w:right w:w="90" w:type="dxa"/>
              <w:bottom w:w="60" w:type="dxa"/>
            </w:tcMar>
            <w:tcW w:w="842"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RNF-08</w:t>
            </w:r>
            <w:r>
              <w:rPr>
                <w:color w:val="000000" w:themeColor="text1"/>
              </w:rPr>
            </w:r>
          </w:p>
        </w:tc>
        <w:tc>
          <w:tcPr>
            <w:shd w:val="clear" w:color="auto" w:fill="f2f5fa"/>
            <w:tcBorders/>
            <w:tcMar>
              <w:left w:w="90" w:type="dxa"/>
              <w:top w:w="60" w:type="dxa"/>
              <w:right w:w="90" w:type="dxa"/>
              <w:bottom w:w="60" w:type="dxa"/>
            </w:tcMar>
            <w:tcW w:w="1778"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Costo y viabilidad</w:t>
            </w:r>
            <w:r>
              <w:rPr>
                <w:color w:val="000000" w:themeColor="text1"/>
              </w:rPr>
            </w:r>
          </w:p>
        </w:tc>
        <w:tc>
          <w:tcPr>
            <w:shd w:val="clear" w:color="auto" w:fill="f2f5fa"/>
            <w:tcBorders/>
            <w:tcMar>
              <w:left w:w="90" w:type="dxa"/>
              <w:top w:w="60" w:type="dxa"/>
              <w:right w:w="90" w:type="dxa"/>
              <w:bottom w:w="60" w:type="dxa"/>
            </w:tcMar>
            <w:tcW w:w="4212"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Construcción y operación viables para un equipo de dos personas sin presupuesto de licenciamiento; preferencia por tecnologías sin costo de licencia y por un número mínimo de piezas desplegables.</w:t>
            </w:r>
            <w:r>
              <w:rPr>
                <w:color w:val="000000" w:themeColor="text1"/>
              </w:rPr>
            </w:r>
          </w:p>
        </w:tc>
        <w:tc>
          <w:tcPr>
            <w:shd w:val="clear" w:color="auto" w:fill="f2f5fa"/>
            <w:tcBorders/>
            <w:tcMar>
              <w:left w:w="90" w:type="dxa"/>
              <w:top w:w="60" w:type="dxa"/>
              <w:right w:w="90" w:type="dxa"/>
              <w:bottom w:w="60" w:type="dxa"/>
            </w:tcMar>
            <w:tcW w:w="1498"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Restricción del proyecto</w:t>
            </w:r>
            <w:r>
              <w:rPr>
                <w:color w:val="000000" w:themeColor="text1"/>
              </w:rPr>
            </w:r>
          </w:p>
        </w:tc>
        <w:tc>
          <w:tcPr>
            <w:shd w:val="clear" w:color="auto" w:fill="f2f5fa"/>
            <w:tcBorders/>
            <w:tcMar>
              <w:left w:w="90" w:type="dxa"/>
              <w:top w:w="60" w:type="dxa"/>
              <w:right w:w="90" w:type="dxa"/>
              <w:bottom w:w="60" w:type="dxa"/>
            </w:tcMar>
            <w:tcW w:w="1030"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Alta</w:t>
            </w:r>
            <w:r>
              <w:rPr>
                <w:color w:val="000000" w:themeColor="text1"/>
              </w:rPr>
            </w:r>
          </w:p>
        </w:tc>
      </w:tr>
      <w:tr>
        <w:trPr>
          <w:cantSplit w:val="false"/>
        </w:trPr>
        <w:tc>
          <w:tcPr>
            <w:shd w:val="clear" w:color="auto" w:fill="ffffff"/>
            <w:tcBorders/>
            <w:tcMar>
              <w:left w:w="90" w:type="dxa"/>
              <w:top w:w="60" w:type="dxa"/>
              <w:right w:w="90" w:type="dxa"/>
              <w:bottom w:w="60" w:type="dxa"/>
            </w:tcMar>
            <w:tcW w:w="842"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RNF-09</w:t>
            </w:r>
            <w:r>
              <w:rPr>
                <w:color w:val="000000" w:themeColor="text1"/>
              </w:rPr>
            </w:r>
          </w:p>
        </w:tc>
        <w:tc>
          <w:tcPr>
            <w:shd w:val="clear" w:color="auto" w:fill="ffffff"/>
            <w:tcBorders/>
            <w:tcMar>
              <w:left w:w="90" w:type="dxa"/>
              <w:top w:w="60" w:type="dxa"/>
              <w:right w:w="90" w:type="dxa"/>
              <w:bottom w:w="60" w:type="dxa"/>
            </w:tcMar>
            <w:tcW w:w="1778"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Usabilidad y accesibilidad</w:t>
            </w:r>
            <w:r>
              <w:rPr>
                <w:color w:val="000000" w:themeColor="text1"/>
              </w:rPr>
            </w:r>
          </w:p>
        </w:tc>
        <w:tc>
          <w:tcPr>
            <w:shd w:val="clear" w:color="auto" w:fill="ffffff"/>
            <w:tcBorders/>
            <w:tcMar>
              <w:left w:w="90" w:type="dxa"/>
              <w:top w:w="60" w:type="dxa"/>
              <w:right w:w="90" w:type="dxa"/>
              <w:bottom w:w="60" w:type="dxa"/>
            </w:tcMar>
            <w:tcW w:w="4212"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Operación completa desde 320 px sin desplazamiento horizontal; ayuda contextual en formularios críticos; operabilidad total por teclado conforme a WCAG 2.1 criterios 2.1.1 y 2.1.2.</w:t>
            </w:r>
            <w:r>
              <w:rPr>
                <w:color w:val="000000" w:themeColor="text1"/>
              </w:rPr>
            </w:r>
          </w:p>
        </w:tc>
        <w:tc>
          <w:tcPr>
            <w:shd w:val="clear" w:color="auto" w:fill="ffffff"/>
            <w:tcBorders/>
            <w:tcMar>
              <w:left w:w="90" w:type="dxa"/>
              <w:top w:w="60" w:type="dxa"/>
              <w:right w:w="90" w:type="dxa"/>
              <w:bottom w:w="60" w:type="dxa"/>
            </w:tcMar>
            <w:tcW w:w="1498"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SYS-NFN-09, 11, 12</w:t>
            </w:r>
            <w:r>
              <w:rPr>
                <w:color w:val="000000" w:themeColor="text1"/>
              </w:rPr>
            </w:r>
          </w:p>
        </w:tc>
        <w:tc>
          <w:tcPr>
            <w:shd w:val="clear" w:color="auto" w:fill="ffffff"/>
            <w:tcBorders/>
            <w:tcMar>
              <w:left w:w="90" w:type="dxa"/>
              <w:top w:w="60" w:type="dxa"/>
              <w:right w:w="90" w:type="dxa"/>
              <w:bottom w:w="60" w:type="dxa"/>
            </w:tcMar>
            <w:tcW w:w="1030"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Media</w:t>
            </w:r>
            <w:r>
              <w:rPr>
                <w:color w:val="000000" w:themeColor="text1"/>
              </w:rPr>
            </w:r>
          </w:p>
        </w:tc>
      </w:tr>
    </w:tbl>
    <w:p>
      <w:pPr>
        <w:pBdr/>
        <w:spacing w:after="160"/>
        <w:ind/>
        <w:rPr>
          <w:color w:val="000000" w:themeColor="text1"/>
        </w:rPr>
      </w:pPr>
      <w:r>
        <w:rPr>
          <w:color w:val="000000" w:themeColor="text1"/>
          <w:lang w:val="es-ES" w:bidi="es-ES"/>
        </w:rPr>
      </w:r>
      <w:r>
        <w:rPr>
          <w:color w:val="000000" w:themeColor="text1"/>
        </w:rPr>
      </w:r>
    </w:p>
    <w:p>
      <w:pPr>
        <w:pStyle w:val="904"/>
        <w:keepNext w:val="true"/>
        <w:pageBreakBefore w:val="true"/>
        <w:pBdr/>
        <w:spacing w:after="140" w:before="280"/>
        <w:ind/>
        <w:rPr>
          <w:color w:val="000000" w:themeColor="text1"/>
        </w:rPr>
      </w:pPr>
      <w:r/>
      <w:bookmarkStart w:id="14" w:name="_Toc14"/>
      <w:r>
        <w:rPr>
          <w:rFonts w:ascii="Calibri" w:hAnsi="Calibri" w:eastAsia="Calibri" w:cs="Calibri"/>
          <w:b/>
          <w:bCs/>
          <w:color w:val="000000" w:themeColor="text1"/>
          <w:sz w:val="25"/>
          <w:szCs w:val="25"/>
          <w:lang w:val="es-ES"/>
        </w:rPr>
        <w:t xml:space="preserve">2.3 Interesados, perspectivas y preocupaciones</w:t>
      </w:r>
      <w:r/>
      <w:bookmarkEnd w:id="14"/>
      <w:r/>
      <w:r>
        <w:rPr>
          <w:color w:val="000000" w:themeColor="text1"/>
        </w:rPr>
      </w:r>
    </w:p>
    <w:p>
      <w:pPr>
        <w:pBdr/>
        <w:spacing w:after="140" w:line="276" w:lineRule="auto"/>
        <w:ind/>
        <w:jc w:val="both"/>
        <w:rPr>
          <w:color w:val="000000" w:themeColor="text1"/>
        </w:rPr>
      </w:pPr>
      <w:r>
        <w:rPr>
          <w:rFonts w:ascii="Calibri" w:hAnsi="Calibri" w:eastAsia="Calibri" w:cs="Calibri"/>
          <w:color w:val="000000" w:themeColor="text1"/>
          <w:sz w:val="21"/>
          <w:szCs w:val="21"/>
          <w:lang w:val="es-ES"/>
        </w:rPr>
        <w:t xml:space="preserve">Las Cláusulas 6.2, 6.3 y 6.4 de la norma exigen identificar a los interesados, las perspectivas desde las cuales observan el sistema y las preocupaciones que de ellas se derivan. El SWEBOK justifica esta exigencia con un argumento contundente: lo que resulta fundamental para un sistema varía según quién lo mire, y de ahí procede la necesidad de múltiples vistas.</w:t>
      </w:r>
      <w:r>
        <w:rPr>
          <w:color w:val="000000" w:themeColor="text1"/>
        </w:rPr>
      </w:r>
    </w:p>
    <w:p>
      <w:pPr>
        <w:pStyle w:val="905"/>
        <w:keepNext w:val="true"/>
        <w:pBdr/>
        <w:spacing w:after="120" w:before="220"/>
        <w:ind/>
        <w:rPr>
          <w:color w:val="000000" w:themeColor="text1"/>
        </w:rPr>
      </w:pPr>
      <w:r/>
      <w:bookmarkStart w:id="15" w:name="_Toc15"/>
      <w:r>
        <w:rPr>
          <w:rFonts w:ascii="Calibri" w:hAnsi="Calibri" w:eastAsia="Calibri" w:cs="Calibri"/>
          <w:b/>
          <w:bCs/>
          <w:color w:val="000000" w:themeColor="text1"/>
          <w:sz w:val="22"/>
          <w:szCs w:val="22"/>
          <w:lang w:val="es-ES"/>
        </w:rPr>
        <w:t xml:space="preserve">2.3.1 Interesados identificados</w:t>
      </w:r>
      <w:r/>
      <w:bookmarkEnd w:id="15"/>
      <w:r/>
      <w:r>
        <w:rPr>
          <w:color w:val="000000" w:themeColor="text1"/>
        </w:rPr>
      </w:r>
    </w:p>
    <w:tbl>
      <w:tblPr>
        <w:tblW w:w="9360" w:type="dxa"/>
        <w:tblBorders>
          <w:top w:val="single" w:color="8ea9db" w:sz="4" w:space="0"/>
          <w:left w:val="single" w:color="8ea9db" w:sz="4" w:space="0"/>
          <w:bottom w:val="single" w:color="8ea9db" w:sz="4" w:space="0"/>
          <w:right w:val="single" w:color="8ea9db" w:sz="4" w:space="0"/>
          <w:insideH w:val="single" w:color="b4c6e7" w:sz="2" w:space="0"/>
          <w:insideV w:val="single" w:color="b4c6e7" w:sz="2" w:space="0"/>
        </w:tblBorders>
        <w:tblLook w:val="04A0" w:firstRow="1" w:lastRow="0" w:firstColumn="1" w:lastColumn="0" w:noHBand="0" w:noVBand="1"/>
      </w:tblPr>
      <w:tblGrid>
        <w:gridCol w:w="749"/>
        <w:gridCol w:w="2059"/>
        <w:gridCol w:w="4867"/>
        <w:gridCol w:w="1685"/>
      </w:tblGrid>
      <w:tr>
        <w:trPr>
          <w:cantSplit w:val="false"/>
          <w:tblHeader/>
        </w:trPr>
        <w:tc>
          <w:tcPr>
            <w:shd w:val="clear" w:color="auto" w:fill="d9e2f3"/>
            <w:tcBorders/>
            <w:tcMar>
              <w:left w:w="90" w:type="dxa"/>
              <w:top w:w="60" w:type="dxa"/>
              <w:right w:w="90" w:type="dxa"/>
              <w:bottom w:w="60" w:type="dxa"/>
            </w:tcMar>
            <w:tcW w:w="749"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7"/>
                <w:szCs w:val="17"/>
                <w:lang w:val="es-ES"/>
              </w:rPr>
              <w:t xml:space="preserve">#</w:t>
            </w:r>
            <w:r>
              <w:rPr>
                <w:color w:val="000000" w:themeColor="text1"/>
              </w:rPr>
            </w:r>
          </w:p>
        </w:tc>
        <w:tc>
          <w:tcPr>
            <w:shd w:val="clear" w:color="auto" w:fill="d9e2f3"/>
            <w:tcBorders/>
            <w:tcMar>
              <w:left w:w="90" w:type="dxa"/>
              <w:top w:w="60" w:type="dxa"/>
              <w:right w:w="90" w:type="dxa"/>
              <w:bottom w:w="60" w:type="dxa"/>
            </w:tcMar>
            <w:tcW w:w="2059"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7"/>
                <w:szCs w:val="17"/>
                <w:lang w:val="es-ES"/>
              </w:rPr>
              <w:t xml:space="preserve">Rol / Interesado</w:t>
            </w:r>
            <w:r>
              <w:rPr>
                <w:color w:val="000000" w:themeColor="text1"/>
              </w:rPr>
            </w:r>
          </w:p>
        </w:tc>
        <w:tc>
          <w:tcPr>
            <w:shd w:val="clear" w:color="auto" w:fill="d9e2f3"/>
            <w:tcBorders/>
            <w:tcMar>
              <w:left w:w="90" w:type="dxa"/>
              <w:top w:w="60" w:type="dxa"/>
              <w:right w:w="90" w:type="dxa"/>
              <w:bottom w:w="60" w:type="dxa"/>
            </w:tcMar>
            <w:tcW w:w="4867"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7"/>
                <w:szCs w:val="17"/>
                <w:lang w:val="es-ES"/>
              </w:rPr>
              <w:t xml:space="preserve">Interés en la Entidad de Interés</w:t>
            </w:r>
            <w:r>
              <w:rPr>
                <w:color w:val="000000" w:themeColor="text1"/>
              </w:rPr>
            </w:r>
          </w:p>
        </w:tc>
        <w:tc>
          <w:tcPr>
            <w:shd w:val="clear" w:color="auto" w:fill="d9e2f3"/>
            <w:tcBorders/>
            <w:tcMar>
              <w:left w:w="90" w:type="dxa"/>
              <w:top w:w="60" w:type="dxa"/>
              <w:right w:w="90" w:type="dxa"/>
              <w:bottom w:w="60" w:type="dxa"/>
            </w:tcMar>
            <w:tcW w:w="1685"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7"/>
                <w:szCs w:val="17"/>
                <w:lang w:val="es-ES"/>
              </w:rPr>
              <w:t xml:space="preserve">¿Abordado en esta DA?</w:t>
            </w:r>
            <w:r>
              <w:rPr>
                <w:color w:val="000000" w:themeColor="text1"/>
              </w:rPr>
            </w:r>
          </w:p>
        </w:tc>
      </w:tr>
      <w:tr>
        <w:trPr>
          <w:cantSplit w:val="false"/>
        </w:trPr>
        <w:tc>
          <w:tcPr>
            <w:shd w:val="clear" w:color="auto" w:fill="ffffff"/>
            <w:tcBorders/>
            <w:tcMar>
              <w:left w:w="90" w:type="dxa"/>
              <w:top w:w="60" w:type="dxa"/>
              <w:right w:w="90" w:type="dxa"/>
              <w:bottom w:w="60" w:type="dxa"/>
            </w:tcMar>
            <w:tcW w:w="749"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7"/>
                <w:szCs w:val="17"/>
                <w:lang w:val="es-ES"/>
              </w:rPr>
              <w:t xml:space="preserve">I-01</w:t>
            </w:r>
            <w:r>
              <w:rPr>
                <w:color w:val="000000" w:themeColor="text1"/>
              </w:rPr>
            </w:r>
          </w:p>
        </w:tc>
        <w:tc>
          <w:tcPr>
            <w:shd w:val="clear" w:color="auto" w:fill="ffffff"/>
            <w:tcBorders/>
            <w:tcMar>
              <w:left w:w="90" w:type="dxa"/>
              <w:top w:w="60" w:type="dxa"/>
              <w:right w:w="90" w:type="dxa"/>
              <w:bottom w:w="60" w:type="dxa"/>
            </w:tcMar>
            <w:tcW w:w="2059"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7"/>
                <w:szCs w:val="17"/>
                <w:lang w:val="es-ES"/>
              </w:rPr>
              <w:t xml:space="preserve">Compradores minoristas</w:t>
            </w:r>
            <w:r>
              <w:rPr>
                <w:color w:val="000000" w:themeColor="text1"/>
              </w:rPr>
            </w:r>
          </w:p>
        </w:tc>
        <w:tc>
          <w:tcPr>
            <w:shd w:val="clear" w:color="auto" w:fill="ffffff"/>
            <w:tcBorders/>
            <w:tcMar>
              <w:left w:w="90" w:type="dxa"/>
              <w:top w:w="60" w:type="dxa"/>
              <w:right w:w="90" w:type="dxa"/>
              <w:bottom w:w="60" w:type="dxa"/>
            </w:tcMar>
            <w:tcW w:w="4867"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7"/>
                <w:szCs w:val="17"/>
                <w:lang w:val="es-ES"/>
              </w:rPr>
              <w:t xml:space="preserve">Farmacias, ferreterías y pulperías que publican bloques de demanda y aceptan cotizaciones desde teléfonos de gama media sobre redes lentas.</w:t>
            </w:r>
            <w:r>
              <w:rPr>
                <w:color w:val="000000" w:themeColor="text1"/>
              </w:rPr>
            </w:r>
          </w:p>
        </w:tc>
        <w:tc>
          <w:tcPr>
            <w:shd w:val="clear" w:color="auto" w:fill="ffffff"/>
            <w:tcBorders/>
            <w:tcMar>
              <w:left w:w="90" w:type="dxa"/>
              <w:top w:w="60" w:type="dxa"/>
              <w:right w:w="90" w:type="dxa"/>
              <w:bottom w:w="60" w:type="dxa"/>
            </w:tcMar>
            <w:tcW w:w="1685"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7"/>
                <w:szCs w:val="17"/>
                <w:lang w:val="es-ES"/>
              </w:rPr>
              <w:t xml:space="preserve">Sí — PV-02 y PV-04</w:t>
            </w:r>
            <w:r>
              <w:rPr>
                <w:color w:val="000000" w:themeColor="text1"/>
              </w:rPr>
            </w:r>
          </w:p>
        </w:tc>
      </w:tr>
      <w:tr>
        <w:trPr>
          <w:cantSplit w:val="false"/>
        </w:trPr>
        <w:tc>
          <w:tcPr>
            <w:shd w:val="clear" w:color="auto" w:fill="f2f5fa"/>
            <w:tcBorders/>
            <w:tcMar>
              <w:left w:w="90" w:type="dxa"/>
              <w:top w:w="60" w:type="dxa"/>
              <w:right w:w="90" w:type="dxa"/>
              <w:bottom w:w="60" w:type="dxa"/>
            </w:tcMar>
            <w:tcW w:w="749"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7"/>
                <w:szCs w:val="17"/>
                <w:lang w:val="es-ES"/>
              </w:rPr>
              <w:t xml:space="preserve">I-02</w:t>
            </w:r>
            <w:r>
              <w:rPr>
                <w:color w:val="000000" w:themeColor="text1"/>
              </w:rPr>
            </w:r>
          </w:p>
        </w:tc>
        <w:tc>
          <w:tcPr>
            <w:shd w:val="clear" w:color="auto" w:fill="f2f5fa"/>
            <w:tcBorders/>
            <w:tcMar>
              <w:left w:w="90" w:type="dxa"/>
              <w:top w:w="60" w:type="dxa"/>
              <w:right w:w="90" w:type="dxa"/>
              <w:bottom w:w="60" w:type="dxa"/>
            </w:tcMar>
            <w:tcW w:w="2059"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7"/>
                <w:szCs w:val="17"/>
                <w:lang w:val="es-ES"/>
              </w:rPr>
              <w:t xml:space="preserve">Proveedores mayoristas</w:t>
            </w:r>
            <w:r>
              <w:rPr>
                <w:color w:val="000000" w:themeColor="text1"/>
              </w:rPr>
            </w:r>
          </w:p>
        </w:tc>
        <w:tc>
          <w:tcPr>
            <w:shd w:val="clear" w:color="auto" w:fill="f2f5fa"/>
            <w:tcBorders/>
            <w:tcMar>
              <w:left w:w="90" w:type="dxa"/>
              <w:top w:w="60" w:type="dxa"/>
              <w:right w:w="90" w:type="dxa"/>
              <w:bottom w:w="60" w:type="dxa"/>
            </w:tcMar>
            <w:tcW w:w="4867"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7"/>
                <w:szCs w:val="17"/>
                <w:lang w:val="es-ES"/>
              </w:rPr>
              <w:t xml:space="preserve">Distribuidores e importadores que exploran demandas consolidadas y emiten cotizaciones; requieren respuesta rápida y datos comerciales confiables.</w:t>
            </w:r>
            <w:r>
              <w:rPr>
                <w:color w:val="000000" w:themeColor="text1"/>
              </w:rPr>
            </w:r>
          </w:p>
        </w:tc>
        <w:tc>
          <w:tcPr>
            <w:shd w:val="clear" w:color="auto" w:fill="f2f5fa"/>
            <w:tcBorders/>
            <w:tcMar>
              <w:left w:w="90" w:type="dxa"/>
              <w:top w:w="60" w:type="dxa"/>
              <w:right w:w="90" w:type="dxa"/>
              <w:bottom w:w="60" w:type="dxa"/>
            </w:tcMar>
            <w:tcW w:w="1685"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7"/>
                <w:szCs w:val="17"/>
                <w:lang w:val="es-ES"/>
              </w:rPr>
              <w:t xml:space="preserve">Sí — PV-02</w:t>
            </w:r>
            <w:r>
              <w:rPr>
                <w:color w:val="000000" w:themeColor="text1"/>
              </w:rPr>
            </w:r>
          </w:p>
        </w:tc>
      </w:tr>
      <w:tr>
        <w:trPr>
          <w:cantSplit w:val="false"/>
        </w:trPr>
        <w:tc>
          <w:tcPr>
            <w:shd w:val="clear" w:color="auto" w:fill="ffffff"/>
            <w:tcBorders/>
            <w:tcMar>
              <w:left w:w="90" w:type="dxa"/>
              <w:top w:w="60" w:type="dxa"/>
              <w:right w:w="90" w:type="dxa"/>
              <w:bottom w:w="60" w:type="dxa"/>
            </w:tcMar>
            <w:tcW w:w="749"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7"/>
                <w:szCs w:val="17"/>
                <w:lang w:val="es-ES"/>
              </w:rPr>
              <w:t xml:space="preserve">I-03</w:t>
            </w:r>
            <w:r>
              <w:rPr>
                <w:color w:val="000000" w:themeColor="text1"/>
              </w:rPr>
            </w:r>
          </w:p>
        </w:tc>
        <w:tc>
          <w:tcPr>
            <w:shd w:val="clear" w:color="auto" w:fill="ffffff"/>
            <w:tcBorders/>
            <w:tcMar>
              <w:left w:w="90" w:type="dxa"/>
              <w:top w:w="60" w:type="dxa"/>
              <w:right w:w="90" w:type="dxa"/>
              <w:bottom w:w="60" w:type="dxa"/>
            </w:tcMar>
            <w:tcW w:w="2059"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7"/>
                <w:szCs w:val="17"/>
                <w:lang w:val="es-ES"/>
              </w:rPr>
              <w:t xml:space="preserve">Productores agrícolas</w:t>
            </w:r>
            <w:r>
              <w:rPr>
                <w:color w:val="000000" w:themeColor="text1"/>
              </w:rPr>
            </w:r>
          </w:p>
        </w:tc>
        <w:tc>
          <w:tcPr>
            <w:shd w:val="clear" w:color="auto" w:fill="ffffff"/>
            <w:tcBorders/>
            <w:tcMar>
              <w:left w:w="90" w:type="dxa"/>
              <w:top w:w="60" w:type="dxa"/>
              <w:right w:w="90" w:type="dxa"/>
              <w:bottom w:w="60" w:type="dxa"/>
            </w:tcMar>
            <w:tcW w:w="4867"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7"/>
                <w:szCs w:val="17"/>
                <w:lang w:val="es-ES"/>
              </w:rPr>
              <w:t xml:space="preserve">Finqueros que publican excedentes y dependen del congelamiento de inventario para no sobrevender.</w:t>
            </w:r>
            <w:r>
              <w:rPr>
                <w:color w:val="000000" w:themeColor="text1"/>
              </w:rPr>
            </w:r>
          </w:p>
        </w:tc>
        <w:tc>
          <w:tcPr>
            <w:shd w:val="clear" w:color="auto" w:fill="ffffff"/>
            <w:tcBorders/>
            <w:tcMar>
              <w:left w:w="90" w:type="dxa"/>
              <w:top w:w="60" w:type="dxa"/>
              <w:right w:w="90" w:type="dxa"/>
              <w:bottom w:w="60" w:type="dxa"/>
            </w:tcMar>
            <w:tcW w:w="1685"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7"/>
                <w:szCs w:val="17"/>
                <w:lang w:val="es-ES"/>
              </w:rPr>
              <w:t xml:space="preserve">Sí — PV-02</w:t>
            </w:r>
            <w:r>
              <w:rPr>
                <w:color w:val="000000" w:themeColor="text1"/>
              </w:rPr>
            </w:r>
          </w:p>
        </w:tc>
      </w:tr>
      <w:tr>
        <w:trPr>
          <w:cantSplit w:val="false"/>
        </w:trPr>
        <w:tc>
          <w:tcPr>
            <w:shd w:val="clear" w:color="auto" w:fill="f2f5fa"/>
            <w:tcBorders/>
            <w:tcMar>
              <w:left w:w="90" w:type="dxa"/>
              <w:top w:w="60" w:type="dxa"/>
              <w:right w:w="90" w:type="dxa"/>
              <w:bottom w:w="60" w:type="dxa"/>
            </w:tcMar>
            <w:tcW w:w="749"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7"/>
                <w:szCs w:val="17"/>
                <w:lang w:val="es-ES"/>
              </w:rPr>
              <w:t xml:space="preserve">I-04</w:t>
            </w:r>
            <w:r>
              <w:rPr>
                <w:color w:val="000000" w:themeColor="text1"/>
              </w:rPr>
            </w:r>
          </w:p>
        </w:tc>
        <w:tc>
          <w:tcPr>
            <w:shd w:val="clear" w:color="auto" w:fill="f2f5fa"/>
            <w:tcBorders/>
            <w:tcMar>
              <w:left w:w="90" w:type="dxa"/>
              <w:top w:w="60" w:type="dxa"/>
              <w:right w:w="90" w:type="dxa"/>
              <w:bottom w:w="60" w:type="dxa"/>
            </w:tcMar>
            <w:tcW w:w="2059"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7"/>
                <w:szCs w:val="17"/>
                <w:lang w:val="es-ES"/>
              </w:rPr>
              <w:t xml:space="preserve">Administrador de la plataforma</w:t>
            </w:r>
            <w:r>
              <w:rPr>
                <w:color w:val="000000" w:themeColor="text1"/>
              </w:rPr>
            </w:r>
          </w:p>
        </w:tc>
        <w:tc>
          <w:tcPr>
            <w:shd w:val="clear" w:color="auto" w:fill="f2f5fa"/>
            <w:tcBorders/>
            <w:tcMar>
              <w:left w:w="90" w:type="dxa"/>
              <w:top w:w="60" w:type="dxa"/>
              <w:right w:w="90" w:type="dxa"/>
              <w:bottom w:w="60" w:type="dxa"/>
            </w:tcMar>
            <w:tcW w:w="4867"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7"/>
                <w:szCs w:val="17"/>
                <w:lang w:val="es-ES"/>
              </w:rPr>
              <w:t xml:space="preserve">Valida cuentas, modera contenido, resuelve disputas y opera el soporte; requiere gobernabilidad e inmutabilidad de la auditoría.</w:t>
            </w:r>
            <w:r>
              <w:rPr>
                <w:color w:val="000000" w:themeColor="text1"/>
              </w:rPr>
            </w:r>
          </w:p>
        </w:tc>
        <w:tc>
          <w:tcPr>
            <w:shd w:val="clear" w:color="auto" w:fill="f2f5fa"/>
            <w:tcBorders/>
            <w:tcMar>
              <w:left w:w="90" w:type="dxa"/>
              <w:top w:w="60" w:type="dxa"/>
              <w:right w:w="90" w:type="dxa"/>
              <w:bottom w:w="60" w:type="dxa"/>
            </w:tcMar>
            <w:tcW w:w="1685"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7"/>
                <w:szCs w:val="17"/>
                <w:lang w:val="es-ES"/>
              </w:rPr>
              <w:t xml:space="preserve">Sí — PV-03</w:t>
            </w:r>
            <w:r>
              <w:rPr>
                <w:color w:val="000000" w:themeColor="text1"/>
              </w:rPr>
            </w:r>
          </w:p>
        </w:tc>
      </w:tr>
      <w:tr>
        <w:trPr>
          <w:cantSplit w:val="false"/>
        </w:trPr>
        <w:tc>
          <w:tcPr>
            <w:shd w:val="clear" w:color="auto" w:fill="ffffff"/>
            <w:tcBorders/>
            <w:tcMar>
              <w:left w:w="90" w:type="dxa"/>
              <w:top w:w="60" w:type="dxa"/>
              <w:right w:w="90" w:type="dxa"/>
              <w:bottom w:w="60" w:type="dxa"/>
            </w:tcMar>
            <w:tcW w:w="749"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7"/>
                <w:szCs w:val="17"/>
                <w:lang w:val="es-ES"/>
              </w:rPr>
              <w:t xml:space="preserve">I-05</w:t>
            </w:r>
            <w:r>
              <w:rPr>
                <w:color w:val="000000" w:themeColor="text1"/>
              </w:rPr>
            </w:r>
          </w:p>
        </w:tc>
        <w:tc>
          <w:tcPr>
            <w:shd w:val="clear" w:color="auto" w:fill="ffffff"/>
            <w:tcBorders/>
            <w:tcMar>
              <w:left w:w="90" w:type="dxa"/>
              <w:top w:w="60" w:type="dxa"/>
              <w:right w:w="90" w:type="dxa"/>
              <w:bottom w:w="60" w:type="dxa"/>
            </w:tcMar>
            <w:tcW w:w="2059"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7"/>
                <w:szCs w:val="17"/>
                <w:lang w:val="es-ES"/>
              </w:rPr>
              <w:t xml:space="preserve">Equipo de desarrollo</w:t>
            </w:r>
            <w:r>
              <w:rPr>
                <w:color w:val="000000" w:themeColor="text1"/>
              </w:rPr>
            </w:r>
          </w:p>
        </w:tc>
        <w:tc>
          <w:tcPr>
            <w:shd w:val="clear" w:color="auto" w:fill="ffffff"/>
            <w:tcBorders/>
            <w:tcMar>
              <w:left w:w="90" w:type="dxa"/>
              <w:top w:w="60" w:type="dxa"/>
              <w:right w:w="90" w:type="dxa"/>
              <w:bottom w:w="60" w:type="dxa"/>
            </w:tcMar>
            <w:tcW w:w="4867"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7"/>
                <w:szCs w:val="17"/>
                <w:lang w:val="es-ES"/>
              </w:rPr>
              <w:t xml:space="preserve">Dos estudiantes responsables de construir, probar, desplegar y mantener el sistema con recursos acotados.</w:t>
            </w:r>
            <w:r>
              <w:rPr>
                <w:color w:val="000000" w:themeColor="text1"/>
              </w:rPr>
            </w:r>
          </w:p>
        </w:tc>
        <w:tc>
          <w:tcPr>
            <w:shd w:val="clear" w:color="auto" w:fill="ffffff"/>
            <w:tcBorders/>
            <w:tcMar>
              <w:left w:w="90" w:type="dxa"/>
              <w:top w:w="60" w:type="dxa"/>
              <w:right w:w="90" w:type="dxa"/>
              <w:bottom w:w="60" w:type="dxa"/>
            </w:tcMar>
            <w:tcW w:w="1685"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7"/>
                <w:szCs w:val="17"/>
                <w:lang w:val="es-ES"/>
              </w:rPr>
              <w:t xml:space="preserve">Sí — PV-01 y PV-04</w:t>
            </w:r>
            <w:r>
              <w:rPr>
                <w:color w:val="000000" w:themeColor="text1"/>
              </w:rPr>
            </w:r>
          </w:p>
        </w:tc>
      </w:tr>
      <w:tr>
        <w:trPr>
          <w:cantSplit w:val="false"/>
        </w:trPr>
        <w:tc>
          <w:tcPr>
            <w:shd w:val="clear" w:color="auto" w:fill="f2f5fa"/>
            <w:tcBorders/>
            <w:tcMar>
              <w:left w:w="90" w:type="dxa"/>
              <w:top w:w="60" w:type="dxa"/>
              <w:right w:w="90" w:type="dxa"/>
              <w:bottom w:w="60" w:type="dxa"/>
            </w:tcMar>
            <w:tcW w:w="749"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7"/>
                <w:szCs w:val="17"/>
                <w:lang w:val="es-ES"/>
              </w:rPr>
              <w:t xml:space="preserve">I-06</w:t>
            </w:r>
            <w:r>
              <w:rPr>
                <w:color w:val="000000" w:themeColor="text1"/>
              </w:rPr>
            </w:r>
          </w:p>
        </w:tc>
        <w:tc>
          <w:tcPr>
            <w:shd w:val="clear" w:color="auto" w:fill="f2f5fa"/>
            <w:tcBorders/>
            <w:tcMar>
              <w:left w:w="90" w:type="dxa"/>
              <w:top w:w="60" w:type="dxa"/>
              <w:right w:w="90" w:type="dxa"/>
              <w:bottom w:w="60" w:type="dxa"/>
            </w:tcMar>
            <w:tcW w:w="2059"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7"/>
                <w:szCs w:val="17"/>
                <w:lang w:val="es-ES"/>
              </w:rPr>
              <w:t xml:space="preserve">Autoridad reguladora</w:t>
            </w:r>
            <w:r>
              <w:rPr>
                <w:color w:val="000000" w:themeColor="text1"/>
              </w:rPr>
            </w:r>
          </w:p>
        </w:tc>
        <w:tc>
          <w:tcPr>
            <w:shd w:val="clear" w:color="auto" w:fill="f2f5fa"/>
            <w:tcBorders/>
            <w:tcMar>
              <w:left w:w="90" w:type="dxa"/>
              <w:top w:w="60" w:type="dxa"/>
              <w:right w:w="90" w:type="dxa"/>
              <w:bottom w:w="60" w:type="dxa"/>
            </w:tcMar>
            <w:tcW w:w="4867"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7"/>
                <w:szCs w:val="17"/>
                <w:lang w:val="es-ES"/>
              </w:rPr>
              <w:t xml:space="preserve">Entidad competente en protección de datos personales conforme a la Ley No. 787; exige consentimiento informado y tratamiento lícito.</w:t>
            </w:r>
            <w:r>
              <w:rPr>
                <w:color w:val="000000" w:themeColor="text1"/>
              </w:rPr>
            </w:r>
          </w:p>
        </w:tc>
        <w:tc>
          <w:tcPr>
            <w:shd w:val="clear" w:color="auto" w:fill="f2f5fa"/>
            <w:tcBorders/>
            <w:tcMar>
              <w:left w:w="90" w:type="dxa"/>
              <w:top w:w="60" w:type="dxa"/>
              <w:right w:w="90" w:type="dxa"/>
              <w:bottom w:w="60" w:type="dxa"/>
            </w:tcMar>
            <w:tcW w:w="1685"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7"/>
                <w:szCs w:val="17"/>
                <w:lang w:val="es-ES"/>
              </w:rPr>
              <w:t xml:space="preserve">Sí — PV-03</w:t>
            </w:r>
            <w:r>
              <w:rPr>
                <w:color w:val="000000" w:themeColor="text1"/>
              </w:rPr>
            </w:r>
          </w:p>
        </w:tc>
      </w:tr>
    </w:tbl>
    <w:p>
      <w:pPr>
        <w:pBdr/>
        <w:spacing w:after="160"/>
        <w:ind/>
        <w:rPr>
          <w:color w:val="000000" w:themeColor="text1"/>
        </w:rPr>
      </w:pPr>
      <w:r>
        <w:rPr>
          <w:color w:val="000000" w:themeColor="text1"/>
          <w:lang w:val="es-ES" w:bidi="es-ES"/>
        </w:rPr>
      </w:r>
      <w:r>
        <w:rPr>
          <w:color w:val="000000" w:themeColor="text1"/>
        </w:rPr>
      </w:r>
    </w:p>
    <w:p>
      <w:pPr>
        <w:pBdr/>
        <w:spacing w:after="140" w:line="276" w:lineRule="auto"/>
        <w:ind/>
        <w:jc w:val="both"/>
        <w:rPr>
          <w:color w:val="000000" w:themeColor="text1"/>
        </w:rPr>
      </w:pPr>
      <w:r>
        <w:rPr>
          <w:rFonts w:ascii="Calibri" w:hAnsi="Calibri" w:eastAsia="Calibri" w:cs="Calibri"/>
          <w:color w:val="000000" w:themeColor="text1"/>
          <w:sz w:val="21"/>
          <w:szCs w:val="21"/>
          <w:lang w:val="es-ES"/>
        </w:rPr>
        <w:t xml:space="preserve">Se reitera </w:t>
      </w:r>
      <w:r>
        <w:rPr>
          <w:color w:val="000000" w:themeColor="text1"/>
        </w:rPr>
        <w:t xml:space="preserve">la limitación ya declarada en el documento de levantamiento de requerimientos</w:t>
      </w:r>
      <w:r>
        <w:rPr>
          <w:rFonts w:ascii="Calibri" w:hAnsi="Calibri" w:eastAsia="Calibri" w:cs="Calibri"/>
          <w:color w:val="000000" w:themeColor="text1"/>
          <w:sz w:val="21"/>
          <w:szCs w:val="21"/>
          <w:lang w:val="es-ES"/>
        </w:rPr>
        <w:t xml:space="preserve">: la clase de los afectados negativamente —los intermediarios físicos cuyo margen la plataforma busca eliminar— no fue consultada por conflicto de intereses directo. Desde el punto de vista arquitectónico su existencia importa, porque su reacción constituye un riesgo de adopción y, potencialmente, una fuente de contenido malicioso o de cuentas fraudulentas. Este razonamiento refuerza la exigencia de validación por RUC y de auditoría inmutable.</w:t>
      </w:r>
      <w:r>
        <w:rPr>
          <w:color w:val="000000" w:themeColor="text1"/>
        </w:rPr>
      </w:r>
    </w:p>
    <w:p>
      <w:pPr>
        <w:pStyle w:val="905"/>
        <w:keepNext w:val="true"/>
        <w:pBdr/>
        <w:spacing w:after="120" w:before="220"/>
        <w:ind/>
        <w:rPr>
          <w:color w:val="000000" w:themeColor="text1"/>
        </w:rPr>
      </w:pPr>
      <w:r/>
      <w:bookmarkStart w:id="16" w:name="_Toc16"/>
      <w:r>
        <w:rPr>
          <w:rFonts w:ascii="Calibri" w:hAnsi="Calibri" w:eastAsia="Calibri" w:cs="Calibri"/>
          <w:b/>
          <w:bCs/>
          <w:color w:val="000000" w:themeColor="text1"/>
          <w:sz w:val="22"/>
          <w:szCs w:val="22"/>
          <w:lang w:val="es-ES"/>
        </w:rPr>
        <w:t xml:space="preserve">2.3.2 Perspectivas de los interesados</w:t>
      </w:r>
      <w:r/>
      <w:bookmarkEnd w:id="16"/>
      <w:r/>
      <w:r>
        <w:rPr>
          <w:color w:val="000000" w:themeColor="text1"/>
        </w:rPr>
      </w:r>
    </w:p>
    <w:tbl>
      <w:tblPr>
        <w:tblW w:w="9360" w:type="dxa"/>
        <w:tblBorders>
          <w:top w:val="single" w:color="8ea9db" w:sz="4" w:space="0"/>
          <w:left w:val="single" w:color="8ea9db" w:sz="4" w:space="0"/>
          <w:bottom w:val="single" w:color="8ea9db" w:sz="4" w:space="0"/>
          <w:right w:val="single" w:color="8ea9db" w:sz="4" w:space="0"/>
          <w:insideH w:val="single" w:color="b4c6e7" w:sz="2" w:space="0"/>
          <w:insideV w:val="single" w:color="b4c6e7" w:sz="2" w:space="0"/>
        </w:tblBorders>
        <w:tblLook w:val="04A0" w:firstRow="1" w:lastRow="0" w:firstColumn="1" w:lastColumn="0" w:noHBand="0" w:noVBand="1"/>
      </w:tblPr>
      <w:tblGrid>
        <w:gridCol w:w="749"/>
        <w:gridCol w:w="2059"/>
        <w:gridCol w:w="2340"/>
        <w:gridCol w:w="4212"/>
      </w:tblGrid>
      <w:tr>
        <w:trPr>
          <w:cantSplit w:val="false"/>
          <w:tblHeader/>
        </w:trPr>
        <w:tc>
          <w:tcPr>
            <w:shd w:val="clear" w:color="auto" w:fill="d9e2f3"/>
            <w:tcBorders/>
            <w:tcMar>
              <w:left w:w="90" w:type="dxa"/>
              <w:top w:w="60" w:type="dxa"/>
              <w:right w:w="90" w:type="dxa"/>
              <w:bottom w:w="60" w:type="dxa"/>
            </w:tcMar>
            <w:tcW w:w="749"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7"/>
                <w:szCs w:val="17"/>
                <w:lang w:val="es-ES"/>
              </w:rPr>
              <w:t xml:space="preserve">#</w:t>
            </w:r>
            <w:r>
              <w:rPr>
                <w:color w:val="000000" w:themeColor="text1"/>
              </w:rPr>
            </w:r>
          </w:p>
        </w:tc>
        <w:tc>
          <w:tcPr>
            <w:shd w:val="clear" w:color="auto" w:fill="d9e2f3"/>
            <w:tcBorders/>
            <w:tcMar>
              <w:left w:w="90" w:type="dxa"/>
              <w:top w:w="60" w:type="dxa"/>
              <w:right w:w="90" w:type="dxa"/>
              <w:bottom w:w="60" w:type="dxa"/>
            </w:tcMar>
            <w:tcW w:w="2059"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7"/>
                <w:szCs w:val="17"/>
                <w:lang w:val="es-ES"/>
              </w:rPr>
              <w:t xml:space="preserve">Perspectiva</w:t>
            </w:r>
            <w:r>
              <w:rPr>
                <w:color w:val="000000" w:themeColor="text1"/>
              </w:rPr>
            </w:r>
          </w:p>
        </w:tc>
        <w:tc>
          <w:tcPr>
            <w:shd w:val="clear" w:color="auto" w:fill="d9e2f3"/>
            <w:tcBorders/>
            <w:tcMar>
              <w:left w:w="90" w:type="dxa"/>
              <w:top w:w="60" w:type="dxa"/>
              <w:right w:w="90" w:type="dxa"/>
              <w:bottom w:w="60" w:type="dxa"/>
            </w:tcMar>
            <w:tcW w:w="2340"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7"/>
                <w:szCs w:val="17"/>
                <w:lang w:val="es-ES"/>
              </w:rPr>
              <w:t xml:space="preserve">Interesados que la sostienen</w:t>
            </w:r>
            <w:r>
              <w:rPr>
                <w:color w:val="000000" w:themeColor="text1"/>
              </w:rPr>
            </w:r>
          </w:p>
        </w:tc>
        <w:tc>
          <w:tcPr>
            <w:shd w:val="clear" w:color="auto" w:fill="d9e2f3"/>
            <w:tcBorders/>
            <w:tcMar>
              <w:left w:w="90" w:type="dxa"/>
              <w:top w:w="60" w:type="dxa"/>
              <w:right w:w="90" w:type="dxa"/>
              <w:bottom w:w="60" w:type="dxa"/>
            </w:tcMar>
            <w:tcW w:w="4212"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7"/>
                <w:szCs w:val="17"/>
                <w:lang w:val="es-ES"/>
              </w:rPr>
              <w:t xml:space="preserve">Preocupaciones que genera</w:t>
            </w:r>
            <w:r>
              <w:rPr>
                <w:color w:val="000000" w:themeColor="text1"/>
              </w:rPr>
            </w:r>
          </w:p>
        </w:tc>
      </w:tr>
      <w:tr>
        <w:trPr>
          <w:cantSplit w:val="false"/>
        </w:trPr>
        <w:tc>
          <w:tcPr>
            <w:shd w:val="clear" w:color="auto" w:fill="ffffff"/>
            <w:tcBorders/>
            <w:tcMar>
              <w:left w:w="90" w:type="dxa"/>
              <w:top w:w="60" w:type="dxa"/>
              <w:right w:w="90" w:type="dxa"/>
              <w:bottom w:w="60" w:type="dxa"/>
            </w:tcMar>
            <w:tcW w:w="749"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7"/>
                <w:szCs w:val="17"/>
                <w:lang w:val="es-ES"/>
              </w:rPr>
              <w:t xml:space="preserve">S-01</w:t>
            </w:r>
            <w:r>
              <w:rPr>
                <w:color w:val="000000" w:themeColor="text1"/>
              </w:rPr>
            </w:r>
          </w:p>
        </w:tc>
        <w:tc>
          <w:tcPr>
            <w:shd w:val="clear" w:color="auto" w:fill="ffffff"/>
            <w:tcBorders/>
            <w:tcMar>
              <w:left w:w="90" w:type="dxa"/>
              <w:top w:w="60" w:type="dxa"/>
              <w:right w:w="90" w:type="dxa"/>
              <w:bottom w:w="60" w:type="dxa"/>
            </w:tcMar>
            <w:tcW w:w="2059"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7"/>
                <w:szCs w:val="17"/>
                <w:lang w:val="es-ES"/>
              </w:rPr>
              <w:t xml:space="preserve">Estratégica / Económica</w:t>
            </w:r>
            <w:r>
              <w:rPr>
                <w:color w:val="000000" w:themeColor="text1"/>
              </w:rPr>
            </w:r>
          </w:p>
        </w:tc>
        <w:tc>
          <w:tcPr>
            <w:shd w:val="clear" w:color="auto" w:fill="ffffff"/>
            <w:tcBorders/>
            <w:tcMar>
              <w:left w:w="90" w:type="dxa"/>
              <w:top w:w="60" w:type="dxa"/>
              <w:right w:w="90" w:type="dxa"/>
              <w:bottom w:w="60" w:type="dxa"/>
            </w:tcMar>
            <w:tcW w:w="2340"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7"/>
                <w:szCs w:val="17"/>
                <w:lang w:val="es-ES"/>
              </w:rPr>
              <w:t xml:space="preserve">Promotores del proyecto, docente evaluador</w:t>
            </w:r>
            <w:r>
              <w:rPr>
                <w:color w:val="000000" w:themeColor="text1"/>
              </w:rPr>
            </w:r>
          </w:p>
        </w:tc>
        <w:tc>
          <w:tcPr>
            <w:shd w:val="clear" w:color="auto" w:fill="ffffff"/>
            <w:tcBorders/>
            <w:tcMar>
              <w:left w:w="90" w:type="dxa"/>
              <w:top w:w="60" w:type="dxa"/>
              <w:right w:w="90" w:type="dxa"/>
              <w:bottom w:w="60" w:type="dxa"/>
            </w:tcMar>
            <w:tcW w:w="4212"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7"/>
                <w:szCs w:val="17"/>
                <w:lang w:val="es-ES"/>
              </w:rPr>
              <w:t xml:space="preserve">Costo de construcción y operación, viabilidad dentro del calendario, proporcionalidad entre la solución y el tamaño real del problema.</w:t>
            </w:r>
            <w:r>
              <w:rPr>
                <w:color w:val="000000" w:themeColor="text1"/>
              </w:rPr>
            </w:r>
          </w:p>
        </w:tc>
      </w:tr>
      <w:tr>
        <w:trPr>
          <w:cantSplit w:val="false"/>
        </w:trPr>
        <w:tc>
          <w:tcPr>
            <w:shd w:val="clear" w:color="auto" w:fill="f2f5fa"/>
            <w:tcBorders/>
            <w:tcMar>
              <w:left w:w="90" w:type="dxa"/>
              <w:top w:w="60" w:type="dxa"/>
              <w:right w:w="90" w:type="dxa"/>
              <w:bottom w:w="60" w:type="dxa"/>
            </w:tcMar>
            <w:tcW w:w="749"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7"/>
                <w:szCs w:val="17"/>
                <w:lang w:val="es-ES"/>
              </w:rPr>
              <w:t xml:space="preserve">S-02</w:t>
            </w:r>
            <w:r>
              <w:rPr>
                <w:color w:val="000000" w:themeColor="text1"/>
              </w:rPr>
            </w:r>
          </w:p>
        </w:tc>
        <w:tc>
          <w:tcPr>
            <w:shd w:val="clear" w:color="auto" w:fill="f2f5fa"/>
            <w:tcBorders/>
            <w:tcMar>
              <w:left w:w="90" w:type="dxa"/>
              <w:top w:w="60" w:type="dxa"/>
              <w:right w:w="90" w:type="dxa"/>
              <w:bottom w:w="60" w:type="dxa"/>
            </w:tcMar>
            <w:tcW w:w="2059"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7"/>
                <w:szCs w:val="17"/>
                <w:lang w:val="es-ES"/>
              </w:rPr>
              <w:t xml:space="preserve">Operativa / de Usuario</w:t>
            </w:r>
            <w:r>
              <w:rPr>
                <w:color w:val="000000" w:themeColor="text1"/>
              </w:rPr>
            </w:r>
          </w:p>
        </w:tc>
        <w:tc>
          <w:tcPr>
            <w:shd w:val="clear" w:color="auto" w:fill="f2f5fa"/>
            <w:tcBorders/>
            <w:tcMar>
              <w:left w:w="90" w:type="dxa"/>
              <w:top w:w="60" w:type="dxa"/>
              <w:right w:w="90" w:type="dxa"/>
              <w:bottom w:w="60" w:type="dxa"/>
            </w:tcMar>
            <w:tcW w:w="2340"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7"/>
                <w:szCs w:val="17"/>
                <w:lang w:val="es-ES"/>
              </w:rPr>
              <w:t xml:space="preserve">I-01, I-02, I-03, I-04</w:t>
            </w:r>
            <w:r>
              <w:rPr>
                <w:color w:val="000000" w:themeColor="text1"/>
              </w:rPr>
            </w:r>
          </w:p>
        </w:tc>
        <w:tc>
          <w:tcPr>
            <w:shd w:val="clear" w:color="auto" w:fill="f2f5fa"/>
            <w:tcBorders/>
            <w:tcMar>
              <w:left w:w="90" w:type="dxa"/>
              <w:top w:w="60" w:type="dxa"/>
              <w:right w:w="90" w:type="dxa"/>
              <w:bottom w:w="60" w:type="dxa"/>
            </w:tcMar>
            <w:tcW w:w="4212"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7"/>
                <w:szCs w:val="17"/>
                <w:lang w:val="es-ES"/>
              </w:rPr>
              <w:t xml:space="preserve">Disponibilidad del servicio, tiempo de respuesta sobre redes lentas, usabilidad en pantallas pequeñas, oportunidad de las notificaciones.</w:t>
            </w:r>
            <w:r>
              <w:rPr>
                <w:color w:val="000000" w:themeColor="text1"/>
              </w:rPr>
            </w:r>
          </w:p>
        </w:tc>
      </w:tr>
      <w:tr>
        <w:trPr>
          <w:cantSplit w:val="false"/>
        </w:trPr>
        <w:tc>
          <w:tcPr>
            <w:shd w:val="clear" w:color="auto" w:fill="ffffff"/>
            <w:tcBorders/>
            <w:tcMar>
              <w:left w:w="90" w:type="dxa"/>
              <w:top w:w="60" w:type="dxa"/>
              <w:right w:w="90" w:type="dxa"/>
              <w:bottom w:w="60" w:type="dxa"/>
            </w:tcMar>
            <w:tcW w:w="749"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7"/>
                <w:szCs w:val="17"/>
                <w:lang w:val="es-ES"/>
              </w:rPr>
              <w:t xml:space="preserve">S-03</w:t>
            </w:r>
            <w:r>
              <w:rPr>
                <w:color w:val="000000" w:themeColor="text1"/>
              </w:rPr>
            </w:r>
          </w:p>
        </w:tc>
        <w:tc>
          <w:tcPr>
            <w:shd w:val="clear" w:color="auto" w:fill="ffffff"/>
            <w:tcBorders/>
            <w:tcMar>
              <w:left w:w="90" w:type="dxa"/>
              <w:top w:w="60" w:type="dxa"/>
              <w:right w:w="90" w:type="dxa"/>
              <w:bottom w:w="60" w:type="dxa"/>
            </w:tcMar>
            <w:tcW w:w="2059"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7"/>
                <w:szCs w:val="17"/>
                <w:lang w:val="es-ES"/>
              </w:rPr>
              <w:t xml:space="preserve">Técnica / de Ingeniería</w:t>
            </w:r>
            <w:r>
              <w:rPr>
                <w:color w:val="000000" w:themeColor="text1"/>
              </w:rPr>
            </w:r>
          </w:p>
        </w:tc>
        <w:tc>
          <w:tcPr>
            <w:shd w:val="clear" w:color="auto" w:fill="ffffff"/>
            <w:tcBorders/>
            <w:tcMar>
              <w:left w:w="90" w:type="dxa"/>
              <w:top w:w="60" w:type="dxa"/>
              <w:right w:w="90" w:type="dxa"/>
              <w:bottom w:w="60" w:type="dxa"/>
            </w:tcMar>
            <w:tcW w:w="2340"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7"/>
                <w:szCs w:val="17"/>
                <w:lang w:val="es-ES"/>
              </w:rPr>
              <w:t xml:space="preserve">I-05</w:t>
            </w:r>
            <w:r>
              <w:rPr>
                <w:color w:val="000000" w:themeColor="text1"/>
              </w:rPr>
            </w:r>
          </w:p>
        </w:tc>
        <w:tc>
          <w:tcPr>
            <w:shd w:val="clear" w:color="auto" w:fill="ffffff"/>
            <w:tcBorders/>
            <w:tcMar>
              <w:left w:w="90" w:type="dxa"/>
              <w:top w:w="60" w:type="dxa"/>
              <w:right w:w="90" w:type="dxa"/>
              <w:bottom w:w="60" w:type="dxa"/>
            </w:tcMar>
            <w:tcW w:w="4212"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7"/>
                <w:szCs w:val="17"/>
                <w:lang w:val="es-ES"/>
              </w:rPr>
              <w:t xml:space="preserve">Claridad de la estructura, bajo acoplamiento, capacidad de prueba, escalabilidad futura, deuda técnica que se contrae hoy.</w:t>
            </w:r>
            <w:r>
              <w:rPr>
                <w:color w:val="000000" w:themeColor="text1"/>
              </w:rPr>
            </w:r>
          </w:p>
        </w:tc>
      </w:tr>
      <w:tr>
        <w:trPr>
          <w:cantSplit w:val="false"/>
        </w:trPr>
        <w:tc>
          <w:tcPr>
            <w:shd w:val="clear" w:color="auto" w:fill="f2f5fa"/>
            <w:tcBorders/>
            <w:tcMar>
              <w:left w:w="90" w:type="dxa"/>
              <w:top w:w="60" w:type="dxa"/>
              <w:right w:w="90" w:type="dxa"/>
              <w:bottom w:w="60" w:type="dxa"/>
            </w:tcMar>
            <w:tcW w:w="749"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7"/>
                <w:szCs w:val="17"/>
                <w:lang w:val="es-ES"/>
              </w:rPr>
              <w:t xml:space="preserve">S-04</w:t>
            </w:r>
            <w:r>
              <w:rPr>
                <w:color w:val="000000" w:themeColor="text1"/>
              </w:rPr>
            </w:r>
          </w:p>
        </w:tc>
        <w:tc>
          <w:tcPr>
            <w:shd w:val="clear" w:color="auto" w:fill="f2f5fa"/>
            <w:tcBorders/>
            <w:tcMar>
              <w:left w:w="90" w:type="dxa"/>
              <w:top w:w="60" w:type="dxa"/>
              <w:right w:w="90" w:type="dxa"/>
              <w:bottom w:w="60" w:type="dxa"/>
            </w:tcMar>
            <w:tcW w:w="2059"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7"/>
                <w:szCs w:val="17"/>
                <w:lang w:val="es-ES"/>
              </w:rPr>
              <w:t xml:space="preserve">Legal / de Cumplimiento</w:t>
            </w:r>
            <w:r>
              <w:rPr>
                <w:color w:val="000000" w:themeColor="text1"/>
              </w:rPr>
            </w:r>
          </w:p>
        </w:tc>
        <w:tc>
          <w:tcPr>
            <w:shd w:val="clear" w:color="auto" w:fill="f2f5fa"/>
            <w:tcBorders/>
            <w:tcMar>
              <w:left w:w="90" w:type="dxa"/>
              <w:top w:w="60" w:type="dxa"/>
              <w:right w:w="90" w:type="dxa"/>
              <w:bottom w:w="60" w:type="dxa"/>
            </w:tcMar>
            <w:tcW w:w="2340"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7"/>
                <w:szCs w:val="17"/>
                <w:lang w:val="es-ES"/>
              </w:rPr>
              <w:t xml:space="preserve">I-06, I-04</w:t>
            </w:r>
            <w:r>
              <w:rPr>
                <w:color w:val="000000" w:themeColor="text1"/>
              </w:rPr>
            </w:r>
          </w:p>
        </w:tc>
        <w:tc>
          <w:tcPr>
            <w:shd w:val="clear" w:color="auto" w:fill="f2f5fa"/>
            <w:tcBorders/>
            <w:tcMar>
              <w:left w:w="90" w:type="dxa"/>
              <w:top w:w="60" w:type="dxa"/>
              <w:right w:w="90" w:type="dxa"/>
              <w:bottom w:w="60" w:type="dxa"/>
            </w:tcMar>
            <w:tcW w:w="4212"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7"/>
                <w:szCs w:val="17"/>
                <w:lang w:val="es-ES"/>
              </w:rPr>
              <w:t xml:space="preserve">Protección de datos personales, inmutabilidad y retención de la auditoría, consentimiento informado, trazabilidad de las transacciones.</w:t>
            </w:r>
            <w:r>
              <w:rPr>
                <w:color w:val="000000" w:themeColor="text1"/>
              </w:rPr>
            </w:r>
          </w:p>
        </w:tc>
      </w:tr>
    </w:tbl>
    <w:p>
      <w:pPr>
        <w:pBdr/>
        <w:spacing w:after="160"/>
        <w:ind/>
        <w:rPr>
          <w:color w:val="000000" w:themeColor="text1"/>
        </w:rPr>
      </w:pPr>
      <w:r>
        <w:rPr>
          <w:color w:val="000000" w:themeColor="text1"/>
          <w:lang w:val="es-ES" w:bidi="es-ES"/>
        </w:rPr>
      </w:r>
      <w:r>
        <w:rPr>
          <w:color w:val="000000" w:themeColor="text1"/>
        </w:rPr>
      </w:r>
    </w:p>
    <w:p>
      <w:pPr>
        <w:pStyle w:val="905"/>
        <w:keepNext w:val="true"/>
        <w:pBdr/>
        <w:spacing w:after="120" w:before="220"/>
        <w:ind/>
        <w:rPr>
          <w:color w:val="000000" w:themeColor="text1"/>
        </w:rPr>
      </w:pPr>
      <w:r/>
      <w:bookmarkStart w:id="17" w:name="_Toc17"/>
      <w:r>
        <w:rPr>
          <w:rFonts w:ascii="Calibri" w:hAnsi="Calibri" w:eastAsia="Calibri" w:cs="Calibri"/>
          <w:b/>
          <w:bCs/>
          <w:color w:val="000000" w:themeColor="text1"/>
          <w:sz w:val="22"/>
          <w:szCs w:val="22"/>
          <w:lang w:val="es-ES"/>
        </w:rPr>
        <w:t xml:space="preserve">2.3.3 Preocupaciones clave</w:t>
      </w:r>
      <w:r/>
      <w:bookmarkEnd w:id="17"/>
      <w:r/>
      <w:r>
        <w:rPr>
          <w:color w:val="000000" w:themeColor="text1"/>
        </w:rPr>
      </w:r>
    </w:p>
    <w:p>
      <w:pPr>
        <w:pBdr/>
        <w:spacing w:after="140" w:line="276" w:lineRule="auto"/>
        <w:ind/>
        <w:jc w:val="both"/>
        <w:rPr>
          <w:color w:val="000000" w:themeColor="text1"/>
        </w:rPr>
      </w:pPr>
      <w:r>
        <w:rPr>
          <w:rFonts w:ascii="Calibri" w:hAnsi="Calibri" w:eastAsia="Calibri" w:cs="Calibri"/>
          <w:color w:val="000000" w:themeColor="text1"/>
          <w:sz w:val="21"/>
          <w:szCs w:val="21"/>
          <w:lang w:val="es-ES"/>
        </w:rPr>
        <w:t xml:space="preserve">El SWEBOK aporta una taxonomía extensa de preocupaciones arquitectónicas y advierte que no son estáticas: evolucionan con la tecnología y con la sociedad. De esa taxonomía se seleccionaron las ocho que resultan determinantes en este dominio. Las seis primeras corresponden a la plantilla de la asignatura; las dos últimas fueron añadidas por el equipo porque el contexto nicaragüense y la composición del equipo las vuelven decisivas.</w:t>
      </w:r>
      <w:r>
        <w:rPr>
          <w:color w:val="000000" w:themeColor="text1"/>
        </w:rPr>
      </w:r>
    </w:p>
    <w:tbl>
      <w:tblPr>
        <w:tblW w:w="9360" w:type="dxa"/>
        <w:tblBorders>
          <w:top w:val="single" w:color="8ea9db" w:sz="4" w:space="0"/>
          <w:left w:val="single" w:color="8ea9db" w:sz="4" w:space="0"/>
          <w:bottom w:val="single" w:color="8ea9db" w:sz="4" w:space="0"/>
          <w:right w:val="single" w:color="8ea9db" w:sz="4" w:space="0"/>
          <w:insideH w:val="single" w:color="b4c6e7" w:sz="2" w:space="0"/>
          <w:insideV w:val="single" w:color="b4c6e7" w:sz="2" w:space="0"/>
        </w:tblBorders>
        <w:tblLook w:val="04A0" w:firstRow="1" w:lastRow="0" w:firstColumn="1" w:lastColumn="0" w:noHBand="0" w:noVBand="1"/>
      </w:tblPr>
      <w:tblGrid>
        <w:gridCol w:w="655"/>
        <w:gridCol w:w="3744"/>
        <w:gridCol w:w="1404"/>
        <w:gridCol w:w="1404"/>
        <w:gridCol w:w="1123"/>
        <w:gridCol w:w="1030"/>
      </w:tblGrid>
      <w:tr>
        <w:trPr>
          <w:cantSplit w:val="false"/>
          <w:tblHeader/>
        </w:trPr>
        <w:tc>
          <w:tcPr>
            <w:shd w:val="clear" w:color="auto" w:fill="d9e2f3"/>
            <w:tcBorders/>
            <w:tcMar>
              <w:left w:w="90" w:type="dxa"/>
              <w:top w:w="60" w:type="dxa"/>
              <w:right w:w="90" w:type="dxa"/>
              <w:bottom w:w="60" w:type="dxa"/>
            </w:tcMar>
            <w:tcW w:w="655"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w:t>
            </w:r>
            <w:r>
              <w:rPr>
                <w:color w:val="000000" w:themeColor="text1"/>
              </w:rPr>
            </w:r>
          </w:p>
        </w:tc>
        <w:tc>
          <w:tcPr>
            <w:shd w:val="clear" w:color="auto" w:fill="d9e2f3"/>
            <w:tcBorders/>
            <w:tcMar>
              <w:left w:w="90" w:type="dxa"/>
              <w:top w:w="60" w:type="dxa"/>
              <w:right w:w="90" w:type="dxa"/>
              <w:bottom w:w="60" w:type="dxa"/>
            </w:tcMar>
            <w:tcW w:w="3744"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Preocupación</w:t>
            </w:r>
            <w:r>
              <w:rPr>
                <w:color w:val="000000" w:themeColor="text1"/>
              </w:rPr>
            </w:r>
          </w:p>
        </w:tc>
        <w:tc>
          <w:tcPr>
            <w:shd w:val="clear" w:color="auto" w:fill="d9e2f3"/>
            <w:tcBorders/>
            <w:tcMar>
              <w:left w:w="90" w:type="dxa"/>
              <w:top w:w="60" w:type="dxa"/>
              <w:right w:w="90" w:type="dxa"/>
              <w:bottom w:w="60" w:type="dxa"/>
            </w:tcMar>
            <w:tcW w:w="1404"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Interesado afectado</w:t>
            </w:r>
            <w:r>
              <w:rPr>
                <w:color w:val="000000" w:themeColor="text1"/>
              </w:rPr>
            </w:r>
          </w:p>
        </w:tc>
        <w:tc>
          <w:tcPr>
            <w:shd w:val="clear" w:color="auto" w:fill="d9e2f3"/>
            <w:tcBorders/>
            <w:tcMar>
              <w:left w:w="90" w:type="dxa"/>
              <w:top w:w="60" w:type="dxa"/>
              <w:right w:w="90" w:type="dxa"/>
              <w:bottom w:w="60" w:type="dxa"/>
            </w:tcMar>
            <w:tcW w:w="1404"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RNF relacionado</w:t>
            </w:r>
            <w:r>
              <w:rPr>
                <w:color w:val="000000" w:themeColor="text1"/>
              </w:rPr>
            </w:r>
          </w:p>
        </w:tc>
        <w:tc>
          <w:tcPr>
            <w:shd w:val="clear" w:color="auto" w:fill="d9e2f3"/>
            <w:tcBorders/>
            <w:tcMar>
              <w:left w:w="90" w:type="dxa"/>
              <w:top w:w="60" w:type="dxa"/>
              <w:right w:w="90" w:type="dxa"/>
              <w:bottom w:w="60" w:type="dxa"/>
            </w:tcMar>
            <w:tcW w:w="1123"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Importancia</w:t>
            </w:r>
            <w:r>
              <w:rPr>
                <w:color w:val="000000" w:themeColor="text1"/>
              </w:rPr>
            </w:r>
          </w:p>
        </w:tc>
        <w:tc>
          <w:tcPr>
            <w:shd w:val="clear" w:color="auto" w:fill="d9e2f3"/>
            <w:tcBorders/>
            <w:tcMar>
              <w:left w:w="90" w:type="dxa"/>
              <w:top w:w="60" w:type="dxa"/>
              <w:right w:w="90" w:type="dxa"/>
              <w:bottom w:w="60" w:type="dxa"/>
            </w:tcMar>
            <w:tcW w:w="1030"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¿Cubierta?</w:t>
            </w:r>
            <w:r>
              <w:rPr>
                <w:color w:val="000000" w:themeColor="text1"/>
              </w:rPr>
            </w:r>
          </w:p>
        </w:tc>
      </w:tr>
      <w:tr>
        <w:trPr>
          <w:cantSplit w:val="false"/>
        </w:trPr>
        <w:tc>
          <w:tcPr>
            <w:shd w:val="clear" w:color="auto" w:fill="ffffff"/>
            <w:tcBorders/>
            <w:tcMar>
              <w:left w:w="90" w:type="dxa"/>
              <w:top w:w="60" w:type="dxa"/>
              <w:right w:w="90" w:type="dxa"/>
              <w:bottom w:w="60" w:type="dxa"/>
            </w:tcMar>
            <w:tcW w:w="655"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P-01</w:t>
            </w:r>
            <w:r>
              <w:rPr>
                <w:color w:val="000000" w:themeColor="text1"/>
              </w:rPr>
            </w:r>
          </w:p>
        </w:tc>
        <w:tc>
          <w:tcPr>
            <w:shd w:val="clear" w:color="auto" w:fill="ffffff"/>
            <w:tcBorders/>
            <w:tcMar>
              <w:left w:w="90" w:type="dxa"/>
              <w:top w:w="60" w:type="dxa"/>
              <w:right w:w="90" w:type="dxa"/>
              <w:bottom w:w="60" w:type="dxa"/>
            </w:tcMar>
            <w:tcW w:w="3744"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¿El sistema resistirá la carga esperada de 500 usuarios concurrentes y los picos de negociación?</w:t>
            </w:r>
            <w:r>
              <w:rPr>
                <w:color w:val="000000" w:themeColor="text1"/>
              </w:rPr>
            </w:r>
          </w:p>
        </w:tc>
        <w:tc>
          <w:tcPr>
            <w:shd w:val="clear" w:color="auto" w:fill="ffffff"/>
            <w:tcBorders/>
            <w:tcMar>
              <w:left w:w="90" w:type="dxa"/>
              <w:top w:w="60" w:type="dxa"/>
              <w:right w:w="90" w:type="dxa"/>
              <w:bottom w:w="60" w:type="dxa"/>
            </w:tcMar>
            <w:tcW w:w="1404"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I-01, I-02, I-05</w:t>
            </w:r>
            <w:r>
              <w:rPr>
                <w:color w:val="000000" w:themeColor="text1"/>
              </w:rPr>
            </w:r>
          </w:p>
        </w:tc>
        <w:tc>
          <w:tcPr>
            <w:shd w:val="clear" w:color="auto" w:fill="ffffff"/>
            <w:tcBorders/>
            <w:tcMar>
              <w:left w:w="90" w:type="dxa"/>
              <w:top w:w="60" w:type="dxa"/>
              <w:right w:w="90" w:type="dxa"/>
              <w:bottom w:w="60" w:type="dxa"/>
            </w:tcMar>
            <w:tcW w:w="1404"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RNF-01, RNF-05</w:t>
            </w:r>
            <w:r>
              <w:rPr>
                <w:color w:val="000000" w:themeColor="text1"/>
              </w:rPr>
            </w:r>
          </w:p>
        </w:tc>
        <w:tc>
          <w:tcPr>
            <w:shd w:val="clear" w:color="auto" w:fill="ffffff"/>
            <w:tcBorders/>
            <w:tcMar>
              <w:left w:w="90" w:type="dxa"/>
              <w:top w:w="60" w:type="dxa"/>
              <w:right w:w="90" w:type="dxa"/>
              <w:bottom w:w="60" w:type="dxa"/>
            </w:tcMar>
            <w:tcW w:w="1123"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Crítica</w:t>
            </w:r>
            <w:r>
              <w:rPr>
                <w:color w:val="000000" w:themeColor="text1"/>
              </w:rPr>
            </w:r>
          </w:p>
        </w:tc>
        <w:tc>
          <w:tcPr>
            <w:shd w:val="clear" w:color="auto" w:fill="ffffff"/>
            <w:tcBorders/>
            <w:tcMar>
              <w:left w:w="90" w:type="dxa"/>
              <w:top w:w="60" w:type="dxa"/>
              <w:right w:w="90" w:type="dxa"/>
              <w:bottom w:w="60" w:type="dxa"/>
            </w:tcMar>
            <w:tcW w:w="1030"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Sí — V-04</w:t>
            </w:r>
            <w:r>
              <w:rPr>
                <w:color w:val="000000" w:themeColor="text1"/>
              </w:rPr>
            </w:r>
          </w:p>
        </w:tc>
      </w:tr>
      <w:tr>
        <w:trPr>
          <w:cantSplit w:val="false"/>
        </w:trPr>
        <w:tc>
          <w:tcPr>
            <w:shd w:val="clear" w:color="auto" w:fill="f2f5fa"/>
            <w:tcBorders/>
            <w:tcMar>
              <w:left w:w="90" w:type="dxa"/>
              <w:top w:w="60" w:type="dxa"/>
              <w:right w:w="90" w:type="dxa"/>
              <w:bottom w:w="60" w:type="dxa"/>
            </w:tcMar>
            <w:tcW w:w="655"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P-02</w:t>
            </w:r>
            <w:r>
              <w:rPr>
                <w:color w:val="000000" w:themeColor="text1"/>
              </w:rPr>
            </w:r>
          </w:p>
        </w:tc>
        <w:tc>
          <w:tcPr>
            <w:shd w:val="clear" w:color="auto" w:fill="f2f5fa"/>
            <w:tcBorders/>
            <w:tcMar>
              <w:left w:w="90" w:type="dxa"/>
              <w:top w:w="60" w:type="dxa"/>
              <w:right w:w="90" w:type="dxa"/>
              <w:bottom w:w="60" w:type="dxa"/>
            </w:tcMar>
            <w:tcW w:w="3744"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¿Los datos comerciales y personales estarán protegidos y el tratamiento cumplirá la Ley No. 787?</w:t>
            </w:r>
            <w:r>
              <w:rPr>
                <w:color w:val="000000" w:themeColor="text1"/>
              </w:rPr>
            </w:r>
          </w:p>
        </w:tc>
        <w:tc>
          <w:tcPr>
            <w:shd w:val="clear" w:color="auto" w:fill="f2f5fa"/>
            <w:tcBorders/>
            <w:tcMar>
              <w:left w:w="90" w:type="dxa"/>
              <w:top w:w="60" w:type="dxa"/>
              <w:right w:w="90" w:type="dxa"/>
              <w:bottom w:w="60" w:type="dxa"/>
            </w:tcMar>
            <w:tcW w:w="1404"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I-06, I-04, I-01</w:t>
            </w:r>
            <w:r>
              <w:rPr>
                <w:color w:val="000000" w:themeColor="text1"/>
              </w:rPr>
            </w:r>
          </w:p>
        </w:tc>
        <w:tc>
          <w:tcPr>
            <w:shd w:val="clear" w:color="auto" w:fill="f2f5fa"/>
            <w:tcBorders/>
            <w:tcMar>
              <w:left w:w="90" w:type="dxa"/>
              <w:top w:w="60" w:type="dxa"/>
              <w:right w:w="90" w:type="dxa"/>
              <w:bottom w:w="60" w:type="dxa"/>
            </w:tcMar>
            <w:tcW w:w="1404"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RNF-03</w:t>
            </w:r>
            <w:r>
              <w:rPr>
                <w:color w:val="000000" w:themeColor="text1"/>
              </w:rPr>
            </w:r>
          </w:p>
        </w:tc>
        <w:tc>
          <w:tcPr>
            <w:shd w:val="clear" w:color="auto" w:fill="f2f5fa"/>
            <w:tcBorders/>
            <w:tcMar>
              <w:left w:w="90" w:type="dxa"/>
              <w:top w:w="60" w:type="dxa"/>
              <w:right w:w="90" w:type="dxa"/>
              <w:bottom w:w="60" w:type="dxa"/>
            </w:tcMar>
            <w:tcW w:w="1123"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Crítica</w:t>
            </w:r>
            <w:r>
              <w:rPr>
                <w:color w:val="000000" w:themeColor="text1"/>
              </w:rPr>
            </w:r>
          </w:p>
        </w:tc>
        <w:tc>
          <w:tcPr>
            <w:shd w:val="clear" w:color="auto" w:fill="f2f5fa"/>
            <w:tcBorders/>
            <w:tcMar>
              <w:left w:w="90" w:type="dxa"/>
              <w:top w:w="60" w:type="dxa"/>
              <w:right w:w="90" w:type="dxa"/>
              <w:bottom w:w="60" w:type="dxa"/>
            </w:tcMar>
            <w:tcW w:w="1030"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Sí — V-03</w:t>
            </w:r>
            <w:r>
              <w:rPr>
                <w:color w:val="000000" w:themeColor="text1"/>
              </w:rPr>
            </w:r>
          </w:p>
        </w:tc>
      </w:tr>
      <w:tr>
        <w:trPr>
          <w:cantSplit w:val="false"/>
        </w:trPr>
        <w:tc>
          <w:tcPr>
            <w:shd w:val="clear" w:color="auto" w:fill="ffffff"/>
            <w:tcBorders/>
            <w:tcMar>
              <w:left w:w="90" w:type="dxa"/>
              <w:top w:w="60" w:type="dxa"/>
              <w:right w:w="90" w:type="dxa"/>
              <w:bottom w:w="60" w:type="dxa"/>
            </w:tcMar>
            <w:tcW w:w="655"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P-03</w:t>
            </w:r>
            <w:r>
              <w:rPr>
                <w:color w:val="000000" w:themeColor="text1"/>
              </w:rPr>
            </w:r>
          </w:p>
        </w:tc>
        <w:tc>
          <w:tcPr>
            <w:shd w:val="clear" w:color="auto" w:fill="ffffff"/>
            <w:tcBorders/>
            <w:tcMar>
              <w:left w:w="90" w:type="dxa"/>
              <w:top w:w="60" w:type="dxa"/>
              <w:right w:w="90" w:type="dxa"/>
              <w:bottom w:w="60" w:type="dxa"/>
            </w:tcMar>
            <w:tcW w:w="3744"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¿Se podrá incorporar la pasarela de pagos y el seguimiento logístico sin rehacer el sistema?</w:t>
            </w:r>
            <w:r>
              <w:rPr>
                <w:color w:val="000000" w:themeColor="text1"/>
              </w:rPr>
            </w:r>
          </w:p>
        </w:tc>
        <w:tc>
          <w:tcPr>
            <w:shd w:val="clear" w:color="auto" w:fill="ffffff"/>
            <w:tcBorders/>
            <w:tcMar>
              <w:left w:w="90" w:type="dxa"/>
              <w:top w:w="60" w:type="dxa"/>
              <w:right w:w="90" w:type="dxa"/>
              <w:bottom w:w="60" w:type="dxa"/>
            </w:tcMar>
            <w:tcW w:w="1404"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I-05</w:t>
            </w:r>
            <w:r>
              <w:rPr>
                <w:color w:val="000000" w:themeColor="text1"/>
              </w:rPr>
            </w:r>
          </w:p>
        </w:tc>
        <w:tc>
          <w:tcPr>
            <w:shd w:val="clear" w:color="auto" w:fill="ffffff"/>
            <w:tcBorders/>
            <w:tcMar>
              <w:left w:w="90" w:type="dxa"/>
              <w:top w:w="60" w:type="dxa"/>
              <w:right w:w="90" w:type="dxa"/>
              <w:bottom w:w="60" w:type="dxa"/>
            </w:tcMar>
            <w:tcW w:w="1404"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RNF-04</w:t>
            </w:r>
            <w:r>
              <w:rPr>
                <w:color w:val="000000" w:themeColor="text1"/>
              </w:rPr>
            </w:r>
          </w:p>
        </w:tc>
        <w:tc>
          <w:tcPr>
            <w:shd w:val="clear" w:color="auto" w:fill="ffffff"/>
            <w:tcBorders/>
            <w:tcMar>
              <w:left w:w="90" w:type="dxa"/>
              <w:top w:w="60" w:type="dxa"/>
              <w:right w:w="90" w:type="dxa"/>
              <w:bottom w:w="60" w:type="dxa"/>
            </w:tcMar>
            <w:tcW w:w="1123"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Alta</w:t>
            </w:r>
            <w:r>
              <w:rPr>
                <w:color w:val="000000" w:themeColor="text1"/>
              </w:rPr>
            </w:r>
          </w:p>
        </w:tc>
        <w:tc>
          <w:tcPr>
            <w:shd w:val="clear" w:color="auto" w:fill="ffffff"/>
            <w:tcBorders/>
            <w:tcMar>
              <w:left w:w="90" w:type="dxa"/>
              <w:top w:w="60" w:type="dxa"/>
              <w:right w:w="90" w:type="dxa"/>
              <w:bottom w:w="60" w:type="dxa"/>
            </w:tcMar>
            <w:tcW w:w="1030"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Sí — V-01, V-02</w:t>
            </w:r>
            <w:r>
              <w:rPr>
                <w:color w:val="000000" w:themeColor="text1"/>
              </w:rPr>
            </w:r>
          </w:p>
        </w:tc>
      </w:tr>
      <w:tr>
        <w:trPr>
          <w:cantSplit w:val="false"/>
        </w:trPr>
        <w:tc>
          <w:tcPr>
            <w:shd w:val="clear" w:color="auto" w:fill="f2f5fa"/>
            <w:tcBorders/>
            <w:tcMar>
              <w:left w:w="90" w:type="dxa"/>
              <w:top w:w="60" w:type="dxa"/>
              <w:right w:w="90" w:type="dxa"/>
              <w:bottom w:w="60" w:type="dxa"/>
            </w:tcMar>
            <w:tcW w:w="655"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P-04</w:t>
            </w:r>
            <w:r>
              <w:rPr>
                <w:color w:val="000000" w:themeColor="text1"/>
              </w:rPr>
            </w:r>
          </w:p>
        </w:tc>
        <w:tc>
          <w:tcPr>
            <w:shd w:val="clear" w:color="auto" w:fill="f2f5fa"/>
            <w:tcBorders/>
            <w:tcMar>
              <w:left w:w="90" w:type="dxa"/>
              <w:top w:w="60" w:type="dxa"/>
              <w:right w:w="90" w:type="dxa"/>
              <w:bottom w:w="60" w:type="dxa"/>
            </w:tcMar>
            <w:tcW w:w="3744"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¿El costo de operación es soportable y predecible sin presupuesto de licenciamiento?</w:t>
            </w:r>
            <w:r>
              <w:rPr>
                <w:color w:val="000000" w:themeColor="text1"/>
              </w:rPr>
            </w:r>
          </w:p>
        </w:tc>
        <w:tc>
          <w:tcPr>
            <w:shd w:val="clear" w:color="auto" w:fill="f2f5fa"/>
            <w:tcBorders/>
            <w:tcMar>
              <w:left w:w="90" w:type="dxa"/>
              <w:top w:w="60" w:type="dxa"/>
              <w:right w:w="90" w:type="dxa"/>
              <w:bottom w:w="60" w:type="dxa"/>
            </w:tcMar>
            <w:tcW w:w="1404"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S-01, I-05</w:t>
            </w:r>
            <w:r>
              <w:rPr>
                <w:color w:val="000000" w:themeColor="text1"/>
              </w:rPr>
            </w:r>
          </w:p>
        </w:tc>
        <w:tc>
          <w:tcPr>
            <w:shd w:val="clear" w:color="auto" w:fill="f2f5fa"/>
            <w:tcBorders/>
            <w:tcMar>
              <w:left w:w="90" w:type="dxa"/>
              <w:top w:w="60" w:type="dxa"/>
              <w:right w:w="90" w:type="dxa"/>
              <w:bottom w:w="60" w:type="dxa"/>
            </w:tcMar>
            <w:tcW w:w="1404"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RNF-08</w:t>
            </w:r>
            <w:r>
              <w:rPr>
                <w:color w:val="000000" w:themeColor="text1"/>
              </w:rPr>
            </w:r>
          </w:p>
        </w:tc>
        <w:tc>
          <w:tcPr>
            <w:shd w:val="clear" w:color="auto" w:fill="f2f5fa"/>
            <w:tcBorders/>
            <w:tcMar>
              <w:left w:w="90" w:type="dxa"/>
              <w:top w:w="60" w:type="dxa"/>
              <w:right w:w="90" w:type="dxa"/>
              <w:bottom w:w="60" w:type="dxa"/>
            </w:tcMar>
            <w:tcW w:w="1123"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Crítica</w:t>
            </w:r>
            <w:r>
              <w:rPr>
                <w:color w:val="000000" w:themeColor="text1"/>
              </w:rPr>
            </w:r>
          </w:p>
        </w:tc>
        <w:tc>
          <w:tcPr>
            <w:shd w:val="clear" w:color="auto" w:fill="f2f5fa"/>
            <w:tcBorders/>
            <w:tcMar>
              <w:left w:w="90" w:type="dxa"/>
              <w:top w:w="60" w:type="dxa"/>
              <w:right w:w="90" w:type="dxa"/>
              <w:bottom w:w="60" w:type="dxa"/>
            </w:tcMar>
            <w:tcW w:w="1030"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Sí — V-04</w:t>
            </w:r>
            <w:r>
              <w:rPr>
                <w:color w:val="000000" w:themeColor="text1"/>
              </w:rPr>
            </w:r>
          </w:p>
        </w:tc>
      </w:tr>
      <w:tr>
        <w:trPr>
          <w:cantSplit w:val="false"/>
        </w:trPr>
        <w:tc>
          <w:tcPr>
            <w:shd w:val="clear" w:color="auto" w:fill="ffffff"/>
            <w:tcBorders/>
            <w:tcMar>
              <w:left w:w="90" w:type="dxa"/>
              <w:top w:w="60" w:type="dxa"/>
              <w:right w:w="90" w:type="dxa"/>
              <w:bottom w:w="60" w:type="dxa"/>
            </w:tcMar>
            <w:tcW w:w="655"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P-05</w:t>
            </w:r>
            <w:r>
              <w:rPr>
                <w:color w:val="000000" w:themeColor="text1"/>
              </w:rPr>
            </w:r>
          </w:p>
        </w:tc>
        <w:tc>
          <w:tcPr>
            <w:shd w:val="clear" w:color="auto" w:fill="ffffff"/>
            <w:tcBorders/>
            <w:tcMar>
              <w:left w:w="90" w:type="dxa"/>
              <w:top w:w="60" w:type="dxa"/>
              <w:right w:w="90" w:type="dxa"/>
              <w:bottom w:w="60" w:type="dxa"/>
            </w:tcMar>
            <w:tcW w:w="3744"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¿Se integra de forma confiable con WhatsApp Business API sin quedar a merced de sus fallos?</w:t>
            </w:r>
            <w:r>
              <w:rPr>
                <w:color w:val="000000" w:themeColor="text1"/>
              </w:rPr>
            </w:r>
          </w:p>
        </w:tc>
        <w:tc>
          <w:tcPr>
            <w:shd w:val="clear" w:color="auto" w:fill="ffffff"/>
            <w:tcBorders/>
            <w:tcMar>
              <w:left w:w="90" w:type="dxa"/>
              <w:top w:w="60" w:type="dxa"/>
              <w:right w:w="90" w:type="dxa"/>
              <w:bottom w:w="60" w:type="dxa"/>
            </w:tcMar>
            <w:tcW w:w="1404"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I-05, I-01</w:t>
            </w:r>
            <w:r>
              <w:rPr>
                <w:color w:val="000000" w:themeColor="text1"/>
              </w:rPr>
            </w:r>
          </w:p>
        </w:tc>
        <w:tc>
          <w:tcPr>
            <w:shd w:val="clear" w:color="auto" w:fill="ffffff"/>
            <w:tcBorders/>
            <w:tcMar>
              <w:left w:w="90" w:type="dxa"/>
              <w:top w:w="60" w:type="dxa"/>
              <w:right w:w="90" w:type="dxa"/>
              <w:bottom w:w="60" w:type="dxa"/>
            </w:tcMar>
            <w:tcW w:w="1404"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RNF-06</w:t>
            </w:r>
            <w:r>
              <w:rPr>
                <w:color w:val="000000" w:themeColor="text1"/>
              </w:rPr>
            </w:r>
          </w:p>
        </w:tc>
        <w:tc>
          <w:tcPr>
            <w:shd w:val="clear" w:color="auto" w:fill="ffffff"/>
            <w:tcBorders/>
            <w:tcMar>
              <w:left w:w="90" w:type="dxa"/>
              <w:top w:w="60" w:type="dxa"/>
              <w:right w:w="90" w:type="dxa"/>
              <w:bottom w:w="60" w:type="dxa"/>
            </w:tcMar>
            <w:tcW w:w="1123"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Alta</w:t>
            </w:r>
            <w:r>
              <w:rPr>
                <w:color w:val="000000" w:themeColor="text1"/>
              </w:rPr>
            </w:r>
          </w:p>
        </w:tc>
        <w:tc>
          <w:tcPr>
            <w:shd w:val="clear" w:color="auto" w:fill="ffffff"/>
            <w:tcBorders/>
            <w:tcMar>
              <w:left w:w="90" w:type="dxa"/>
              <w:top w:w="60" w:type="dxa"/>
              <w:right w:w="90" w:type="dxa"/>
              <w:bottom w:w="60" w:type="dxa"/>
            </w:tcMar>
            <w:tcW w:w="1030"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Sí — V-02, V-05</w:t>
            </w:r>
            <w:r>
              <w:rPr>
                <w:color w:val="000000" w:themeColor="text1"/>
              </w:rPr>
            </w:r>
          </w:p>
        </w:tc>
      </w:tr>
      <w:tr>
        <w:trPr>
          <w:cantSplit w:val="false"/>
        </w:trPr>
        <w:tc>
          <w:tcPr>
            <w:shd w:val="clear" w:color="auto" w:fill="f2f5fa"/>
            <w:tcBorders/>
            <w:tcMar>
              <w:left w:w="90" w:type="dxa"/>
              <w:top w:w="60" w:type="dxa"/>
              <w:right w:w="90" w:type="dxa"/>
              <w:bottom w:w="60" w:type="dxa"/>
            </w:tcMar>
            <w:tcW w:w="655"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P-06</w:t>
            </w:r>
            <w:r>
              <w:rPr>
                <w:color w:val="000000" w:themeColor="text1"/>
              </w:rPr>
            </w:r>
          </w:p>
        </w:tc>
        <w:tc>
          <w:tcPr>
            <w:shd w:val="clear" w:color="auto" w:fill="f2f5fa"/>
            <w:tcBorders/>
            <w:tcMar>
              <w:left w:w="90" w:type="dxa"/>
              <w:top w:w="60" w:type="dxa"/>
              <w:right w:w="90" w:type="dxa"/>
              <w:bottom w:w="60" w:type="dxa"/>
            </w:tcMar>
            <w:tcW w:w="3744"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¿El sistema estará disponible cuando el comerciante lo necesite y se recuperará ante un fallo?</w:t>
            </w:r>
            <w:r>
              <w:rPr>
                <w:color w:val="000000" w:themeColor="text1"/>
              </w:rPr>
            </w:r>
          </w:p>
        </w:tc>
        <w:tc>
          <w:tcPr>
            <w:shd w:val="clear" w:color="auto" w:fill="f2f5fa"/>
            <w:tcBorders/>
            <w:tcMar>
              <w:left w:w="90" w:type="dxa"/>
              <w:top w:w="60" w:type="dxa"/>
              <w:right w:w="90" w:type="dxa"/>
              <w:bottom w:w="60" w:type="dxa"/>
            </w:tcMar>
            <w:tcW w:w="1404"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I-01 a I-04</w:t>
            </w:r>
            <w:r>
              <w:rPr>
                <w:color w:val="000000" w:themeColor="text1"/>
              </w:rPr>
            </w:r>
          </w:p>
        </w:tc>
        <w:tc>
          <w:tcPr>
            <w:shd w:val="clear" w:color="auto" w:fill="f2f5fa"/>
            <w:tcBorders/>
            <w:tcMar>
              <w:left w:w="90" w:type="dxa"/>
              <w:top w:w="60" w:type="dxa"/>
              <w:right w:w="90" w:type="dxa"/>
              <w:bottom w:w="60" w:type="dxa"/>
            </w:tcMar>
            <w:tcW w:w="1404"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RNF-02, RNF-07</w:t>
            </w:r>
            <w:r>
              <w:rPr>
                <w:color w:val="000000" w:themeColor="text1"/>
              </w:rPr>
            </w:r>
          </w:p>
        </w:tc>
        <w:tc>
          <w:tcPr>
            <w:shd w:val="clear" w:color="auto" w:fill="f2f5fa"/>
            <w:tcBorders/>
            <w:tcMar>
              <w:left w:w="90" w:type="dxa"/>
              <w:top w:w="60" w:type="dxa"/>
              <w:right w:w="90" w:type="dxa"/>
              <w:bottom w:w="60" w:type="dxa"/>
            </w:tcMar>
            <w:tcW w:w="1123"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Alta</w:t>
            </w:r>
            <w:r>
              <w:rPr>
                <w:color w:val="000000" w:themeColor="text1"/>
              </w:rPr>
            </w:r>
          </w:p>
        </w:tc>
        <w:tc>
          <w:tcPr>
            <w:shd w:val="clear" w:color="auto" w:fill="f2f5fa"/>
            <w:tcBorders/>
            <w:tcMar>
              <w:left w:w="90" w:type="dxa"/>
              <w:top w:w="60" w:type="dxa"/>
              <w:right w:w="90" w:type="dxa"/>
              <w:bottom w:w="60" w:type="dxa"/>
            </w:tcMar>
            <w:tcW w:w="1030"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Sí — V-04</w:t>
            </w:r>
            <w:r>
              <w:rPr>
                <w:color w:val="000000" w:themeColor="text1"/>
              </w:rPr>
            </w:r>
          </w:p>
        </w:tc>
      </w:tr>
      <w:tr>
        <w:trPr>
          <w:cantSplit w:val="false"/>
        </w:trPr>
        <w:tc>
          <w:tcPr>
            <w:shd w:val="clear" w:color="auto" w:fill="ffffff"/>
            <w:tcBorders/>
            <w:tcMar>
              <w:left w:w="90" w:type="dxa"/>
              <w:top w:w="60" w:type="dxa"/>
              <w:right w:w="90" w:type="dxa"/>
              <w:bottom w:w="60" w:type="dxa"/>
            </w:tcMar>
            <w:tcW w:w="655"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P-07</w:t>
            </w:r>
            <w:r>
              <w:rPr>
                <w:color w:val="000000" w:themeColor="text1"/>
              </w:rPr>
            </w:r>
          </w:p>
        </w:tc>
        <w:tc>
          <w:tcPr>
            <w:shd w:val="clear" w:color="auto" w:fill="ffffff"/>
            <w:tcBorders/>
            <w:tcMar>
              <w:left w:w="90" w:type="dxa"/>
              <w:top w:w="60" w:type="dxa"/>
              <w:right w:w="90" w:type="dxa"/>
              <w:bottom w:w="60" w:type="dxa"/>
            </w:tcMar>
            <w:tcW w:w="3744"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¿Pueden dos estudiantes construir, probar y desplegar esto dentro del calendario del curso?</w:t>
            </w:r>
            <w:r>
              <w:rPr>
                <w:color w:val="000000" w:themeColor="text1"/>
              </w:rPr>
            </w:r>
          </w:p>
        </w:tc>
        <w:tc>
          <w:tcPr>
            <w:shd w:val="clear" w:color="auto" w:fill="ffffff"/>
            <w:tcBorders/>
            <w:tcMar>
              <w:left w:w="90" w:type="dxa"/>
              <w:top w:w="60" w:type="dxa"/>
              <w:right w:w="90" w:type="dxa"/>
              <w:bottom w:w="60" w:type="dxa"/>
            </w:tcMar>
            <w:tcW w:w="1404"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I-05, S-01</w:t>
            </w:r>
            <w:r>
              <w:rPr>
                <w:color w:val="000000" w:themeColor="text1"/>
              </w:rPr>
            </w:r>
          </w:p>
        </w:tc>
        <w:tc>
          <w:tcPr>
            <w:shd w:val="clear" w:color="auto" w:fill="ffffff"/>
            <w:tcBorders/>
            <w:tcMar>
              <w:left w:w="90" w:type="dxa"/>
              <w:top w:w="60" w:type="dxa"/>
              <w:right w:w="90" w:type="dxa"/>
              <w:bottom w:w="60" w:type="dxa"/>
            </w:tcMar>
            <w:tcW w:w="1404"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RNF-04, RNF-08</w:t>
            </w:r>
            <w:r>
              <w:rPr>
                <w:color w:val="000000" w:themeColor="text1"/>
              </w:rPr>
            </w:r>
          </w:p>
        </w:tc>
        <w:tc>
          <w:tcPr>
            <w:shd w:val="clear" w:color="auto" w:fill="ffffff"/>
            <w:tcBorders/>
            <w:tcMar>
              <w:left w:w="90" w:type="dxa"/>
              <w:top w:w="60" w:type="dxa"/>
              <w:right w:w="90" w:type="dxa"/>
              <w:bottom w:w="60" w:type="dxa"/>
            </w:tcMar>
            <w:tcW w:w="1123"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Crítica</w:t>
            </w:r>
            <w:r>
              <w:rPr>
                <w:color w:val="000000" w:themeColor="text1"/>
              </w:rPr>
            </w:r>
          </w:p>
        </w:tc>
        <w:tc>
          <w:tcPr>
            <w:shd w:val="clear" w:color="auto" w:fill="ffffff"/>
            <w:tcBorders/>
            <w:tcMar>
              <w:left w:w="90" w:type="dxa"/>
              <w:top w:w="60" w:type="dxa"/>
              <w:right w:w="90" w:type="dxa"/>
              <w:bottom w:w="60" w:type="dxa"/>
            </w:tcMar>
            <w:tcW w:w="1030"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Sí — V-01</w:t>
            </w:r>
            <w:r>
              <w:rPr>
                <w:color w:val="000000" w:themeColor="text1"/>
              </w:rPr>
            </w:r>
          </w:p>
        </w:tc>
      </w:tr>
      <w:tr>
        <w:trPr>
          <w:cantSplit w:val="false"/>
        </w:trPr>
        <w:tc>
          <w:tcPr>
            <w:shd w:val="clear" w:color="auto" w:fill="f2f5fa"/>
            <w:tcBorders/>
            <w:tcMar>
              <w:left w:w="90" w:type="dxa"/>
              <w:top w:w="60" w:type="dxa"/>
              <w:right w:w="90" w:type="dxa"/>
              <w:bottom w:w="60" w:type="dxa"/>
            </w:tcMar>
            <w:tcW w:w="655"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P-08</w:t>
            </w:r>
            <w:r>
              <w:rPr>
                <w:color w:val="000000" w:themeColor="text1"/>
              </w:rPr>
            </w:r>
          </w:p>
        </w:tc>
        <w:tc>
          <w:tcPr>
            <w:shd w:val="clear" w:color="auto" w:fill="f2f5fa"/>
            <w:tcBorders/>
            <w:tcMar>
              <w:left w:w="90" w:type="dxa"/>
              <w:top w:w="60" w:type="dxa"/>
              <w:right w:w="90" w:type="dxa"/>
              <w:bottom w:w="60" w:type="dxa"/>
            </w:tcMar>
            <w:tcW w:w="3744"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¿Funcionará de manera aceptable sobre redes 3G y teléfonos de gama media en los departamentos?</w:t>
            </w:r>
            <w:r>
              <w:rPr>
                <w:color w:val="000000" w:themeColor="text1"/>
              </w:rPr>
            </w:r>
          </w:p>
        </w:tc>
        <w:tc>
          <w:tcPr>
            <w:shd w:val="clear" w:color="auto" w:fill="f2f5fa"/>
            <w:tcBorders/>
            <w:tcMar>
              <w:left w:w="90" w:type="dxa"/>
              <w:top w:w="60" w:type="dxa"/>
              <w:right w:w="90" w:type="dxa"/>
              <w:bottom w:w="60" w:type="dxa"/>
            </w:tcMar>
            <w:tcW w:w="1404"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I-01, I-03</w:t>
            </w:r>
            <w:r>
              <w:rPr>
                <w:color w:val="000000" w:themeColor="text1"/>
              </w:rPr>
            </w:r>
          </w:p>
        </w:tc>
        <w:tc>
          <w:tcPr>
            <w:shd w:val="clear" w:color="auto" w:fill="f2f5fa"/>
            <w:tcBorders/>
            <w:tcMar>
              <w:left w:w="90" w:type="dxa"/>
              <w:top w:w="60" w:type="dxa"/>
              <w:right w:w="90" w:type="dxa"/>
              <w:bottom w:w="60" w:type="dxa"/>
            </w:tcMar>
            <w:tcW w:w="1404"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RNF-01, RNF-09</w:t>
            </w:r>
            <w:r>
              <w:rPr>
                <w:color w:val="000000" w:themeColor="text1"/>
              </w:rPr>
            </w:r>
          </w:p>
        </w:tc>
        <w:tc>
          <w:tcPr>
            <w:shd w:val="clear" w:color="auto" w:fill="f2f5fa"/>
            <w:tcBorders/>
            <w:tcMar>
              <w:left w:w="90" w:type="dxa"/>
              <w:top w:w="60" w:type="dxa"/>
              <w:right w:w="90" w:type="dxa"/>
              <w:bottom w:w="60" w:type="dxa"/>
            </w:tcMar>
            <w:tcW w:w="1123"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Alta</w:t>
            </w:r>
            <w:r>
              <w:rPr>
                <w:color w:val="000000" w:themeColor="text1"/>
              </w:rPr>
            </w:r>
          </w:p>
        </w:tc>
        <w:tc>
          <w:tcPr>
            <w:shd w:val="clear" w:color="auto" w:fill="f2f5fa"/>
            <w:tcBorders/>
            <w:tcMar>
              <w:left w:w="90" w:type="dxa"/>
              <w:top w:w="60" w:type="dxa"/>
              <w:right w:w="90" w:type="dxa"/>
              <w:bottom w:w="60" w:type="dxa"/>
            </w:tcMar>
            <w:tcW w:w="1030"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Sí — V-04</w:t>
            </w:r>
            <w:r>
              <w:rPr>
                <w:color w:val="000000" w:themeColor="text1"/>
              </w:rPr>
            </w:r>
          </w:p>
        </w:tc>
      </w:tr>
    </w:tbl>
    <w:p>
      <w:pPr>
        <w:pBdr/>
        <w:spacing w:after="160"/>
        <w:ind/>
        <w:rPr>
          <w:color w:val="000000" w:themeColor="text1"/>
        </w:rPr>
      </w:pPr>
      <w:r>
        <w:rPr>
          <w:color w:val="000000" w:themeColor="text1"/>
          <w:lang w:val="es-ES" w:bidi="es-ES"/>
        </w:rPr>
      </w:r>
      <w:r>
        <w:rPr>
          <w:color w:val="000000" w:themeColor="text1"/>
        </w:rPr>
      </w:r>
    </w:p>
    <w:p w14:paraId="1D9AB0D4">
      <w:pPr>
        <w:pBdr/>
        <w:spacing w:after="140" w:line="276" w:lineRule="auto"/>
        <w:ind/>
        <w:jc w:val="both"/>
        <w:rPr>
          <w:color w:val="000000" w:themeColor="text1"/>
        </w:rPr>
      </w:pPr>
      <w:r>
        <w:rPr>
          <w:rFonts w:ascii="Calibri" w:hAnsi="Calibri" w:eastAsia="Calibri" w:cs="Calibri"/>
          <w:color w:val="000000" w:themeColor="text1"/>
          <w:sz w:val="21"/>
          <w:szCs w:val="21"/>
          <w:lang w:val="es-ES"/>
        </w:rPr>
        <w:t xml:space="preserve">P-07 merece una justificación explícita porque no aparece en la plantilla. El SWEBOK incluye la factibilidad y el cronograma entre las preocupaciones arquitectónicas legítimas, y Fairbanks formula el principio de la arquitectura justa y suficiente: hacer solamente la arquitectura necesaria para mitigar los riesgos reales del proyecto. En un proyecto donde el mayor riesgo de fracaso no es técnico sino de capacidad de entrega, ignorar esta preocupación equivaldría a evaluar la arquitectura contra un proyecto imaginario.</w:t>
      </w:r>
      <w:r>
        <w:rPr>
          <w:color w:val="000000" w:themeColor="text1"/>
        </w:rPr>
      </w:r>
    </w:p>
    <w:p w14:paraId="09727FC7">
      <w:pPr>
        <w:pBdr/>
        <w:spacing w:after="140" w:line="276" w:lineRule="auto"/>
        <w:ind/>
        <w:jc w:val="both"/>
        <w:rPr>
          <w:color w:val="000000" w:themeColor="text1"/>
        </w:rPr>
      </w:pPr>
      <w:r>
        <w:rPr>
          <w:rFonts w:ascii="Calibri" w:hAnsi="Calibri" w:eastAsia="Calibri" w:cs="Calibri"/>
          <w:color w:val="000000" w:themeColor="text1"/>
          <w:sz w:val="21"/>
          <w:szCs w:val="21"/>
          <w:lang w:val="es-ES"/>
        </w:rPr>
      </w:r>
      <w:r>
        <w:rPr>
          <w:color w:val="000000" w:themeColor="text1"/>
        </w:rPr>
      </w:r>
    </w:p>
    <w:p w14:paraId="19B99B70">
      <w:pPr>
        <w:pBdr/>
        <w:spacing w:after="140" w:line="276" w:lineRule="auto"/>
        <w:ind/>
        <w:jc w:val="both"/>
        <w:rPr>
          <w:color w:val="000000" w:themeColor="text1"/>
        </w:rPr>
      </w:pPr>
      <w:r>
        <w:rPr>
          <w:rFonts w:ascii="Calibri" w:hAnsi="Calibri" w:eastAsia="Calibri" w:cs="Calibri"/>
          <w:color w:val="000000" w:themeColor="text1"/>
          <w:sz w:val="21"/>
          <w:szCs w:val="21"/>
          <w:lang w:val="es-ES"/>
        </w:rPr>
        <w:t xml:space="preserve">P-08 se añade por una razón análoga y de naturaleza contextual. El SWEBOK insiste en que la arquitectura mira hacia afuera y debe considerar el entorno real de operación del sistema. Ese entorno, documentado en el Objeto de Estudio y confirmado por la observación de campo del segundo entregable, es el de teléfonos de gama media sobre redes 3G y 4G/LTE en departamentos alejados de Managua. Una arquitectura evaluada bajo el supuesto implícito de conectividad de banda ancha habría descartado sin examen la decisión ADR-06, que es precisamente la que permite cumplir los umbrales de SYS-NFN-08. Elevar esta condición a preocupación de primer orden evita que una restricción del entorno se trate como un detalle de implementación.</w:t>
      </w:r>
      <w:r>
        <w:rPr>
          <w:color w:val="000000" w:themeColor="text1"/>
        </w:rPr>
      </w:r>
    </w:p>
    <w:p>
      <w:pPr>
        <w:pStyle w:val="904"/>
        <w:keepNext w:val="true"/>
        <w:pBdr/>
        <w:spacing w:after="140" w:before="280"/>
        <w:ind/>
        <w:rPr>
          <w:color w:val="000000" w:themeColor="text1"/>
        </w:rPr>
      </w:pPr>
      <w:r/>
      <w:bookmarkStart w:id="18" w:name="_Toc18"/>
      <w:r>
        <w:rPr>
          <w:rFonts w:ascii="Calibri" w:hAnsi="Calibri" w:eastAsia="Calibri" w:cs="Calibri"/>
          <w:b/>
          <w:bCs/>
          <w:color w:val="000000" w:themeColor="text1"/>
          <w:sz w:val="25"/>
          <w:szCs w:val="25"/>
          <w:lang w:val="es-ES"/>
        </w:rPr>
        <w:t xml:space="preserve">2.4 Aspectos de la Entidad de Interés</w:t>
      </w:r>
      <w:r/>
      <w:bookmarkEnd w:id="18"/>
      <w:r/>
      <w:r>
        <w:rPr>
          <w:color w:val="000000" w:themeColor="text1"/>
        </w:rPr>
      </w:r>
    </w:p>
    <w:p>
      <w:pPr>
        <w:pBdr/>
        <w:spacing w:after="140" w:line="276" w:lineRule="auto"/>
        <w:ind/>
        <w:jc w:val="both"/>
        <w:rPr>
          <w:color w:val="000000" w:themeColor="text1"/>
        </w:rPr>
      </w:pPr>
      <w:r>
        <w:rPr>
          <w:rFonts w:ascii="Calibri" w:hAnsi="Calibri" w:eastAsia="Calibri" w:cs="Calibri"/>
          <w:color w:val="000000" w:themeColor="text1"/>
          <w:sz w:val="21"/>
          <w:szCs w:val="21"/>
          <w:lang w:val="es-ES"/>
        </w:rPr>
        <w:t xml:space="preserve">La Cláusula 6.5 exige identificar los aspectos —las facetas o dimensiones de análisis— relevantes de la EdI. Su función es garantizar que las preocupaciones se examinen desde ángulos complementarios y no queden todas absorbidas por la dimensión estructural, que es la que se aborda con mayor naturalidad.</w:t>
      </w:r>
      <w:r>
        <w:rPr>
          <w:color w:val="000000" w:themeColor="text1"/>
        </w:rPr>
      </w:r>
    </w:p>
    <w:tbl>
      <w:tblPr>
        <w:tblW w:w="9360" w:type="dxa"/>
        <w:tblBorders>
          <w:top w:val="single" w:color="8ea9db" w:sz="4" w:space="0"/>
          <w:left w:val="single" w:color="8ea9db" w:sz="4" w:space="0"/>
          <w:bottom w:val="single" w:color="8ea9db" w:sz="4" w:space="0"/>
          <w:right w:val="single" w:color="8ea9db" w:sz="4" w:space="0"/>
          <w:insideH w:val="single" w:color="b4c6e7" w:sz="2" w:space="0"/>
          <w:insideV w:val="single" w:color="b4c6e7" w:sz="2" w:space="0"/>
        </w:tblBorders>
        <w:tblLook w:val="04A0" w:firstRow="1" w:lastRow="0" w:firstColumn="1" w:lastColumn="0" w:noHBand="0" w:noVBand="1"/>
      </w:tblPr>
      <w:tblGrid>
        <w:gridCol w:w="655"/>
        <w:gridCol w:w="1872"/>
        <w:gridCol w:w="4493"/>
        <w:gridCol w:w="2340"/>
      </w:tblGrid>
      <w:tr>
        <w:trPr>
          <w:cantSplit w:val="false"/>
          <w:tblHeader/>
        </w:trPr>
        <w:tc>
          <w:tcPr>
            <w:shd w:val="clear" w:color="auto" w:fill="d9e2f3"/>
            <w:tcBorders/>
            <w:tcMar>
              <w:left w:w="90" w:type="dxa"/>
              <w:top w:w="60" w:type="dxa"/>
              <w:right w:w="90" w:type="dxa"/>
              <w:bottom w:w="60" w:type="dxa"/>
            </w:tcMar>
            <w:tcW w:w="655"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7"/>
                <w:szCs w:val="17"/>
                <w:lang w:val="es-ES"/>
              </w:rPr>
              <w:t xml:space="preserve">#</w:t>
            </w:r>
            <w:r>
              <w:rPr>
                <w:color w:val="000000" w:themeColor="text1"/>
              </w:rPr>
            </w:r>
          </w:p>
        </w:tc>
        <w:tc>
          <w:tcPr>
            <w:shd w:val="clear" w:color="auto" w:fill="d9e2f3"/>
            <w:tcBorders/>
            <w:tcMar>
              <w:left w:w="90" w:type="dxa"/>
              <w:top w:w="60" w:type="dxa"/>
              <w:right w:w="90" w:type="dxa"/>
              <w:bottom w:w="60" w:type="dxa"/>
            </w:tcMar>
            <w:tcW w:w="1872"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7"/>
                <w:szCs w:val="17"/>
                <w:lang w:val="es-ES"/>
              </w:rPr>
              <w:t xml:space="preserve">Aspecto</w:t>
            </w:r>
            <w:r>
              <w:rPr>
                <w:color w:val="000000" w:themeColor="text1"/>
              </w:rPr>
            </w:r>
          </w:p>
        </w:tc>
        <w:tc>
          <w:tcPr>
            <w:shd w:val="clear" w:color="auto" w:fill="d9e2f3"/>
            <w:tcBorders/>
            <w:tcMar>
              <w:left w:w="90" w:type="dxa"/>
              <w:top w:w="60" w:type="dxa"/>
              <w:right w:w="90" w:type="dxa"/>
              <w:bottom w:w="60" w:type="dxa"/>
            </w:tcMar>
            <w:tcW w:w="4493"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7"/>
                <w:szCs w:val="17"/>
                <w:lang w:val="es-ES"/>
              </w:rPr>
              <w:t xml:space="preserve">Descripción en el contexto de AbasteceNi</w:t>
            </w:r>
            <w:r>
              <w:rPr>
                <w:color w:val="000000" w:themeColor="text1"/>
              </w:rPr>
            </w:r>
          </w:p>
        </w:tc>
        <w:tc>
          <w:tcPr>
            <w:shd w:val="clear" w:color="auto" w:fill="d9e2f3"/>
            <w:tcBorders/>
            <w:tcMar>
              <w:left w:w="90" w:type="dxa"/>
              <w:top w:w="60" w:type="dxa"/>
              <w:right w:w="90" w:type="dxa"/>
              <w:bottom w:w="60" w:type="dxa"/>
            </w:tcMar>
            <w:tcW w:w="2340"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7"/>
                <w:szCs w:val="17"/>
                <w:lang w:val="es-ES"/>
              </w:rPr>
              <w:t xml:space="preserve">Preocupaciones que ayuda a abordar</w:t>
            </w:r>
            <w:r>
              <w:rPr>
                <w:color w:val="000000" w:themeColor="text1"/>
              </w:rPr>
            </w:r>
          </w:p>
        </w:tc>
      </w:tr>
      <w:tr>
        <w:trPr>
          <w:cantSplit w:val="false"/>
        </w:trPr>
        <w:tc>
          <w:tcPr>
            <w:shd w:val="clear" w:color="auto" w:fill="ffffff"/>
            <w:tcBorders/>
            <w:tcMar>
              <w:left w:w="90" w:type="dxa"/>
              <w:top w:w="60" w:type="dxa"/>
              <w:right w:w="90" w:type="dxa"/>
              <w:bottom w:w="60" w:type="dxa"/>
            </w:tcMar>
            <w:tcW w:w="655"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7"/>
                <w:szCs w:val="17"/>
                <w:lang w:val="es-ES"/>
              </w:rPr>
              <w:t xml:space="preserve">A-01</w:t>
            </w:r>
            <w:r>
              <w:rPr>
                <w:color w:val="000000" w:themeColor="text1"/>
              </w:rPr>
            </w:r>
          </w:p>
        </w:tc>
        <w:tc>
          <w:tcPr>
            <w:shd w:val="clear" w:color="auto" w:fill="ffffff"/>
            <w:tcBorders/>
            <w:tcMar>
              <w:left w:w="90" w:type="dxa"/>
              <w:top w:w="60" w:type="dxa"/>
              <w:right w:w="90" w:type="dxa"/>
              <w:bottom w:w="60" w:type="dxa"/>
            </w:tcMar>
            <w:tcW w:w="1872"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7"/>
                <w:szCs w:val="17"/>
                <w:lang w:val="es-ES"/>
              </w:rPr>
              <w:t xml:space="preserve">Estructural</w:t>
            </w:r>
            <w:r>
              <w:rPr>
                <w:color w:val="000000" w:themeColor="text1"/>
              </w:rPr>
            </w:r>
          </w:p>
        </w:tc>
        <w:tc>
          <w:tcPr>
            <w:shd w:val="clear" w:color="auto" w:fill="ffffff"/>
            <w:tcBorders/>
            <w:tcMar>
              <w:left w:w="90" w:type="dxa"/>
              <w:top w:w="60" w:type="dxa"/>
              <w:right w:w="90" w:type="dxa"/>
              <w:bottom w:w="60" w:type="dxa"/>
            </w:tcMar>
            <w:tcW w:w="4493"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7"/>
                <w:szCs w:val="17"/>
                <w:lang w:val="es-ES"/>
              </w:rPr>
              <w:t xml:space="preserve">Componentes, capas, módulos de dominio, relaciones y dirección de las dependencias internas. Responde a la pregunta de cómo está organizado el sistema por dentro.</w:t>
            </w:r>
            <w:r>
              <w:rPr>
                <w:color w:val="000000" w:themeColor="text1"/>
              </w:rPr>
            </w:r>
          </w:p>
        </w:tc>
        <w:tc>
          <w:tcPr>
            <w:shd w:val="clear" w:color="auto" w:fill="ffffff"/>
            <w:tcBorders/>
            <w:tcMar>
              <w:left w:w="90" w:type="dxa"/>
              <w:top w:w="60" w:type="dxa"/>
              <w:right w:w="90" w:type="dxa"/>
              <w:bottom w:w="60" w:type="dxa"/>
            </w:tcMar>
            <w:tcW w:w="2340"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7"/>
                <w:szCs w:val="17"/>
                <w:lang w:val="es-ES"/>
              </w:rPr>
              <w:t xml:space="preserve">P-03, P-04, P-07</w:t>
            </w:r>
            <w:r>
              <w:rPr>
                <w:color w:val="000000" w:themeColor="text1"/>
              </w:rPr>
            </w:r>
          </w:p>
        </w:tc>
      </w:tr>
      <w:tr>
        <w:trPr>
          <w:cantSplit w:val="false"/>
        </w:trPr>
        <w:tc>
          <w:tcPr>
            <w:shd w:val="clear" w:color="auto" w:fill="f2f5fa"/>
            <w:tcBorders/>
            <w:tcMar>
              <w:left w:w="90" w:type="dxa"/>
              <w:top w:w="60" w:type="dxa"/>
              <w:right w:w="90" w:type="dxa"/>
              <w:bottom w:w="60" w:type="dxa"/>
            </w:tcMar>
            <w:tcW w:w="655"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7"/>
                <w:szCs w:val="17"/>
                <w:lang w:val="es-ES"/>
              </w:rPr>
              <w:t xml:space="preserve">A-02</w:t>
            </w:r>
            <w:r>
              <w:rPr>
                <w:color w:val="000000" w:themeColor="text1"/>
              </w:rPr>
            </w:r>
          </w:p>
        </w:tc>
        <w:tc>
          <w:tcPr>
            <w:shd w:val="clear" w:color="auto" w:fill="f2f5fa"/>
            <w:tcBorders/>
            <w:tcMar>
              <w:left w:w="90" w:type="dxa"/>
              <w:top w:w="60" w:type="dxa"/>
              <w:right w:w="90" w:type="dxa"/>
              <w:bottom w:w="60" w:type="dxa"/>
            </w:tcMar>
            <w:tcW w:w="1872"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7"/>
                <w:szCs w:val="17"/>
                <w:lang w:val="es-ES"/>
              </w:rPr>
              <w:t xml:space="preserve">Funcional</w:t>
            </w:r>
            <w:r>
              <w:rPr>
                <w:color w:val="000000" w:themeColor="text1"/>
              </w:rPr>
            </w:r>
          </w:p>
        </w:tc>
        <w:tc>
          <w:tcPr>
            <w:shd w:val="clear" w:color="auto" w:fill="f2f5fa"/>
            <w:tcBorders/>
            <w:tcMar>
              <w:left w:w="90" w:type="dxa"/>
              <w:top w:w="60" w:type="dxa"/>
              <w:right w:w="90" w:type="dxa"/>
              <w:bottom w:w="60" w:type="dxa"/>
            </w:tcMar>
            <w:tcW w:w="4493"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7"/>
                <w:szCs w:val="17"/>
                <w:lang w:val="es-ES"/>
              </w:rPr>
              <w:t xml:space="preserve">Capacidades ofrecidas, servicios expuestos por la API, flujos de negociación y comportamiento observable del sistema frente a sus usuarios.</w:t>
            </w:r>
            <w:r>
              <w:rPr>
                <w:color w:val="000000" w:themeColor="text1"/>
              </w:rPr>
            </w:r>
          </w:p>
        </w:tc>
        <w:tc>
          <w:tcPr>
            <w:shd w:val="clear" w:color="auto" w:fill="f2f5fa"/>
            <w:tcBorders/>
            <w:tcMar>
              <w:left w:w="90" w:type="dxa"/>
              <w:top w:w="60" w:type="dxa"/>
              <w:right w:w="90" w:type="dxa"/>
              <w:bottom w:w="60" w:type="dxa"/>
            </w:tcMar>
            <w:tcW w:w="2340"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7"/>
                <w:szCs w:val="17"/>
                <w:lang w:val="es-ES"/>
              </w:rPr>
              <w:t xml:space="preserve">P-05, P-08</w:t>
            </w:r>
            <w:r>
              <w:rPr>
                <w:color w:val="000000" w:themeColor="text1"/>
              </w:rPr>
            </w:r>
          </w:p>
        </w:tc>
      </w:tr>
      <w:tr>
        <w:trPr>
          <w:cantSplit w:val="false"/>
        </w:trPr>
        <w:tc>
          <w:tcPr>
            <w:shd w:val="clear" w:color="auto" w:fill="ffffff"/>
            <w:tcBorders/>
            <w:tcMar>
              <w:left w:w="90" w:type="dxa"/>
              <w:top w:w="60" w:type="dxa"/>
              <w:right w:w="90" w:type="dxa"/>
              <w:bottom w:w="60" w:type="dxa"/>
            </w:tcMar>
            <w:tcW w:w="655"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7"/>
                <w:szCs w:val="17"/>
                <w:lang w:val="es-ES"/>
              </w:rPr>
              <w:t xml:space="preserve">A-03</w:t>
            </w:r>
            <w:r>
              <w:rPr>
                <w:color w:val="000000" w:themeColor="text1"/>
              </w:rPr>
            </w:r>
          </w:p>
        </w:tc>
        <w:tc>
          <w:tcPr>
            <w:shd w:val="clear" w:color="auto" w:fill="ffffff"/>
            <w:tcBorders/>
            <w:tcMar>
              <w:left w:w="90" w:type="dxa"/>
              <w:top w:w="60" w:type="dxa"/>
              <w:right w:w="90" w:type="dxa"/>
              <w:bottom w:w="60" w:type="dxa"/>
            </w:tcMar>
            <w:tcW w:w="1872"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7"/>
                <w:szCs w:val="17"/>
                <w:lang w:val="es-ES"/>
              </w:rPr>
              <w:t xml:space="preserve">Informacional</w:t>
            </w:r>
            <w:r>
              <w:rPr>
                <w:color w:val="000000" w:themeColor="text1"/>
              </w:rPr>
            </w:r>
          </w:p>
        </w:tc>
        <w:tc>
          <w:tcPr>
            <w:shd w:val="clear" w:color="auto" w:fill="ffffff"/>
            <w:tcBorders/>
            <w:tcMar>
              <w:left w:w="90" w:type="dxa"/>
              <w:top w:w="60" w:type="dxa"/>
              <w:right w:w="90" w:type="dxa"/>
              <w:bottom w:w="60" w:type="dxa"/>
            </w:tcMar>
            <w:tcW w:w="4493"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7"/>
                <w:szCs w:val="17"/>
                <w:lang w:val="es-ES"/>
              </w:rPr>
              <w:t xml:space="preserve">Datos de las cuentas comerciales, bloques de demanda, cotizaciones y bitácora de auditoría; su almacenamiento, cifrado, integridad, retención y ciclo de vida.</w:t>
            </w:r>
            <w:r>
              <w:rPr>
                <w:color w:val="000000" w:themeColor="text1"/>
              </w:rPr>
            </w:r>
          </w:p>
        </w:tc>
        <w:tc>
          <w:tcPr>
            <w:shd w:val="clear" w:color="auto" w:fill="ffffff"/>
            <w:tcBorders/>
            <w:tcMar>
              <w:left w:w="90" w:type="dxa"/>
              <w:top w:w="60" w:type="dxa"/>
              <w:right w:w="90" w:type="dxa"/>
              <w:bottom w:w="60" w:type="dxa"/>
            </w:tcMar>
            <w:tcW w:w="2340"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7"/>
                <w:szCs w:val="17"/>
                <w:lang w:val="es-ES"/>
              </w:rPr>
              <w:t xml:space="preserve">P-02</w:t>
            </w:r>
            <w:r>
              <w:rPr>
                <w:color w:val="000000" w:themeColor="text1"/>
              </w:rPr>
            </w:r>
          </w:p>
        </w:tc>
      </w:tr>
      <w:tr>
        <w:trPr>
          <w:cantSplit w:val="false"/>
        </w:trPr>
        <w:tc>
          <w:tcPr>
            <w:shd w:val="clear" w:color="auto" w:fill="f2f5fa"/>
            <w:tcBorders/>
            <w:tcMar>
              <w:left w:w="90" w:type="dxa"/>
              <w:top w:w="60" w:type="dxa"/>
              <w:right w:w="90" w:type="dxa"/>
              <w:bottom w:w="60" w:type="dxa"/>
            </w:tcMar>
            <w:tcW w:w="655"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7"/>
                <w:szCs w:val="17"/>
                <w:lang w:val="es-ES"/>
              </w:rPr>
              <w:t xml:space="preserve">A-04</w:t>
            </w:r>
            <w:r>
              <w:rPr>
                <w:color w:val="000000" w:themeColor="text1"/>
              </w:rPr>
            </w:r>
          </w:p>
        </w:tc>
        <w:tc>
          <w:tcPr>
            <w:shd w:val="clear" w:color="auto" w:fill="f2f5fa"/>
            <w:tcBorders/>
            <w:tcMar>
              <w:left w:w="90" w:type="dxa"/>
              <w:top w:w="60" w:type="dxa"/>
              <w:right w:w="90" w:type="dxa"/>
              <w:bottom w:w="60" w:type="dxa"/>
            </w:tcMar>
            <w:tcW w:w="1872"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7"/>
                <w:szCs w:val="17"/>
                <w:lang w:val="es-ES"/>
              </w:rPr>
              <w:t xml:space="preserve">Comportamental / Operativo</w:t>
            </w:r>
            <w:r>
              <w:rPr>
                <w:color w:val="000000" w:themeColor="text1"/>
              </w:rPr>
            </w:r>
          </w:p>
        </w:tc>
        <w:tc>
          <w:tcPr>
            <w:shd w:val="clear" w:color="auto" w:fill="f2f5fa"/>
            <w:tcBorders/>
            <w:tcMar>
              <w:left w:w="90" w:type="dxa"/>
              <w:top w:w="60" w:type="dxa"/>
              <w:right w:w="90" w:type="dxa"/>
              <w:bottom w:w="60" w:type="dxa"/>
            </w:tcMar>
            <w:tcW w:w="4493"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7"/>
                <w:szCs w:val="17"/>
                <w:lang w:val="es-ES"/>
              </w:rPr>
              <w:t xml:space="preserve">Despliegue sobre nodos, configuración, replicación, respaldos, monitoreo, recuperación ante fallos y consumo de recursos en operación.</w:t>
            </w:r>
            <w:r>
              <w:rPr>
                <w:color w:val="000000" w:themeColor="text1"/>
              </w:rPr>
            </w:r>
          </w:p>
        </w:tc>
        <w:tc>
          <w:tcPr>
            <w:shd w:val="clear" w:color="auto" w:fill="f2f5fa"/>
            <w:tcBorders/>
            <w:tcMar>
              <w:left w:w="90" w:type="dxa"/>
              <w:top w:w="60" w:type="dxa"/>
              <w:right w:w="90" w:type="dxa"/>
              <w:bottom w:w="60" w:type="dxa"/>
            </w:tcMar>
            <w:tcW w:w="2340"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7"/>
                <w:szCs w:val="17"/>
                <w:lang w:val="es-ES"/>
              </w:rPr>
              <w:t xml:space="preserve">P-01, P-04, P-06, P-08</w:t>
            </w:r>
            <w:r>
              <w:rPr>
                <w:color w:val="000000" w:themeColor="text1"/>
              </w:rPr>
            </w:r>
          </w:p>
        </w:tc>
      </w:tr>
    </w:tbl>
    <w:p>
      <w:pPr>
        <w:pBdr/>
        <w:spacing w:after="160"/>
        <w:ind/>
        <w:rPr>
          <w:color w:val="000000" w:themeColor="text1"/>
        </w:rPr>
      </w:pPr>
      <w:r>
        <w:rPr>
          <w:color w:val="000000" w:themeColor="text1"/>
          <w:lang w:val="es-ES" w:bidi="es-ES"/>
        </w:rPr>
      </w:r>
      <w:r>
        <w:rPr>
          <w:color w:val="000000" w:themeColor="text1"/>
        </w:rPr>
      </w:r>
    </w:p>
    <w:p>
      <w:pPr>
        <w:pBdr/>
        <w:spacing w:after="140" w:line="276" w:lineRule="auto"/>
        <w:ind/>
        <w:jc w:val="both"/>
        <w:rPr>
          <w:color w:val="000000" w:themeColor="text1"/>
        </w:rPr>
      </w:pPr>
      <w:r>
        <w:rPr>
          <w:rFonts w:ascii="Calibri" w:hAnsi="Calibri" w:eastAsia="Calibri" w:cs="Calibri"/>
          <w:color w:val="000000" w:themeColor="text1"/>
          <w:sz w:val="21"/>
          <w:szCs w:val="21"/>
          <w:lang w:val="es-ES"/>
        </w:rPr>
        <w:t xml:space="preserve">Esta separación aplica el principio que el SWEBOK cita de Edsger Dijkstra: estudiar un aspecto aisladamente por su propia consistencia, sabiendo que es solo uno de ellos, no significa ignorar los demás, sino reconocer que desde ese punto de vista resultan irrelevantes. Cada aspecto será examinado más adelante por al menos un punto de vista específico.</w:t>
      </w:r>
      <w:r>
        <w:rPr>
          <w:color w:val="000000" w:themeColor="text1"/>
        </w:rPr>
      </w:r>
    </w:p>
    <w:p>
      <w:pPr>
        <w:pStyle w:val="904"/>
        <w:keepNext w:val="true"/>
        <w:pageBreakBefore w:val="true"/>
        <w:pBdr/>
        <w:spacing w:after="140" w:before="280"/>
        <w:ind/>
        <w:rPr>
          <w:color w:val="000000" w:themeColor="text1"/>
        </w:rPr>
      </w:pPr>
      <w:r/>
      <w:bookmarkStart w:id="19" w:name="_Toc19"/>
      <w:r>
        <w:rPr>
          <w:rFonts w:ascii="Calibri" w:hAnsi="Calibri" w:eastAsia="Calibri" w:cs="Calibri"/>
          <w:b/>
          <w:bCs/>
          <w:color w:val="000000" w:themeColor="text1"/>
          <w:sz w:val="25"/>
          <w:szCs w:val="25"/>
          <w:lang w:val="es-ES"/>
        </w:rPr>
        <w:t xml:space="preserve">2.5 Criterios de decisión arquitectónica y su ponderación</w:t>
      </w:r>
      <w:r/>
      <w:bookmarkEnd w:id="19"/>
      <w:r/>
      <w:r>
        <w:rPr>
          <w:color w:val="000000" w:themeColor="text1"/>
        </w:rPr>
      </w:r>
    </w:p>
    <w:p>
      <w:pPr>
        <w:pBdr/>
        <w:spacing w:after="140" w:line="276" w:lineRule="auto"/>
        <w:ind/>
        <w:jc w:val="both"/>
        <w:rPr>
          <w:color w:val="000000" w:themeColor="text1"/>
        </w:rPr>
      </w:pPr>
      <w:r>
        <w:rPr>
          <w:rFonts w:ascii="Calibri" w:hAnsi="Calibri" w:eastAsia="Calibri" w:cs="Calibri"/>
          <w:color w:val="000000" w:themeColor="text1"/>
          <w:sz w:val="21"/>
          <w:szCs w:val="21"/>
          <w:lang w:val="es-ES"/>
        </w:rPr>
        <w:t xml:space="preserve">La plantilla de la asignatura instruye a definir y ponderar los criterios antes de comparar alternativas, con una advertencia expresa: las calidades no valen lo mismo, y debe asignarse mayor peso a las preocupaciones críticas. Ponderar después de conocer los resultados equivaldría a fabricar una justificación para una preferencia ya tomada.</w:t>
      </w:r>
      <w:r>
        <w:rPr>
          <w:color w:val="000000" w:themeColor="text1"/>
        </w:rPr>
      </w:r>
    </w:p>
    <w:p>
      <w:pPr>
        <w:pBdr/>
        <w:spacing w:after="140" w:line="276" w:lineRule="auto"/>
        <w:ind/>
        <w:jc w:val="both"/>
        <w:rPr>
          <w:color w:val="000000" w:themeColor="text1"/>
        </w:rPr>
      </w:pPr>
      <w:r>
        <w:rPr>
          <w:rFonts w:ascii="Calibri" w:hAnsi="Calibri" w:eastAsia="Calibri" w:cs="Calibri"/>
          <w:color w:val="000000" w:themeColor="text1"/>
          <w:sz w:val="21"/>
          <w:szCs w:val="21"/>
          <w:lang w:val="es-ES"/>
        </w:rPr>
        <w:t xml:space="preserve">La ponderación siguiente se derivó de la columna de importancia de la tabla de preocupaciones: los criterios que sirven a preocupaciones marcadas como críticas (P-01, P-02, P-04, P-07) reciben los pesos mayores.</w:t>
      </w:r>
      <w:r>
        <w:rPr>
          <w:color w:val="000000" w:themeColor="text1"/>
        </w:rPr>
      </w:r>
    </w:p>
    <w:tbl>
      <w:tblPr>
        <w:tblW w:w="9360" w:type="dxa"/>
        <w:tblBorders>
          <w:top w:val="single" w:color="8ea9db" w:sz="4" w:space="0"/>
          <w:left w:val="single" w:color="8ea9db" w:sz="4" w:space="0"/>
          <w:bottom w:val="single" w:color="8ea9db" w:sz="4" w:space="0"/>
          <w:right w:val="single" w:color="8ea9db" w:sz="4" w:space="0"/>
          <w:insideH w:val="single" w:color="b4c6e7" w:sz="2" w:space="0"/>
          <w:insideV w:val="single" w:color="b4c6e7" w:sz="2" w:space="0"/>
        </w:tblBorders>
        <w:tblLook w:val="04A0" w:firstRow="1" w:lastRow="0" w:firstColumn="1" w:lastColumn="0" w:noHBand="0" w:noVBand="1"/>
      </w:tblPr>
      <w:tblGrid>
        <w:gridCol w:w="655"/>
        <w:gridCol w:w="2059"/>
        <w:gridCol w:w="749"/>
        <w:gridCol w:w="2808"/>
        <w:gridCol w:w="3089"/>
      </w:tblGrid>
      <w:tr>
        <w:trPr>
          <w:cantSplit w:val="false"/>
          <w:tblHeader/>
        </w:trPr>
        <w:tc>
          <w:tcPr>
            <w:shd w:val="clear" w:color="auto" w:fill="d9e2f3"/>
            <w:tcBorders/>
            <w:tcMar>
              <w:left w:w="90" w:type="dxa"/>
              <w:top w:w="60" w:type="dxa"/>
              <w:right w:w="90" w:type="dxa"/>
              <w:bottom w:w="60" w:type="dxa"/>
            </w:tcMar>
            <w:tcW w:w="655"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w:t>
            </w:r>
            <w:r>
              <w:rPr>
                <w:color w:val="000000" w:themeColor="text1"/>
              </w:rPr>
            </w:r>
          </w:p>
        </w:tc>
        <w:tc>
          <w:tcPr>
            <w:shd w:val="clear" w:color="auto" w:fill="d9e2f3"/>
            <w:tcBorders/>
            <w:tcMar>
              <w:left w:w="90" w:type="dxa"/>
              <w:top w:w="60" w:type="dxa"/>
              <w:right w:w="90" w:type="dxa"/>
              <w:bottom w:w="60" w:type="dxa"/>
            </w:tcMar>
            <w:tcW w:w="2059"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Criterio de evaluación</w:t>
            </w:r>
            <w:r>
              <w:rPr>
                <w:color w:val="000000" w:themeColor="text1"/>
              </w:rPr>
            </w:r>
          </w:p>
        </w:tc>
        <w:tc>
          <w:tcPr>
            <w:shd w:val="clear" w:color="auto" w:fill="d9e2f3"/>
            <w:tcBorders/>
            <w:tcMar>
              <w:left w:w="90" w:type="dxa"/>
              <w:top w:w="60" w:type="dxa"/>
              <w:right w:w="90" w:type="dxa"/>
              <w:bottom w:w="60" w:type="dxa"/>
            </w:tcMar>
            <w:tcW w:w="749" w:type="dxa"/>
            <w:vAlign w:val="center"/>
          </w:tcPr>
          <w:p>
            <w:pPr>
              <w:pBdr/>
              <w:spacing w:after="40" w:before="40" w:line="240" w:lineRule="auto"/>
              <w:ind/>
              <w:jc w:val="center"/>
              <w:rPr>
                <w:color w:val="000000" w:themeColor="text1"/>
              </w:rPr>
            </w:pPr>
            <w:r>
              <w:rPr>
                <w:rFonts w:ascii="Calibri" w:hAnsi="Calibri" w:eastAsia="Calibri" w:cs="Calibri"/>
                <w:b/>
                <w:bCs/>
                <w:color w:val="000000" w:themeColor="text1"/>
                <w:sz w:val="16"/>
                <w:szCs w:val="16"/>
                <w:lang w:val="es-ES"/>
              </w:rPr>
              <w:t xml:space="preserve">Peso</w:t>
            </w:r>
            <w:r>
              <w:rPr>
                <w:color w:val="000000" w:themeColor="text1"/>
              </w:rPr>
            </w:r>
          </w:p>
        </w:tc>
        <w:tc>
          <w:tcPr>
            <w:shd w:val="clear" w:color="auto" w:fill="d9e2f3"/>
            <w:tcBorders/>
            <w:tcMar>
              <w:left w:w="90" w:type="dxa"/>
              <w:top w:w="60" w:type="dxa"/>
              <w:right w:w="90" w:type="dxa"/>
              <w:bottom w:w="60" w:type="dxa"/>
            </w:tcMar>
            <w:tcW w:w="2808"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Qué se evalúa</w:t>
            </w:r>
            <w:r>
              <w:rPr>
                <w:color w:val="000000" w:themeColor="text1"/>
              </w:rPr>
            </w:r>
          </w:p>
        </w:tc>
        <w:tc>
          <w:tcPr>
            <w:shd w:val="clear" w:color="auto" w:fill="d9e2f3"/>
            <w:tcBorders/>
            <w:tcMar>
              <w:left w:w="90" w:type="dxa"/>
              <w:top w:w="60" w:type="dxa"/>
              <w:right w:w="90" w:type="dxa"/>
              <w:bottom w:w="60" w:type="dxa"/>
            </w:tcMar>
            <w:tcW w:w="3089"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Justificación del peso asignado</w:t>
            </w:r>
            <w:r>
              <w:rPr>
                <w:color w:val="000000" w:themeColor="text1"/>
              </w:rPr>
            </w:r>
          </w:p>
        </w:tc>
      </w:tr>
      <w:tr>
        <w:trPr>
          <w:cantSplit w:val="false"/>
        </w:trPr>
        <w:tc>
          <w:tcPr>
            <w:shd w:val="clear" w:color="auto" w:fill="ffffff"/>
            <w:tcBorders/>
            <w:tcMar>
              <w:left w:w="90" w:type="dxa"/>
              <w:top w:w="60" w:type="dxa"/>
              <w:right w:w="90" w:type="dxa"/>
              <w:bottom w:w="60" w:type="dxa"/>
            </w:tcMar>
            <w:tcW w:w="655"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C-01</w:t>
            </w:r>
            <w:r>
              <w:rPr>
                <w:color w:val="000000" w:themeColor="text1"/>
              </w:rPr>
            </w:r>
          </w:p>
        </w:tc>
        <w:tc>
          <w:tcPr>
            <w:shd w:val="clear" w:color="auto" w:fill="ffffff"/>
            <w:tcBorders/>
            <w:tcMar>
              <w:left w:w="90" w:type="dxa"/>
              <w:top w:w="60" w:type="dxa"/>
              <w:right w:w="90" w:type="dxa"/>
              <w:bottom w:w="60" w:type="dxa"/>
            </w:tcMar>
            <w:tcW w:w="2059"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Separación de responsabilidades</w:t>
            </w:r>
            <w:r>
              <w:rPr>
                <w:color w:val="000000" w:themeColor="text1"/>
              </w:rPr>
            </w:r>
          </w:p>
        </w:tc>
        <w:tc>
          <w:tcPr>
            <w:shd w:val="clear" w:color="auto" w:fill="ffffff"/>
            <w:tcBorders/>
            <w:tcMar>
              <w:left w:w="90" w:type="dxa"/>
              <w:top w:w="60" w:type="dxa"/>
              <w:right w:w="90" w:type="dxa"/>
              <w:bottom w:w="60" w:type="dxa"/>
            </w:tcMar>
            <w:tcW w:w="749" w:type="dxa"/>
            <w:vAlign w:val="center"/>
          </w:tcPr>
          <w:p>
            <w:pPr>
              <w:pBdr/>
              <w:spacing w:after="40" w:before="40" w:line="240" w:lineRule="auto"/>
              <w:ind/>
              <w:jc w:val="center"/>
              <w:rPr>
                <w:color w:val="000000" w:themeColor="text1"/>
              </w:rPr>
            </w:pPr>
            <w:r>
              <w:rPr>
                <w:rFonts w:ascii="Calibri" w:hAnsi="Calibri" w:eastAsia="Calibri" w:cs="Calibri"/>
                <w:b w:val="0"/>
                <w:bCs w:val="0"/>
                <w:color w:val="000000" w:themeColor="text1"/>
                <w:sz w:val="16"/>
                <w:szCs w:val="16"/>
                <w:lang w:val="es-ES"/>
              </w:rPr>
              <w:t xml:space="preserve">12 %</w:t>
            </w:r>
            <w:r>
              <w:rPr>
                <w:color w:val="000000" w:themeColor="text1"/>
              </w:rPr>
            </w:r>
          </w:p>
        </w:tc>
        <w:tc>
          <w:tcPr>
            <w:shd w:val="clear" w:color="auto" w:fill="ffffff"/>
            <w:tcBorders/>
            <w:tcMar>
              <w:left w:w="90" w:type="dxa"/>
              <w:top w:w="60" w:type="dxa"/>
              <w:right w:w="90" w:type="dxa"/>
              <w:bottom w:w="60" w:type="dxa"/>
            </w:tcMar>
            <w:tcW w:w="2808"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¿Divide con claridad datos, lógica de negocio y presentación?</w:t>
            </w:r>
            <w:r>
              <w:rPr>
                <w:color w:val="000000" w:themeColor="text1"/>
              </w:rPr>
            </w:r>
          </w:p>
        </w:tc>
        <w:tc>
          <w:tcPr>
            <w:shd w:val="clear" w:color="auto" w:fill="ffffff"/>
            <w:tcBorders/>
            <w:tcMar>
              <w:left w:w="90" w:type="dxa"/>
              <w:top w:w="60" w:type="dxa"/>
              <w:right w:w="90" w:type="dxa"/>
              <w:bottom w:w="60" w:type="dxa"/>
            </w:tcMar>
            <w:tcW w:w="3089"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Condición previa de la capacidad de prueba y de la evolución; sirve a P-03 y P-07.</w:t>
            </w:r>
            <w:r>
              <w:rPr>
                <w:color w:val="000000" w:themeColor="text1"/>
              </w:rPr>
            </w:r>
          </w:p>
        </w:tc>
      </w:tr>
      <w:tr>
        <w:trPr>
          <w:cantSplit w:val="false"/>
        </w:trPr>
        <w:tc>
          <w:tcPr>
            <w:shd w:val="clear" w:color="auto" w:fill="f2f5fa"/>
            <w:tcBorders/>
            <w:tcMar>
              <w:left w:w="90" w:type="dxa"/>
              <w:top w:w="60" w:type="dxa"/>
              <w:right w:w="90" w:type="dxa"/>
              <w:bottom w:w="60" w:type="dxa"/>
            </w:tcMar>
            <w:tcW w:w="655"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C-02</w:t>
            </w:r>
            <w:r>
              <w:rPr>
                <w:color w:val="000000" w:themeColor="text1"/>
              </w:rPr>
            </w:r>
          </w:p>
        </w:tc>
        <w:tc>
          <w:tcPr>
            <w:shd w:val="clear" w:color="auto" w:fill="f2f5fa"/>
            <w:tcBorders/>
            <w:tcMar>
              <w:left w:w="90" w:type="dxa"/>
              <w:top w:w="60" w:type="dxa"/>
              <w:right w:w="90" w:type="dxa"/>
              <w:bottom w:w="60" w:type="dxa"/>
            </w:tcMar>
            <w:tcW w:w="2059"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Bajo acoplamiento y alta cohesión</w:t>
            </w:r>
            <w:r>
              <w:rPr>
                <w:color w:val="000000" w:themeColor="text1"/>
              </w:rPr>
            </w:r>
          </w:p>
        </w:tc>
        <w:tc>
          <w:tcPr>
            <w:shd w:val="clear" w:color="auto" w:fill="f2f5fa"/>
            <w:tcBorders/>
            <w:tcMar>
              <w:left w:w="90" w:type="dxa"/>
              <w:top w:w="60" w:type="dxa"/>
              <w:right w:w="90" w:type="dxa"/>
              <w:bottom w:w="60" w:type="dxa"/>
            </w:tcMar>
            <w:tcW w:w="749" w:type="dxa"/>
            <w:vAlign w:val="center"/>
          </w:tcPr>
          <w:p>
            <w:pPr>
              <w:pBdr/>
              <w:spacing w:after="40" w:before="40" w:line="240" w:lineRule="auto"/>
              <w:ind/>
              <w:jc w:val="center"/>
              <w:rPr>
                <w:color w:val="000000" w:themeColor="text1"/>
              </w:rPr>
            </w:pPr>
            <w:r>
              <w:rPr>
                <w:rFonts w:ascii="Calibri" w:hAnsi="Calibri" w:eastAsia="Calibri" w:cs="Calibri"/>
                <w:b w:val="0"/>
                <w:bCs w:val="0"/>
                <w:color w:val="000000" w:themeColor="text1"/>
                <w:sz w:val="16"/>
                <w:szCs w:val="16"/>
                <w:lang w:val="es-ES"/>
              </w:rPr>
              <w:t xml:space="preserve">12 %</w:t>
            </w:r>
            <w:r>
              <w:rPr>
                <w:color w:val="000000" w:themeColor="text1"/>
              </w:rPr>
            </w:r>
          </w:p>
        </w:tc>
        <w:tc>
          <w:tcPr>
            <w:shd w:val="clear" w:color="auto" w:fill="f2f5fa"/>
            <w:tcBorders/>
            <w:tcMar>
              <w:left w:w="90" w:type="dxa"/>
              <w:top w:w="60" w:type="dxa"/>
              <w:right w:w="90" w:type="dxa"/>
              <w:bottom w:w="60" w:type="dxa"/>
            </w:tcMar>
            <w:tcW w:w="2808"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¿Los componentes dependen entre sí lo mínimo necesario?</w:t>
            </w:r>
            <w:r>
              <w:rPr>
                <w:color w:val="000000" w:themeColor="text1"/>
              </w:rPr>
            </w:r>
          </w:p>
        </w:tc>
        <w:tc>
          <w:tcPr>
            <w:shd w:val="clear" w:color="auto" w:fill="f2f5fa"/>
            <w:tcBorders/>
            <w:tcMar>
              <w:left w:w="90" w:type="dxa"/>
              <w:top w:w="60" w:type="dxa"/>
              <w:right w:w="90" w:type="dxa"/>
              <w:bottom w:w="60" w:type="dxa"/>
            </w:tcMar>
            <w:tcW w:w="3089"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Determina si añadir pagos o logística obligará a tocar módulos existentes (P-03).</w:t>
            </w:r>
            <w:r>
              <w:rPr>
                <w:color w:val="000000" w:themeColor="text1"/>
              </w:rPr>
            </w:r>
          </w:p>
        </w:tc>
      </w:tr>
      <w:tr>
        <w:trPr>
          <w:cantSplit w:val="false"/>
        </w:trPr>
        <w:tc>
          <w:tcPr>
            <w:shd w:val="clear" w:color="auto" w:fill="ffffff"/>
            <w:tcBorders/>
            <w:tcMar>
              <w:left w:w="90" w:type="dxa"/>
              <w:top w:w="60" w:type="dxa"/>
              <w:right w:w="90" w:type="dxa"/>
              <w:bottom w:w="60" w:type="dxa"/>
            </w:tcMar>
            <w:tcW w:w="655"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C-03</w:t>
            </w:r>
            <w:r>
              <w:rPr>
                <w:color w:val="000000" w:themeColor="text1"/>
              </w:rPr>
            </w:r>
          </w:p>
        </w:tc>
        <w:tc>
          <w:tcPr>
            <w:shd w:val="clear" w:color="auto" w:fill="ffffff"/>
            <w:tcBorders/>
            <w:tcMar>
              <w:left w:w="90" w:type="dxa"/>
              <w:top w:w="60" w:type="dxa"/>
              <w:right w:w="90" w:type="dxa"/>
              <w:bottom w:w="60" w:type="dxa"/>
            </w:tcMar>
            <w:tcW w:w="2059"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Escalabilidad</w:t>
            </w:r>
            <w:r>
              <w:rPr>
                <w:color w:val="000000" w:themeColor="text1"/>
              </w:rPr>
            </w:r>
          </w:p>
        </w:tc>
        <w:tc>
          <w:tcPr>
            <w:shd w:val="clear" w:color="auto" w:fill="ffffff"/>
            <w:tcBorders/>
            <w:tcMar>
              <w:left w:w="90" w:type="dxa"/>
              <w:top w:w="60" w:type="dxa"/>
              <w:right w:w="90" w:type="dxa"/>
              <w:bottom w:w="60" w:type="dxa"/>
            </w:tcMar>
            <w:tcW w:w="749" w:type="dxa"/>
            <w:vAlign w:val="center"/>
          </w:tcPr>
          <w:p>
            <w:pPr>
              <w:pBdr/>
              <w:spacing w:after="40" w:before="40" w:line="240" w:lineRule="auto"/>
              <w:ind/>
              <w:jc w:val="center"/>
              <w:rPr>
                <w:color w:val="000000" w:themeColor="text1"/>
              </w:rPr>
            </w:pPr>
            <w:r>
              <w:rPr>
                <w:rFonts w:ascii="Calibri" w:hAnsi="Calibri" w:eastAsia="Calibri" w:cs="Calibri"/>
                <w:b w:val="0"/>
                <w:bCs w:val="0"/>
                <w:color w:val="000000" w:themeColor="text1"/>
                <w:sz w:val="16"/>
                <w:szCs w:val="16"/>
                <w:lang w:val="es-ES"/>
              </w:rPr>
              <w:t xml:space="preserve">13 %</w:t>
            </w:r>
            <w:r>
              <w:rPr>
                <w:color w:val="000000" w:themeColor="text1"/>
              </w:rPr>
            </w:r>
          </w:p>
        </w:tc>
        <w:tc>
          <w:tcPr>
            <w:shd w:val="clear" w:color="auto" w:fill="ffffff"/>
            <w:tcBorders/>
            <w:tcMar>
              <w:left w:w="90" w:type="dxa"/>
              <w:top w:w="60" w:type="dxa"/>
              <w:right w:w="90" w:type="dxa"/>
              <w:bottom w:w="60" w:type="dxa"/>
            </w:tcMar>
            <w:tcW w:w="2808"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¿Permite crecer hasta 500 concurrentes y un 200 % anual sin cambios mayores?</w:t>
            </w:r>
            <w:r>
              <w:rPr>
                <w:color w:val="000000" w:themeColor="text1"/>
              </w:rPr>
            </w:r>
          </w:p>
        </w:tc>
        <w:tc>
          <w:tcPr>
            <w:shd w:val="clear" w:color="auto" w:fill="ffffff"/>
            <w:tcBorders/>
            <w:tcMar>
              <w:left w:w="90" w:type="dxa"/>
              <w:top w:w="60" w:type="dxa"/>
              <w:right w:w="90" w:type="dxa"/>
              <w:bottom w:w="60" w:type="dxa"/>
            </w:tcMar>
            <w:tcW w:w="3089"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Exigencia explícita de RNF-05; sirve a P-01, que es crítica.</w:t>
            </w:r>
            <w:r>
              <w:rPr>
                <w:color w:val="000000" w:themeColor="text1"/>
              </w:rPr>
            </w:r>
          </w:p>
        </w:tc>
      </w:tr>
      <w:tr>
        <w:trPr>
          <w:cantSplit w:val="false"/>
        </w:trPr>
        <w:tc>
          <w:tcPr>
            <w:shd w:val="clear" w:color="auto" w:fill="f2f5fa"/>
            <w:tcBorders/>
            <w:tcMar>
              <w:left w:w="90" w:type="dxa"/>
              <w:top w:w="60" w:type="dxa"/>
              <w:right w:w="90" w:type="dxa"/>
              <w:bottom w:w="60" w:type="dxa"/>
            </w:tcMar>
            <w:tcW w:w="655"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C-04</w:t>
            </w:r>
            <w:r>
              <w:rPr>
                <w:color w:val="000000" w:themeColor="text1"/>
              </w:rPr>
            </w:r>
          </w:p>
        </w:tc>
        <w:tc>
          <w:tcPr>
            <w:shd w:val="clear" w:color="auto" w:fill="f2f5fa"/>
            <w:tcBorders/>
            <w:tcMar>
              <w:left w:w="90" w:type="dxa"/>
              <w:top w:w="60" w:type="dxa"/>
              <w:right w:w="90" w:type="dxa"/>
              <w:bottom w:w="60" w:type="dxa"/>
            </w:tcMar>
            <w:tcW w:w="2059"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Seguridad y cumplimiento</w:t>
            </w:r>
            <w:r>
              <w:rPr>
                <w:color w:val="000000" w:themeColor="text1"/>
              </w:rPr>
            </w:r>
          </w:p>
        </w:tc>
        <w:tc>
          <w:tcPr>
            <w:shd w:val="clear" w:color="auto" w:fill="f2f5fa"/>
            <w:tcBorders/>
            <w:tcMar>
              <w:left w:w="90" w:type="dxa"/>
              <w:top w:w="60" w:type="dxa"/>
              <w:right w:w="90" w:type="dxa"/>
              <w:bottom w:w="60" w:type="dxa"/>
            </w:tcMar>
            <w:tcW w:w="749" w:type="dxa"/>
            <w:vAlign w:val="center"/>
          </w:tcPr>
          <w:p>
            <w:pPr>
              <w:pBdr/>
              <w:spacing w:after="40" w:before="40" w:line="240" w:lineRule="auto"/>
              <w:ind/>
              <w:jc w:val="center"/>
              <w:rPr>
                <w:color w:val="000000" w:themeColor="text1"/>
              </w:rPr>
            </w:pPr>
            <w:r>
              <w:rPr>
                <w:rFonts w:ascii="Calibri" w:hAnsi="Calibri" w:eastAsia="Calibri" w:cs="Calibri"/>
                <w:b w:val="0"/>
                <w:bCs w:val="0"/>
                <w:color w:val="000000" w:themeColor="text1"/>
                <w:sz w:val="16"/>
                <w:szCs w:val="16"/>
                <w:lang w:val="es-ES"/>
              </w:rPr>
              <w:t xml:space="preserve">15 %</w:t>
            </w:r>
            <w:r>
              <w:rPr>
                <w:color w:val="000000" w:themeColor="text1"/>
              </w:rPr>
            </w:r>
          </w:p>
        </w:tc>
        <w:tc>
          <w:tcPr>
            <w:shd w:val="clear" w:color="auto" w:fill="f2f5fa"/>
            <w:tcBorders/>
            <w:tcMar>
              <w:left w:w="90" w:type="dxa"/>
              <w:top w:w="60" w:type="dxa"/>
              <w:right w:w="90" w:type="dxa"/>
              <w:bottom w:w="60" w:type="dxa"/>
            </w:tcMar>
            <w:tcW w:w="2808"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¿Facilita cifrado, control de accesos por rol, trazabilidad y auditoría inmutable?</w:t>
            </w:r>
            <w:r>
              <w:rPr>
                <w:color w:val="000000" w:themeColor="text1"/>
              </w:rPr>
            </w:r>
          </w:p>
        </w:tc>
        <w:tc>
          <w:tcPr>
            <w:shd w:val="clear" w:color="auto" w:fill="f2f5fa"/>
            <w:tcBorders/>
            <w:tcMar>
              <w:left w:w="90" w:type="dxa"/>
              <w:top w:w="60" w:type="dxa"/>
              <w:right w:w="90" w:type="dxa"/>
              <w:bottom w:w="60" w:type="dxa"/>
            </w:tcMar>
            <w:tcW w:w="3089"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P-02 es crítica y su incumplimiento tiene consecuencias legales bajo la Ley No. 787.</w:t>
            </w:r>
            <w:r>
              <w:rPr>
                <w:color w:val="000000" w:themeColor="text1"/>
              </w:rPr>
            </w:r>
          </w:p>
        </w:tc>
      </w:tr>
      <w:tr>
        <w:trPr>
          <w:cantSplit w:val="false"/>
        </w:trPr>
        <w:tc>
          <w:tcPr>
            <w:shd w:val="clear" w:color="auto" w:fill="ffffff"/>
            <w:tcBorders/>
            <w:tcMar>
              <w:left w:w="90" w:type="dxa"/>
              <w:top w:w="60" w:type="dxa"/>
              <w:right w:w="90" w:type="dxa"/>
              <w:bottom w:w="60" w:type="dxa"/>
            </w:tcMar>
            <w:tcW w:w="655"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C-05</w:t>
            </w:r>
            <w:r>
              <w:rPr>
                <w:color w:val="000000" w:themeColor="text1"/>
              </w:rPr>
            </w:r>
          </w:p>
        </w:tc>
        <w:tc>
          <w:tcPr>
            <w:shd w:val="clear" w:color="auto" w:fill="ffffff"/>
            <w:tcBorders/>
            <w:tcMar>
              <w:left w:w="90" w:type="dxa"/>
              <w:top w:w="60" w:type="dxa"/>
              <w:right w:w="90" w:type="dxa"/>
              <w:bottom w:w="60" w:type="dxa"/>
            </w:tcMar>
            <w:tcW w:w="2059"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Mantenibilidad y capacidad de pruebas</w:t>
            </w:r>
            <w:r>
              <w:rPr>
                <w:color w:val="000000" w:themeColor="text1"/>
              </w:rPr>
            </w:r>
          </w:p>
        </w:tc>
        <w:tc>
          <w:tcPr>
            <w:shd w:val="clear" w:color="auto" w:fill="ffffff"/>
            <w:tcBorders/>
            <w:tcMar>
              <w:left w:w="90" w:type="dxa"/>
              <w:top w:w="60" w:type="dxa"/>
              <w:right w:w="90" w:type="dxa"/>
              <w:bottom w:w="60" w:type="dxa"/>
            </w:tcMar>
            <w:tcW w:w="749" w:type="dxa"/>
            <w:vAlign w:val="center"/>
          </w:tcPr>
          <w:p>
            <w:pPr>
              <w:pBdr/>
              <w:spacing w:after="40" w:before="40" w:line="240" w:lineRule="auto"/>
              <w:ind/>
              <w:jc w:val="center"/>
              <w:rPr>
                <w:color w:val="000000" w:themeColor="text1"/>
              </w:rPr>
            </w:pPr>
            <w:r>
              <w:rPr>
                <w:rFonts w:ascii="Calibri" w:hAnsi="Calibri" w:eastAsia="Calibri" w:cs="Calibri"/>
                <w:b w:val="0"/>
                <w:bCs w:val="0"/>
                <w:color w:val="000000" w:themeColor="text1"/>
                <w:sz w:val="16"/>
                <w:szCs w:val="16"/>
                <w:lang w:val="es-ES"/>
              </w:rPr>
              <w:t xml:space="preserve">15 %</w:t>
            </w:r>
            <w:r>
              <w:rPr>
                <w:color w:val="000000" w:themeColor="text1"/>
              </w:rPr>
            </w:r>
          </w:p>
        </w:tc>
        <w:tc>
          <w:tcPr>
            <w:shd w:val="clear" w:color="auto" w:fill="ffffff"/>
            <w:tcBorders/>
            <w:tcMar>
              <w:left w:w="90" w:type="dxa"/>
              <w:top w:w="60" w:type="dxa"/>
              <w:right w:w="90" w:type="dxa"/>
              <w:bottom w:w="60" w:type="dxa"/>
            </w:tcMar>
            <w:tcW w:w="2808"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¿Puede probarse y modificarse cada parte de forma independiente, con cobertura &gt; 80 %?</w:t>
            </w:r>
            <w:r>
              <w:rPr>
                <w:color w:val="000000" w:themeColor="text1"/>
              </w:rPr>
            </w:r>
          </w:p>
        </w:tc>
        <w:tc>
          <w:tcPr>
            <w:shd w:val="clear" w:color="auto" w:fill="ffffff"/>
            <w:tcBorders/>
            <w:tcMar>
              <w:left w:w="90" w:type="dxa"/>
              <w:top w:w="60" w:type="dxa"/>
              <w:right w:w="90" w:type="dxa"/>
              <w:bottom w:w="60" w:type="dxa"/>
            </w:tcMar>
            <w:tcW w:w="3089"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RNF-04 fija un umbral verificable y P-07 es crítica: sin testabilidad no hay entrega.</w:t>
            </w:r>
            <w:r>
              <w:rPr>
                <w:color w:val="000000" w:themeColor="text1"/>
              </w:rPr>
            </w:r>
          </w:p>
        </w:tc>
      </w:tr>
      <w:tr>
        <w:trPr>
          <w:cantSplit w:val="false"/>
        </w:trPr>
        <w:tc>
          <w:tcPr>
            <w:shd w:val="clear" w:color="auto" w:fill="f2f5fa"/>
            <w:tcBorders/>
            <w:tcMar>
              <w:left w:w="90" w:type="dxa"/>
              <w:top w:w="60" w:type="dxa"/>
              <w:right w:w="90" w:type="dxa"/>
              <w:bottom w:w="60" w:type="dxa"/>
            </w:tcMar>
            <w:tcW w:w="655"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C-06</w:t>
            </w:r>
            <w:r>
              <w:rPr>
                <w:color w:val="000000" w:themeColor="text1"/>
              </w:rPr>
            </w:r>
          </w:p>
        </w:tc>
        <w:tc>
          <w:tcPr>
            <w:shd w:val="clear" w:color="auto" w:fill="f2f5fa"/>
            <w:tcBorders/>
            <w:tcMar>
              <w:left w:w="90" w:type="dxa"/>
              <w:top w:w="60" w:type="dxa"/>
              <w:right w:w="90" w:type="dxa"/>
              <w:bottom w:w="60" w:type="dxa"/>
            </w:tcMar>
            <w:tcW w:w="2059"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Rendimiento esperado</w:t>
            </w:r>
            <w:r>
              <w:rPr>
                <w:color w:val="000000" w:themeColor="text1"/>
              </w:rPr>
            </w:r>
          </w:p>
        </w:tc>
        <w:tc>
          <w:tcPr>
            <w:shd w:val="clear" w:color="auto" w:fill="f2f5fa"/>
            <w:tcBorders/>
            <w:tcMar>
              <w:left w:w="90" w:type="dxa"/>
              <w:top w:w="60" w:type="dxa"/>
              <w:right w:w="90" w:type="dxa"/>
              <w:bottom w:w="60" w:type="dxa"/>
            </w:tcMar>
            <w:tcW w:w="749" w:type="dxa"/>
            <w:vAlign w:val="center"/>
          </w:tcPr>
          <w:p>
            <w:pPr>
              <w:pBdr/>
              <w:spacing w:after="40" w:before="40" w:line="240" w:lineRule="auto"/>
              <w:ind/>
              <w:jc w:val="center"/>
              <w:rPr>
                <w:color w:val="000000" w:themeColor="text1"/>
              </w:rPr>
            </w:pPr>
            <w:r>
              <w:rPr>
                <w:rFonts w:ascii="Calibri" w:hAnsi="Calibri" w:eastAsia="Calibri" w:cs="Calibri"/>
                <w:b w:val="0"/>
                <w:bCs w:val="0"/>
                <w:color w:val="000000" w:themeColor="text1"/>
                <w:sz w:val="16"/>
                <w:szCs w:val="16"/>
                <w:lang w:val="es-ES"/>
              </w:rPr>
              <w:t xml:space="preserve">12 %</w:t>
            </w:r>
            <w:r>
              <w:rPr>
                <w:color w:val="000000" w:themeColor="text1"/>
              </w:rPr>
            </w:r>
          </w:p>
        </w:tc>
        <w:tc>
          <w:tcPr>
            <w:shd w:val="clear" w:color="auto" w:fill="f2f5fa"/>
            <w:tcBorders/>
            <w:tcMar>
              <w:left w:w="90" w:type="dxa"/>
              <w:top w:w="60" w:type="dxa"/>
              <w:right w:w="90" w:type="dxa"/>
              <w:bottom w:w="60" w:type="dxa"/>
            </w:tcMar>
            <w:tcW w:w="2808"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¿Se cumplen los tiempos de respuesta bajo carga y sobre redes lentas?</w:t>
            </w:r>
            <w:r>
              <w:rPr>
                <w:color w:val="000000" w:themeColor="text1"/>
              </w:rPr>
            </w:r>
          </w:p>
        </w:tc>
        <w:tc>
          <w:tcPr>
            <w:shd w:val="clear" w:color="auto" w:fill="f2f5fa"/>
            <w:tcBorders/>
            <w:tcMar>
              <w:left w:w="90" w:type="dxa"/>
              <w:top w:w="60" w:type="dxa"/>
              <w:right w:w="90" w:type="dxa"/>
              <w:bottom w:w="60" w:type="dxa"/>
            </w:tcMar>
            <w:tcW w:w="3089"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Sirve a P-01 y P-08; los umbrales de RNF-01 son medibles y exigentes.</w:t>
            </w:r>
            <w:r>
              <w:rPr>
                <w:color w:val="000000" w:themeColor="text1"/>
              </w:rPr>
            </w:r>
          </w:p>
        </w:tc>
      </w:tr>
      <w:tr>
        <w:trPr>
          <w:cantSplit w:val="false"/>
        </w:trPr>
        <w:tc>
          <w:tcPr>
            <w:shd w:val="clear" w:color="auto" w:fill="ffffff"/>
            <w:tcBorders/>
            <w:tcMar>
              <w:left w:w="90" w:type="dxa"/>
              <w:top w:w="60" w:type="dxa"/>
              <w:right w:w="90" w:type="dxa"/>
              <w:bottom w:w="60" w:type="dxa"/>
            </w:tcMar>
            <w:tcW w:w="655"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C-07</w:t>
            </w:r>
            <w:r>
              <w:rPr>
                <w:color w:val="000000" w:themeColor="text1"/>
              </w:rPr>
            </w:r>
          </w:p>
        </w:tc>
        <w:tc>
          <w:tcPr>
            <w:shd w:val="clear" w:color="auto" w:fill="ffffff"/>
            <w:tcBorders/>
            <w:tcMar>
              <w:left w:w="90" w:type="dxa"/>
              <w:top w:w="60" w:type="dxa"/>
              <w:right w:w="90" w:type="dxa"/>
              <w:bottom w:w="60" w:type="dxa"/>
            </w:tcMar>
            <w:tcW w:w="2059"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Costo y simplicidad</w:t>
            </w:r>
            <w:r>
              <w:rPr>
                <w:color w:val="000000" w:themeColor="text1"/>
              </w:rPr>
            </w:r>
          </w:p>
        </w:tc>
        <w:tc>
          <w:tcPr>
            <w:shd w:val="clear" w:color="auto" w:fill="ffffff"/>
            <w:tcBorders/>
            <w:tcMar>
              <w:left w:w="90" w:type="dxa"/>
              <w:top w:w="60" w:type="dxa"/>
              <w:right w:w="90" w:type="dxa"/>
              <w:bottom w:w="60" w:type="dxa"/>
            </w:tcMar>
            <w:tcW w:w="749" w:type="dxa"/>
            <w:vAlign w:val="center"/>
          </w:tcPr>
          <w:p>
            <w:pPr>
              <w:pBdr/>
              <w:spacing w:after="40" w:before="40" w:line="240" w:lineRule="auto"/>
              <w:ind/>
              <w:jc w:val="center"/>
              <w:rPr>
                <w:color w:val="000000" w:themeColor="text1"/>
              </w:rPr>
            </w:pPr>
            <w:r>
              <w:rPr>
                <w:rFonts w:ascii="Calibri" w:hAnsi="Calibri" w:eastAsia="Calibri" w:cs="Calibri"/>
                <w:b w:val="0"/>
                <w:bCs w:val="0"/>
                <w:color w:val="000000" w:themeColor="text1"/>
                <w:sz w:val="16"/>
                <w:szCs w:val="16"/>
                <w:lang w:val="es-ES"/>
              </w:rPr>
              <w:t xml:space="preserve">13 %</w:t>
            </w:r>
            <w:r>
              <w:rPr>
                <w:color w:val="000000" w:themeColor="text1"/>
              </w:rPr>
            </w:r>
          </w:p>
        </w:tc>
        <w:tc>
          <w:tcPr>
            <w:shd w:val="clear" w:color="auto" w:fill="ffffff"/>
            <w:tcBorders/>
            <w:tcMar>
              <w:left w:w="90" w:type="dxa"/>
              <w:top w:w="60" w:type="dxa"/>
              <w:right w:w="90" w:type="dxa"/>
              <w:bottom w:w="60" w:type="dxa"/>
            </w:tcMar>
            <w:tcW w:w="2808"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¿Es proporcional al tamaño real del proyecto? ¿Se comprende con facilidad?</w:t>
            </w:r>
            <w:r>
              <w:rPr>
                <w:color w:val="000000" w:themeColor="text1"/>
              </w:rPr>
            </w:r>
          </w:p>
        </w:tc>
        <w:tc>
          <w:tcPr>
            <w:shd w:val="clear" w:color="auto" w:fill="ffffff"/>
            <w:tcBorders/>
            <w:tcMar>
              <w:left w:w="90" w:type="dxa"/>
              <w:top w:w="60" w:type="dxa"/>
              <w:right w:w="90" w:type="dxa"/>
              <w:bottom w:w="60" w:type="dxa"/>
            </w:tcMar>
            <w:tcW w:w="3089"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P-04 y P-07 son críticas; el equipo carece de operador de infraestructura dedicado.</w:t>
            </w:r>
            <w:r>
              <w:rPr>
                <w:color w:val="000000" w:themeColor="text1"/>
              </w:rPr>
            </w:r>
          </w:p>
        </w:tc>
      </w:tr>
      <w:tr>
        <w:trPr>
          <w:cantSplit w:val="false"/>
        </w:trPr>
        <w:tc>
          <w:tcPr>
            <w:shd w:val="clear" w:color="auto" w:fill="f2f5fa"/>
            <w:tcBorders/>
            <w:tcMar>
              <w:left w:w="90" w:type="dxa"/>
              <w:top w:w="60" w:type="dxa"/>
              <w:right w:w="90" w:type="dxa"/>
              <w:bottom w:w="60" w:type="dxa"/>
            </w:tcMar>
            <w:tcW w:w="655"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C-08</w:t>
            </w:r>
            <w:r>
              <w:rPr>
                <w:color w:val="000000" w:themeColor="text1"/>
              </w:rPr>
            </w:r>
          </w:p>
        </w:tc>
        <w:tc>
          <w:tcPr>
            <w:shd w:val="clear" w:color="auto" w:fill="f2f5fa"/>
            <w:tcBorders/>
            <w:tcMar>
              <w:left w:w="90" w:type="dxa"/>
              <w:top w:w="60" w:type="dxa"/>
              <w:right w:w="90" w:type="dxa"/>
              <w:bottom w:w="60" w:type="dxa"/>
            </w:tcMar>
            <w:tcW w:w="2059"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Interoperabilidad</w:t>
            </w:r>
            <w:r>
              <w:rPr>
                <w:color w:val="000000" w:themeColor="text1"/>
              </w:rPr>
            </w:r>
          </w:p>
        </w:tc>
        <w:tc>
          <w:tcPr>
            <w:shd w:val="clear" w:color="auto" w:fill="f2f5fa"/>
            <w:tcBorders/>
            <w:tcMar>
              <w:left w:w="90" w:type="dxa"/>
              <w:top w:w="60" w:type="dxa"/>
              <w:right w:w="90" w:type="dxa"/>
              <w:bottom w:w="60" w:type="dxa"/>
            </w:tcMar>
            <w:tcW w:w="749" w:type="dxa"/>
            <w:vAlign w:val="center"/>
          </w:tcPr>
          <w:p>
            <w:pPr>
              <w:pBdr/>
              <w:spacing w:after="40" w:before="40" w:line="240" w:lineRule="auto"/>
              <w:ind/>
              <w:jc w:val="center"/>
              <w:rPr>
                <w:color w:val="000000" w:themeColor="text1"/>
              </w:rPr>
            </w:pPr>
            <w:r>
              <w:rPr>
                <w:rFonts w:ascii="Calibri" w:hAnsi="Calibri" w:eastAsia="Calibri" w:cs="Calibri"/>
                <w:b w:val="0"/>
                <w:bCs w:val="0"/>
                <w:color w:val="000000" w:themeColor="text1"/>
                <w:sz w:val="16"/>
                <w:szCs w:val="16"/>
                <w:lang w:val="es-ES"/>
              </w:rPr>
              <w:t xml:space="preserve">8 %</w:t>
            </w:r>
            <w:r>
              <w:rPr>
                <w:color w:val="000000" w:themeColor="text1"/>
              </w:rPr>
            </w:r>
          </w:p>
        </w:tc>
        <w:tc>
          <w:tcPr>
            <w:shd w:val="clear" w:color="auto" w:fill="f2f5fa"/>
            <w:tcBorders/>
            <w:tcMar>
              <w:left w:w="90" w:type="dxa"/>
              <w:top w:w="60" w:type="dxa"/>
              <w:right w:w="90" w:type="dxa"/>
              <w:bottom w:w="60" w:type="dxa"/>
            </w:tcMar>
            <w:tcW w:w="2808"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¿Facilita la integración con WhatsApp Business API y la exportación de datos?</w:t>
            </w:r>
            <w:r>
              <w:rPr>
                <w:color w:val="000000" w:themeColor="text1"/>
              </w:rPr>
            </w:r>
          </w:p>
        </w:tc>
        <w:tc>
          <w:tcPr>
            <w:shd w:val="clear" w:color="auto" w:fill="f2f5fa"/>
            <w:tcBorders/>
            <w:tcMar>
              <w:left w:w="90" w:type="dxa"/>
              <w:top w:w="60" w:type="dxa"/>
              <w:right w:w="90" w:type="dxa"/>
              <w:bottom w:w="60" w:type="dxa"/>
            </w:tcMar>
            <w:tcW w:w="3089"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Importante pero acotada: una sola integración externa obligatoria en el MVP.</w:t>
            </w:r>
            <w:r>
              <w:rPr>
                <w:color w:val="000000" w:themeColor="text1"/>
              </w:rPr>
            </w:r>
          </w:p>
        </w:tc>
      </w:tr>
      <w:tr>
        <w:trPr>
          <w:cantSplit w:val="false"/>
        </w:trPr>
        <w:tc>
          <w:tcPr>
            <w:shd w:val="clear" w:color="auto" w:fill="ffffff"/>
            <w:tcBorders/>
            <w:tcMar>
              <w:left w:w="90" w:type="dxa"/>
              <w:top w:w="60" w:type="dxa"/>
              <w:right w:w="90" w:type="dxa"/>
              <w:bottom w:w="60" w:type="dxa"/>
            </w:tcMar>
            <w:tcW w:w="655"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w:t>
            </w:r>
            <w:r>
              <w:rPr>
                <w:color w:val="000000" w:themeColor="text1"/>
              </w:rPr>
            </w:r>
          </w:p>
        </w:tc>
        <w:tc>
          <w:tcPr>
            <w:shd w:val="clear" w:color="auto" w:fill="ffffff"/>
            <w:tcBorders/>
            <w:tcMar>
              <w:left w:w="90" w:type="dxa"/>
              <w:top w:w="60" w:type="dxa"/>
              <w:right w:w="90" w:type="dxa"/>
              <w:bottom w:w="60" w:type="dxa"/>
            </w:tcMar>
            <w:tcW w:w="2059"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Total</w:t>
            </w:r>
            <w:r>
              <w:rPr>
                <w:color w:val="000000" w:themeColor="text1"/>
              </w:rPr>
            </w:r>
          </w:p>
        </w:tc>
        <w:tc>
          <w:tcPr>
            <w:shd w:val="clear" w:color="auto" w:fill="ffffff"/>
            <w:tcBorders/>
            <w:tcMar>
              <w:left w:w="90" w:type="dxa"/>
              <w:top w:w="60" w:type="dxa"/>
              <w:right w:w="90" w:type="dxa"/>
              <w:bottom w:w="60" w:type="dxa"/>
            </w:tcMar>
            <w:tcW w:w="749" w:type="dxa"/>
            <w:vAlign w:val="center"/>
          </w:tcPr>
          <w:p>
            <w:pPr>
              <w:pBdr/>
              <w:spacing w:after="40" w:before="40" w:line="240" w:lineRule="auto"/>
              <w:ind/>
              <w:jc w:val="center"/>
              <w:rPr>
                <w:color w:val="000000" w:themeColor="text1"/>
              </w:rPr>
            </w:pPr>
            <w:r>
              <w:rPr>
                <w:rFonts w:ascii="Calibri" w:hAnsi="Calibri" w:eastAsia="Calibri" w:cs="Calibri"/>
                <w:b w:val="0"/>
                <w:bCs w:val="0"/>
                <w:color w:val="000000" w:themeColor="text1"/>
                <w:sz w:val="16"/>
                <w:szCs w:val="16"/>
                <w:lang w:val="es-ES"/>
              </w:rPr>
              <w:t xml:space="preserve">100 %</w:t>
            </w:r>
            <w:r>
              <w:rPr>
                <w:color w:val="000000" w:themeColor="text1"/>
              </w:rPr>
            </w:r>
          </w:p>
        </w:tc>
        <w:tc>
          <w:tcPr>
            <w:shd w:val="clear" w:color="auto" w:fill="ffffff"/>
            <w:tcBorders/>
            <w:tcMar>
              <w:left w:w="90" w:type="dxa"/>
              <w:top w:w="60" w:type="dxa"/>
              <w:right w:w="90" w:type="dxa"/>
              <w:bottom w:w="60" w:type="dxa"/>
            </w:tcMar>
            <w:tcW w:w="2808"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bidi="es-ES"/>
              </w:rPr>
            </w:r>
            <w:r>
              <w:rPr>
                <w:color w:val="000000" w:themeColor="text1"/>
              </w:rPr>
            </w:r>
          </w:p>
        </w:tc>
        <w:tc>
          <w:tcPr>
            <w:shd w:val="clear" w:color="auto" w:fill="ffffff"/>
            <w:tcBorders/>
            <w:tcMar>
              <w:left w:w="90" w:type="dxa"/>
              <w:top w:w="60" w:type="dxa"/>
              <w:right w:w="90" w:type="dxa"/>
              <w:bottom w:w="60" w:type="dxa"/>
            </w:tcMar>
            <w:tcW w:w="3089"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bidi="es-ES"/>
              </w:rPr>
            </w:r>
            <w:r>
              <w:rPr>
                <w:color w:val="000000" w:themeColor="text1"/>
              </w:rPr>
            </w:r>
          </w:p>
        </w:tc>
      </w:tr>
    </w:tbl>
    <w:p>
      <w:pPr>
        <w:pBdr/>
        <w:spacing w:after="160"/>
        <w:ind/>
        <w:rPr>
          <w:color w:val="000000" w:themeColor="text1"/>
        </w:rPr>
      </w:pPr>
      <w:r>
        <w:rPr>
          <w:color w:val="000000" w:themeColor="text1"/>
          <w:lang w:val="es-ES" w:bidi="es-ES"/>
        </w:rPr>
      </w:r>
      <w:r>
        <w:rPr>
          <w:color w:val="000000" w:themeColor="text1"/>
        </w:rPr>
      </w:r>
    </w:p>
    <w:p>
      <w:pPr>
        <w:pBdr/>
        <w:spacing w:after="140" w:line="276" w:lineRule="auto"/>
        <w:ind/>
        <w:jc w:val="both"/>
        <w:rPr>
          <w:color w:val="000000" w:themeColor="text1"/>
        </w:rPr>
      </w:pPr>
      <w:r>
        <w:rPr>
          <w:rFonts w:ascii="Calibri" w:hAnsi="Calibri" w:eastAsia="Calibri" w:cs="Calibri"/>
          <w:color w:val="000000" w:themeColor="text1"/>
          <w:sz w:val="21"/>
          <w:szCs w:val="21"/>
          <w:lang w:val="es-ES"/>
        </w:rPr>
        <w:t xml:space="preserve">La suma de los pesos asignados a seguridad, mantenibilidad y costo alcanza el 43 %, frente al 25 % combinado de escalabilidad y rendimiento. Esta distribución es una decisión consciente y discutible: refleja que en un MVP académico con 500 usuarios concurrentes como techo, el riesgo dominante es no terminar o terminar algo inmantenible, no el de saturar la infraestructura. La sección 2.6.5 analiza qué ocurriría si esta apreciación fuese errónea.</w:t>
      </w:r>
      <w:r>
        <w:rPr>
          <w:color w:val="000000" w:themeColor="text1"/>
        </w:rPr>
      </w:r>
    </w:p>
    <w:p>
      <w:pPr>
        <w:pStyle w:val="904"/>
        <w:keepNext w:val="true"/>
        <w:pBdr/>
        <w:spacing w:after="140" w:before="280"/>
        <w:ind/>
        <w:rPr>
          <w:color w:val="000000" w:themeColor="text1"/>
        </w:rPr>
      </w:pPr>
      <w:r/>
      <w:bookmarkStart w:id="20" w:name="_Toc20"/>
      <w:r>
        <w:rPr>
          <w:rFonts w:ascii="Calibri" w:hAnsi="Calibri" w:eastAsia="Calibri" w:cs="Calibri"/>
          <w:b/>
          <w:bCs/>
          <w:color w:val="000000" w:themeColor="text1"/>
          <w:sz w:val="25"/>
          <w:szCs w:val="25"/>
          <w:lang w:val="es-ES"/>
        </w:rPr>
        <w:t xml:space="preserve">2.6 Alternativas de arquitectura evaluadas</w:t>
      </w:r>
      <w:r/>
      <w:bookmarkEnd w:id="20"/>
      <w:r/>
      <w:r>
        <w:rPr>
          <w:color w:val="000000" w:themeColor="text1"/>
        </w:rPr>
      </w:r>
    </w:p>
    <w:p>
      <w:pPr>
        <w:pBdr/>
        <w:spacing w:after="140" w:line="276" w:lineRule="auto"/>
        <w:ind/>
        <w:jc w:val="both"/>
        <w:rPr>
          <w:color w:val="000000" w:themeColor="text1"/>
        </w:rPr>
      </w:pPr>
      <w:r>
        <w:rPr>
          <w:rFonts w:ascii="Calibri" w:hAnsi="Calibri" w:eastAsia="Calibri" w:cs="Calibri"/>
          <w:color w:val="000000" w:themeColor="text1"/>
          <w:sz w:val="21"/>
          <w:szCs w:val="21"/>
          <w:lang w:val="es-ES"/>
        </w:rPr>
        <w:t xml:space="preserve">La plantilla exige evaluar al menos dos o tres alternativas y advierte que nunca debe elegirse sin comparar. El SWEBOK va más lejos y sostiene que documentar todas las alternativas consideradas —y no solo la elegida— junto con las razones del rechazo constituye el activo de mayor valor de una descripción arquitectónica, porque evita repetir errores cuando las condiciones cambien.</w:t>
      </w:r>
      <w:r>
        <w:rPr>
          <w:color w:val="000000" w:themeColor="text1"/>
        </w:rPr>
      </w:r>
    </w:p>
    <w:p>
      <w:pPr>
        <w:pBdr/>
        <w:spacing w:after="140" w:line="276" w:lineRule="auto"/>
        <w:ind/>
        <w:jc w:val="both"/>
        <w:rPr>
          <w:color w:val="000000" w:themeColor="text1"/>
        </w:rPr>
      </w:pPr>
      <w:r>
        <w:rPr>
          <w:rFonts w:ascii="Calibri" w:hAnsi="Calibri" w:eastAsia="Calibri" w:cs="Calibri"/>
          <w:color w:val="000000" w:themeColor="text1"/>
          <w:sz w:val="21"/>
          <w:szCs w:val="21"/>
          <w:lang w:val="es-ES"/>
        </w:rPr>
        <w:t xml:space="preserve">La selección de candidatas partió de la taxonomía del Capítulo 02 del SWEBOK, que documenta alrededor de sesenta arquitecturas agrupadas en ocho categorías. El Anexo E registra el descarte razonado de las categorías completas que no aplican a este dominio. Las tres alternativas retenidas se corresponden con las tres recomendaciones que la guía rápida de la taxonomía ofrece para proyectos de sistemas de información: monolítica en tres capas para proyectos pequeños y MVP; MVC, hexagonal o limpia sobre tres capas para aplicaciones web empresariales medianas; y microservicios con pasarela para escalado masivo con múltiples equipos.</w:t>
      </w:r>
      <w:r>
        <w:rPr>
          <w:color w:val="000000" w:themeColor="text1"/>
        </w:rPr>
      </w:r>
    </w:p>
    <w:p>
      <w:pPr>
        <w:pStyle w:val="905"/>
        <w:keepNext w:val="true"/>
        <w:pBdr/>
        <w:spacing w:after="120" w:before="220"/>
        <w:ind/>
        <w:rPr>
          <w:color w:val="000000" w:themeColor="text1"/>
        </w:rPr>
      </w:pPr>
      <w:r/>
      <w:bookmarkStart w:id="21" w:name="_Toc21"/>
      <w:r>
        <w:rPr>
          <w:rFonts w:ascii="Calibri" w:hAnsi="Calibri" w:eastAsia="Calibri" w:cs="Calibri"/>
          <w:b/>
          <w:bCs/>
          <w:color w:val="000000" w:themeColor="text1"/>
          <w:sz w:val="22"/>
          <w:szCs w:val="22"/>
          <w:lang w:val="es-ES"/>
        </w:rPr>
        <w:t xml:space="preserve">2.6.1 Opción A — Monolito en capas clásico con MVC del lado del servidor</w:t>
      </w:r>
      <w:r/>
      <w:bookmarkEnd w:id="21"/>
      <w:r/>
      <w:r>
        <w:rPr>
          <w:color w:val="000000" w:themeColor="text1"/>
        </w:rPr>
      </w:r>
    </w:p>
    <w:p>
      <w:pPr>
        <w:pBdr/>
        <w:spacing w:after="140" w:line="276" w:lineRule="auto"/>
        <w:ind/>
        <w:jc w:val="both"/>
        <w:rPr>
          <w:color w:val="000000" w:themeColor="text1"/>
        </w:rPr>
      </w:pPr>
      <w:r>
        <w:rPr>
          <w:rFonts w:ascii="Calibri" w:hAnsi="Calibri" w:eastAsia="Calibri" w:cs="Calibri"/>
          <w:color w:val="000000" w:themeColor="text1"/>
          <w:sz w:val="21"/>
          <w:szCs w:val="21"/>
          <w:lang w:val="es-ES"/>
        </w:rPr>
        <w:t xml:space="preserve">Aplicación única que renderiza vistas en el servidor conforme al patrón Modelo-Vista-Controlador, organizada en tres capas horizontales: presentación, lógica de negocio y acceso a datos. Cada capa invoca únicamente a la inmediatamente inferior. Las tareas diferidas se resolverían mediante procesos programados del sistema operativo que ejecutan guiones sobre la misma base de código, y la notificación por WhatsApp se emitiría de forma síncrona dentro de la misma petición que la origina.</w:t>
      </w:r>
      <w:r>
        <w:rPr>
          <w:color w:val="000000" w:themeColor="text1"/>
        </w:rPr>
      </w:r>
    </w:p>
    <w:tbl>
      <w:tblPr>
        <w:tblW w:w="9360" w:type="dxa"/>
        <w:tblBorders>
          <w:top w:val="single" w:color="8ea9db" w:sz="4" w:space="0"/>
          <w:left w:val="single" w:color="8ea9db" w:sz="4" w:space="0"/>
          <w:bottom w:val="single" w:color="8ea9db" w:sz="4" w:space="0"/>
          <w:right w:val="single" w:color="8ea9db" w:sz="4" w:space="0"/>
          <w:insideH w:val="single" w:color="b4c6e7" w:sz="2" w:space="0"/>
          <w:insideV w:val="single" w:color="b4c6e7" w:sz="2" w:space="0"/>
        </w:tblBorders>
        <w:tblLook w:val="04A0" w:firstRow="1" w:lastRow="0" w:firstColumn="1" w:lastColumn="0" w:noHBand="0" w:noVBand="1"/>
      </w:tblPr>
      <w:tblGrid>
        <w:gridCol w:w="4680"/>
        <w:gridCol w:w="4680"/>
      </w:tblGrid>
      <w:tr>
        <w:trPr>
          <w:cantSplit w:val="false"/>
          <w:tblHeader/>
        </w:trPr>
        <w:tc>
          <w:tcPr>
            <w:shd w:val="clear" w:color="auto" w:fill="e2efda"/>
            <w:tcBorders/>
            <w:tcMar>
              <w:left w:w="90" w:type="dxa"/>
              <w:top w:w="60" w:type="dxa"/>
              <w:right w:w="90" w:type="dxa"/>
              <w:bottom w:w="60" w:type="dxa"/>
            </w:tcMar>
            <w:tcW w:w="4680"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7"/>
                <w:szCs w:val="17"/>
                <w:lang w:val="es-ES"/>
              </w:rPr>
              <w:t xml:space="preserve">Ventajas</w:t>
            </w:r>
            <w:r>
              <w:rPr>
                <w:color w:val="000000" w:themeColor="text1"/>
              </w:rPr>
            </w:r>
          </w:p>
        </w:tc>
        <w:tc>
          <w:tcPr>
            <w:shd w:val="clear" w:color="auto" w:fill="e2efda"/>
            <w:tcBorders/>
            <w:tcMar>
              <w:left w:w="90" w:type="dxa"/>
              <w:top w:w="60" w:type="dxa"/>
              <w:right w:w="90" w:type="dxa"/>
              <w:bottom w:w="60" w:type="dxa"/>
            </w:tcMar>
            <w:tcW w:w="4680"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7"/>
                <w:szCs w:val="17"/>
                <w:lang w:val="es-ES"/>
              </w:rPr>
              <w:t xml:space="preserve">Desventajas</w:t>
            </w:r>
            <w:r>
              <w:rPr>
                <w:color w:val="000000" w:themeColor="text1"/>
              </w:rPr>
            </w:r>
          </w:p>
        </w:tc>
      </w:tr>
      <w:tr>
        <w:trPr>
          <w:cantSplit w:val="false"/>
        </w:trPr>
        <w:tc>
          <w:tcPr>
            <w:shd w:val="clear" w:color="auto" w:fill="ffffff"/>
            <w:tcBorders/>
            <w:tcMar>
              <w:left w:w="90" w:type="dxa"/>
              <w:top w:w="60" w:type="dxa"/>
              <w:right w:w="90" w:type="dxa"/>
              <w:bottom w:w="60" w:type="dxa"/>
            </w:tcMar>
            <w:tcW w:w="4680" w:type="dxa"/>
            <w:vAlign w:val="center"/>
          </w:tcPr>
          <w:p>
            <w:pPr>
              <w:pBdr/>
              <w:spacing w:after="40" w:before="40" w:line="240" w:lineRule="auto"/>
              <w:ind/>
              <w:jc w:val="left"/>
              <w:rPr>
                <w:color w:val="000000" w:themeColor="text1"/>
              </w:rPr>
            </w:pPr>
            <w:r>
              <w:rPr>
                <w:rFonts w:ascii="Calibri" w:hAnsi="Calibri" w:eastAsia="Calibri" w:cs="Calibri"/>
                <w:color w:val="000000" w:themeColor="text1"/>
                <w:sz w:val="17"/>
                <w:szCs w:val="17"/>
                <w:lang w:val="es-ES"/>
              </w:rPr>
              <w:t xml:space="preserve">Es la arquitectura más rápida de poner en marcha y la más económica de operar: un único artefacto desplegable.</w:t>
            </w:r>
            <w:r>
              <w:rPr>
                <w:color w:val="000000" w:themeColor="text1"/>
              </w:rPr>
            </w:r>
          </w:p>
        </w:tc>
        <w:tc>
          <w:tcPr>
            <w:shd w:val="clear" w:color="auto" w:fill="ffffff"/>
            <w:tcBorders/>
            <w:tcMar>
              <w:left w:w="90" w:type="dxa"/>
              <w:top w:w="60" w:type="dxa"/>
              <w:right w:w="90" w:type="dxa"/>
              <w:bottom w:w="60" w:type="dxa"/>
            </w:tcMar>
            <w:tcW w:w="4680" w:type="dxa"/>
            <w:vAlign w:val="center"/>
          </w:tcPr>
          <w:p>
            <w:pPr>
              <w:pBdr/>
              <w:spacing w:after="40" w:before="40" w:line="240" w:lineRule="auto"/>
              <w:ind/>
              <w:jc w:val="left"/>
              <w:rPr>
                <w:color w:val="000000" w:themeColor="text1"/>
              </w:rPr>
            </w:pPr>
            <w:r>
              <w:rPr>
                <w:rFonts w:ascii="Calibri" w:hAnsi="Calibri" w:eastAsia="Calibri" w:cs="Calibri"/>
                <w:color w:val="000000" w:themeColor="text1"/>
                <w:sz w:val="17"/>
                <w:szCs w:val="17"/>
                <w:lang w:val="es-ES"/>
              </w:rPr>
              <w:t xml:space="preserve">La capa de negocio depende directamente del acceso a datos, de modo que las reglas no pueden probarse sin base de datos: la cobertura del 80 % exigida por RNF-04 se vuelve costosa.</w:t>
            </w:r>
            <w:r>
              <w:rPr>
                <w:color w:val="000000" w:themeColor="text1"/>
              </w:rPr>
            </w:r>
          </w:p>
        </w:tc>
      </w:tr>
      <w:tr>
        <w:trPr>
          <w:cantSplit w:val="false"/>
        </w:trPr>
        <w:tc>
          <w:tcPr>
            <w:shd w:val="clear" w:color="auto" w:fill="f2f5fa"/>
            <w:tcBorders/>
            <w:tcMar>
              <w:left w:w="90" w:type="dxa"/>
              <w:top w:w="60" w:type="dxa"/>
              <w:right w:w="90" w:type="dxa"/>
              <w:bottom w:w="60" w:type="dxa"/>
            </w:tcMar>
            <w:tcW w:w="4680" w:type="dxa"/>
            <w:vAlign w:val="center"/>
          </w:tcPr>
          <w:p>
            <w:pPr>
              <w:pBdr/>
              <w:spacing w:after="40" w:before="40" w:line="240" w:lineRule="auto"/>
              <w:ind/>
              <w:jc w:val="left"/>
              <w:rPr>
                <w:color w:val="000000" w:themeColor="text1"/>
              </w:rPr>
            </w:pPr>
            <w:r>
              <w:rPr>
                <w:rFonts w:ascii="Calibri" w:hAnsi="Calibri" w:eastAsia="Calibri" w:cs="Calibri"/>
                <w:color w:val="000000" w:themeColor="text1"/>
                <w:sz w:val="17"/>
                <w:szCs w:val="17"/>
                <w:lang w:val="es-ES"/>
              </w:rPr>
              <w:t xml:space="preserve">Curva de aprendizaje mínima; cualquier desarrollador comprende la estructura de inmediato.</w:t>
            </w:r>
            <w:r>
              <w:rPr>
                <w:color w:val="000000" w:themeColor="text1"/>
              </w:rPr>
            </w:r>
          </w:p>
        </w:tc>
        <w:tc>
          <w:tcPr>
            <w:shd w:val="clear" w:color="auto" w:fill="f2f5fa"/>
            <w:tcBorders/>
            <w:tcMar>
              <w:left w:w="90" w:type="dxa"/>
              <w:top w:w="60" w:type="dxa"/>
              <w:right w:w="90" w:type="dxa"/>
              <w:bottom w:w="60" w:type="dxa"/>
            </w:tcMar>
            <w:tcW w:w="4680" w:type="dxa"/>
            <w:vAlign w:val="center"/>
          </w:tcPr>
          <w:p>
            <w:pPr>
              <w:pBdr/>
              <w:spacing w:after="40" w:before="40" w:line="240" w:lineRule="auto"/>
              <w:ind/>
              <w:jc w:val="left"/>
              <w:rPr>
                <w:color w:val="000000" w:themeColor="text1"/>
              </w:rPr>
            </w:pPr>
            <w:r>
              <w:rPr>
                <w:rFonts w:ascii="Calibri" w:hAnsi="Calibri" w:eastAsia="Calibri" w:cs="Calibri"/>
                <w:color w:val="000000" w:themeColor="text1"/>
                <w:sz w:val="17"/>
                <w:szCs w:val="17"/>
                <w:lang w:val="es-ES"/>
              </w:rPr>
              <w:t xml:space="preserve">La notificación síncrona a un tercero acopla el tiempo de respuesta de la plataforma a la latencia de WhatsApp: un incidente externo incumple RNF-01 y degrada la experiencia.</w:t>
            </w:r>
            <w:r>
              <w:rPr>
                <w:color w:val="000000" w:themeColor="text1"/>
              </w:rPr>
            </w:r>
          </w:p>
        </w:tc>
      </w:tr>
      <w:tr>
        <w:trPr>
          <w:cantSplit w:val="false"/>
        </w:trPr>
        <w:tc>
          <w:tcPr>
            <w:shd w:val="clear" w:color="auto" w:fill="ffffff"/>
            <w:tcBorders/>
            <w:tcMar>
              <w:left w:w="90" w:type="dxa"/>
              <w:top w:w="60" w:type="dxa"/>
              <w:right w:w="90" w:type="dxa"/>
              <w:bottom w:w="60" w:type="dxa"/>
            </w:tcMar>
            <w:tcW w:w="4680" w:type="dxa"/>
            <w:vAlign w:val="center"/>
          </w:tcPr>
          <w:p>
            <w:pPr>
              <w:pBdr/>
              <w:spacing w:after="40" w:before="40" w:line="240" w:lineRule="auto"/>
              <w:ind/>
              <w:jc w:val="left"/>
              <w:rPr>
                <w:color w:val="000000" w:themeColor="text1"/>
              </w:rPr>
            </w:pPr>
            <w:r>
              <w:rPr>
                <w:rFonts w:ascii="Calibri" w:hAnsi="Calibri" w:eastAsia="Calibri" w:cs="Calibri"/>
                <w:color w:val="000000" w:themeColor="text1"/>
                <w:sz w:val="17"/>
                <w:szCs w:val="17"/>
                <w:lang w:val="es-ES"/>
              </w:rPr>
              <w:t xml:space="preserve">Rendimiento excelente en el camino simple, porque no existen saltos de red internos.</w:t>
            </w:r>
            <w:r>
              <w:rPr>
                <w:color w:val="000000" w:themeColor="text1"/>
              </w:rPr>
            </w:r>
          </w:p>
        </w:tc>
        <w:tc>
          <w:tcPr>
            <w:shd w:val="clear" w:color="auto" w:fill="ffffff"/>
            <w:tcBorders/>
            <w:tcMar>
              <w:left w:w="90" w:type="dxa"/>
              <w:top w:w="60" w:type="dxa"/>
              <w:right w:w="90" w:type="dxa"/>
              <w:bottom w:w="60" w:type="dxa"/>
            </w:tcMar>
            <w:tcW w:w="4680" w:type="dxa"/>
            <w:vAlign w:val="center"/>
          </w:tcPr>
          <w:p>
            <w:pPr>
              <w:pBdr/>
              <w:spacing w:after="40" w:before="40" w:line="240" w:lineRule="auto"/>
              <w:ind/>
              <w:jc w:val="left"/>
              <w:rPr>
                <w:color w:val="000000" w:themeColor="text1"/>
              </w:rPr>
            </w:pPr>
            <w:r>
              <w:rPr>
                <w:rFonts w:ascii="Calibri" w:hAnsi="Calibri" w:eastAsia="Calibri" w:cs="Calibri"/>
                <w:color w:val="000000" w:themeColor="text1"/>
                <w:sz w:val="17"/>
                <w:szCs w:val="17"/>
                <w:lang w:val="es-ES"/>
              </w:rPr>
              <w:t xml:space="preserve">El renderizado en servidor dificulta cumplir el presupuesto de 2,5 MB y los tiempos sobre 3G exigidos por RNF-01 y P-08.</w:t>
            </w:r>
            <w:r>
              <w:rPr>
                <w:color w:val="000000" w:themeColor="text1"/>
              </w:rPr>
            </w:r>
          </w:p>
        </w:tc>
      </w:tr>
      <w:tr>
        <w:trPr>
          <w:cantSplit w:val="false"/>
        </w:trPr>
        <w:tc>
          <w:tcPr>
            <w:shd w:val="clear" w:color="auto" w:fill="f2f5fa"/>
            <w:tcBorders/>
            <w:tcMar>
              <w:left w:w="90" w:type="dxa"/>
              <w:top w:w="60" w:type="dxa"/>
              <w:right w:w="90" w:type="dxa"/>
              <w:bottom w:w="60" w:type="dxa"/>
            </w:tcMar>
            <w:tcW w:w="4680" w:type="dxa"/>
            <w:vAlign w:val="center"/>
          </w:tcPr>
          <w:p>
            <w:pPr>
              <w:pBdr/>
              <w:spacing w:after="40" w:before="40" w:line="240" w:lineRule="auto"/>
              <w:ind/>
              <w:jc w:val="left"/>
              <w:rPr>
                <w:color w:val="000000" w:themeColor="text1"/>
              </w:rPr>
            </w:pPr>
            <w:r>
              <w:rPr>
                <w:rFonts w:ascii="Calibri" w:hAnsi="Calibri" w:eastAsia="Calibri" w:cs="Calibri"/>
                <w:color w:val="000000" w:themeColor="text1"/>
                <w:sz w:val="17"/>
                <w:szCs w:val="17"/>
                <w:lang w:val="es-ES"/>
              </w:rPr>
              <w:t xml:space="preserve">Transaccionalidad trivial: todo ocurre dentro de una única conexión a la base de datos.</w:t>
            </w:r>
            <w:r>
              <w:rPr>
                <w:color w:val="000000" w:themeColor="text1"/>
              </w:rPr>
            </w:r>
          </w:p>
        </w:tc>
        <w:tc>
          <w:tcPr>
            <w:shd w:val="clear" w:color="auto" w:fill="f2f5fa"/>
            <w:tcBorders/>
            <w:tcMar>
              <w:left w:w="90" w:type="dxa"/>
              <w:top w:w="60" w:type="dxa"/>
              <w:right w:w="90" w:type="dxa"/>
              <w:bottom w:w="60" w:type="dxa"/>
            </w:tcMar>
            <w:tcW w:w="4680" w:type="dxa"/>
            <w:vAlign w:val="center"/>
          </w:tcPr>
          <w:p>
            <w:pPr>
              <w:pBdr/>
              <w:spacing w:after="40" w:before="40" w:line="240" w:lineRule="auto"/>
              <w:ind/>
              <w:jc w:val="left"/>
              <w:rPr>
                <w:color w:val="000000" w:themeColor="text1"/>
              </w:rPr>
            </w:pPr>
            <w:r>
              <w:rPr>
                <w:rFonts w:ascii="Calibri" w:hAnsi="Calibri" w:eastAsia="Calibri" w:cs="Calibri"/>
                <w:color w:val="000000" w:themeColor="text1"/>
                <w:sz w:val="17"/>
                <w:szCs w:val="17"/>
                <w:lang w:val="es-ES"/>
              </w:rPr>
              <w:t xml:space="preserve">La ausencia de fronteras internas explícitas hace previsible la degradación hacia código enmarañado; incorporar pagos o logística obligaría a intervenir módulos existentes.</w:t>
            </w:r>
            <w:r>
              <w:rPr>
                <w:color w:val="000000" w:themeColor="text1"/>
              </w:rPr>
            </w:r>
          </w:p>
        </w:tc>
      </w:tr>
    </w:tbl>
    <w:p>
      <w:pPr>
        <w:pBdr/>
        <w:spacing w:after="160"/>
        <w:ind/>
        <w:rPr>
          <w:color w:val="000000" w:themeColor="text1"/>
        </w:rPr>
      </w:pPr>
      <w:r>
        <w:rPr>
          <w:color w:val="000000" w:themeColor="text1"/>
          <w:lang w:val="es-ES" w:bidi="es-ES"/>
        </w:rPr>
      </w:r>
      <w:r>
        <w:rPr>
          <w:color w:val="000000" w:themeColor="text1"/>
        </w:rPr>
      </w:r>
    </w:p>
    <w:p>
      <w:pPr>
        <w:pStyle w:val="905"/>
        <w:keepNext w:val="true"/>
        <w:pBdr/>
        <w:spacing w:after="120" w:before="220"/>
        <w:ind/>
        <w:rPr>
          <w:color w:val="000000" w:themeColor="text1"/>
        </w:rPr>
      </w:pPr>
      <w:r/>
      <w:bookmarkStart w:id="22" w:name="_Toc22"/>
      <w:r>
        <w:rPr>
          <w:rFonts w:ascii="Calibri" w:hAnsi="Calibri" w:eastAsia="Calibri" w:cs="Calibri"/>
          <w:b/>
          <w:bCs/>
          <w:color w:val="000000" w:themeColor="text1"/>
          <w:sz w:val="22"/>
          <w:szCs w:val="22"/>
          <w:lang w:val="es-ES"/>
        </w:rPr>
        <w:t xml:space="preserve">2.6.2 Opción B — Monolito modular hexagonal con API REST y procesamiento asíncrono</w:t>
      </w:r>
      <w:r/>
      <w:bookmarkEnd w:id="22"/>
      <w:r/>
      <w:r>
        <w:rPr>
          <w:color w:val="000000" w:themeColor="text1"/>
        </w:rPr>
      </w:r>
    </w:p>
    <w:p>
      <w:pPr>
        <w:pBdr/>
        <w:spacing w:after="140" w:line="276" w:lineRule="auto"/>
        <w:ind/>
        <w:jc w:val="both"/>
        <w:rPr>
          <w:color w:val="000000" w:themeColor="text1"/>
        </w:rPr>
      </w:pPr>
      <w:r>
        <w:rPr>
          <w:rFonts w:ascii="Calibri" w:hAnsi="Calibri" w:eastAsia="Calibri" w:cs="Calibri"/>
          <w:color w:val="000000" w:themeColor="text1"/>
          <w:sz w:val="21"/>
          <w:szCs w:val="21"/>
          <w:lang w:val="es-ES"/>
        </w:rPr>
        <w:t xml:space="preserve">Aplicación desplegada como una sola unidad, pero organizada internamente en nueve módulos de dominio con fronteras explícitas, cada uno con su propio esquema lógico de datos y sin acceso directo a las tablas de los demás. La estructura interna sigue el patrón de puertos y adaptadores: el núcleo de dominio no conoce ni la base de datos ni el protocolo HTTP, y se comunica con el exterior a través de interfaces abstractas que los adaptadores implementan.</w:t>
      </w:r>
      <w:r>
        <w:rPr>
          <w:color w:val="000000" w:themeColor="text1"/>
        </w:rPr>
      </w:r>
    </w:p>
    <w:p>
      <w:pPr>
        <w:pBdr/>
        <w:spacing w:after="140" w:line="276" w:lineRule="auto"/>
        <w:ind/>
        <w:jc w:val="both"/>
        <w:rPr>
          <w:color w:val="000000" w:themeColor="text1"/>
        </w:rPr>
      </w:pPr>
      <w:r>
        <w:rPr>
          <w:rFonts w:ascii="Calibri" w:hAnsi="Calibri" w:eastAsia="Calibri" w:cs="Calibri"/>
          <w:color w:val="000000" w:themeColor="text1"/>
          <w:sz w:val="21"/>
          <w:szCs w:val="21"/>
          <w:lang w:val="es-ES"/>
        </w:rPr>
        <w:t xml:space="preserve">Hacia afuera, el sistema expone una API REST documentada con OpenAPI 3.0 que consume una interfaz cliente responsiva. Los efectos que no deben bloquear al usuario —notificaciones, expiraciones, liberaciones de inventario, escalamiento de tickets— se resuelven mediante eventos de dominio publicados a través de una tabla de bandeja de salida transaccional y consumidos por un proceso trabajador independiente.</w:t>
      </w:r>
      <w:r>
        <w:rPr>
          <w:color w:val="000000" w:themeColor="text1"/>
        </w:rPr>
      </w:r>
    </w:p>
    <w:tbl>
      <w:tblPr>
        <w:tblW w:w="9360" w:type="dxa"/>
        <w:tblBorders>
          <w:top w:val="single" w:color="8ea9db" w:sz="4" w:space="0"/>
          <w:left w:val="single" w:color="8ea9db" w:sz="4" w:space="0"/>
          <w:bottom w:val="single" w:color="8ea9db" w:sz="4" w:space="0"/>
          <w:right w:val="single" w:color="8ea9db" w:sz="4" w:space="0"/>
          <w:insideH w:val="single" w:color="b4c6e7" w:sz="2" w:space="0"/>
          <w:insideV w:val="single" w:color="b4c6e7" w:sz="2" w:space="0"/>
        </w:tblBorders>
        <w:tblLook w:val="04A0" w:firstRow="1" w:lastRow="0" w:firstColumn="1" w:lastColumn="0" w:noHBand="0" w:noVBand="1"/>
      </w:tblPr>
      <w:tblGrid>
        <w:gridCol w:w="4680"/>
        <w:gridCol w:w="4680"/>
      </w:tblGrid>
      <w:tr>
        <w:trPr>
          <w:cantSplit w:val="false"/>
          <w:tblHeader/>
        </w:trPr>
        <w:tc>
          <w:tcPr>
            <w:shd w:val="clear" w:color="auto" w:fill="e2efda"/>
            <w:tcBorders/>
            <w:tcMar>
              <w:left w:w="90" w:type="dxa"/>
              <w:top w:w="60" w:type="dxa"/>
              <w:right w:w="90" w:type="dxa"/>
              <w:bottom w:w="60" w:type="dxa"/>
            </w:tcMar>
            <w:tcW w:w="4680"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7"/>
                <w:szCs w:val="17"/>
                <w:lang w:val="es-ES"/>
              </w:rPr>
              <w:t xml:space="preserve">Ventajas</w:t>
            </w:r>
            <w:r>
              <w:rPr>
                <w:color w:val="000000" w:themeColor="text1"/>
              </w:rPr>
            </w:r>
          </w:p>
        </w:tc>
        <w:tc>
          <w:tcPr>
            <w:shd w:val="clear" w:color="auto" w:fill="e2efda"/>
            <w:tcBorders/>
            <w:tcMar>
              <w:left w:w="90" w:type="dxa"/>
              <w:top w:w="60" w:type="dxa"/>
              <w:right w:w="90" w:type="dxa"/>
              <w:bottom w:w="60" w:type="dxa"/>
            </w:tcMar>
            <w:tcW w:w="4680"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7"/>
                <w:szCs w:val="17"/>
                <w:lang w:val="es-ES"/>
              </w:rPr>
              <w:t xml:space="preserve">Desventajas</w:t>
            </w:r>
            <w:r>
              <w:rPr>
                <w:color w:val="000000" w:themeColor="text1"/>
              </w:rPr>
            </w:r>
          </w:p>
        </w:tc>
      </w:tr>
      <w:tr>
        <w:trPr>
          <w:cantSplit w:val="false"/>
        </w:trPr>
        <w:tc>
          <w:tcPr>
            <w:shd w:val="clear" w:color="auto" w:fill="ffffff"/>
            <w:tcBorders/>
            <w:tcMar>
              <w:left w:w="90" w:type="dxa"/>
              <w:top w:w="60" w:type="dxa"/>
              <w:right w:w="90" w:type="dxa"/>
              <w:bottom w:w="60" w:type="dxa"/>
            </w:tcMar>
            <w:tcW w:w="4680" w:type="dxa"/>
            <w:vAlign w:val="center"/>
          </w:tcPr>
          <w:p>
            <w:pPr>
              <w:pBdr/>
              <w:spacing w:after="40" w:before="40" w:line="240" w:lineRule="auto"/>
              <w:ind/>
              <w:jc w:val="left"/>
              <w:rPr>
                <w:color w:val="000000" w:themeColor="text1"/>
              </w:rPr>
            </w:pPr>
            <w:r>
              <w:rPr>
                <w:rFonts w:ascii="Calibri" w:hAnsi="Calibri" w:eastAsia="Calibri" w:cs="Calibri"/>
                <w:color w:val="000000" w:themeColor="text1"/>
                <w:sz w:val="17"/>
                <w:szCs w:val="17"/>
                <w:lang w:val="es-ES"/>
              </w:rPr>
              <w:t xml:space="preserve">El núcleo de dominio se prueba sin base de datos ni servidor web, lo que hace alcanzable el umbral de cobertura del 80 % de RNF-04.</w:t>
            </w:r>
            <w:r>
              <w:rPr>
                <w:color w:val="000000" w:themeColor="text1"/>
              </w:rPr>
            </w:r>
          </w:p>
        </w:tc>
        <w:tc>
          <w:tcPr>
            <w:shd w:val="clear" w:color="auto" w:fill="ffffff"/>
            <w:tcBorders/>
            <w:tcMar>
              <w:left w:w="90" w:type="dxa"/>
              <w:top w:w="60" w:type="dxa"/>
              <w:right w:w="90" w:type="dxa"/>
              <w:bottom w:w="60" w:type="dxa"/>
            </w:tcMar>
            <w:tcW w:w="4680" w:type="dxa"/>
            <w:vAlign w:val="center"/>
          </w:tcPr>
          <w:p>
            <w:pPr>
              <w:pBdr/>
              <w:spacing w:after="40" w:before="40" w:line="240" w:lineRule="auto"/>
              <w:ind/>
              <w:jc w:val="left"/>
              <w:rPr>
                <w:color w:val="000000" w:themeColor="text1"/>
              </w:rPr>
            </w:pPr>
            <w:r>
              <w:rPr>
                <w:rFonts w:ascii="Calibri" w:hAnsi="Calibri" w:eastAsia="Calibri" w:cs="Calibri"/>
                <w:color w:val="000000" w:themeColor="text1"/>
                <w:sz w:val="17"/>
                <w:szCs w:val="17"/>
                <w:lang w:val="es-ES"/>
              </w:rPr>
              <w:t xml:space="preserve">Exige disciplina sostenida: nada impide técnicamente que un módulo consulte las tablas de otro, y solo la convención del equipo lo evita.</w:t>
            </w:r>
            <w:r>
              <w:rPr>
                <w:color w:val="000000" w:themeColor="text1"/>
              </w:rPr>
            </w:r>
          </w:p>
        </w:tc>
      </w:tr>
      <w:tr>
        <w:trPr>
          <w:cantSplit w:val="false"/>
        </w:trPr>
        <w:tc>
          <w:tcPr>
            <w:shd w:val="clear" w:color="auto" w:fill="f2f5fa"/>
            <w:tcBorders/>
            <w:tcMar>
              <w:left w:w="90" w:type="dxa"/>
              <w:top w:w="60" w:type="dxa"/>
              <w:right w:w="90" w:type="dxa"/>
              <w:bottom w:w="60" w:type="dxa"/>
            </w:tcMar>
            <w:tcW w:w="4680" w:type="dxa"/>
            <w:vAlign w:val="center"/>
          </w:tcPr>
          <w:p>
            <w:pPr>
              <w:pBdr/>
              <w:spacing w:after="40" w:before="40" w:line="240" w:lineRule="auto"/>
              <w:ind/>
              <w:jc w:val="left"/>
              <w:rPr>
                <w:color w:val="000000" w:themeColor="text1"/>
              </w:rPr>
            </w:pPr>
            <w:r>
              <w:rPr>
                <w:rFonts w:ascii="Calibri" w:hAnsi="Calibri" w:eastAsia="Calibri" w:cs="Calibri"/>
                <w:color w:val="000000" w:themeColor="text1"/>
                <w:sz w:val="17"/>
                <w:szCs w:val="17"/>
                <w:lang w:val="es-ES"/>
              </w:rPr>
              <w:t xml:space="preserve">Un único artefacto desplegable más un proceso trabajador: costo y complejidad operativa cercanos a los de la opción A.</w:t>
            </w:r>
            <w:r>
              <w:rPr>
                <w:color w:val="000000" w:themeColor="text1"/>
              </w:rPr>
            </w:r>
          </w:p>
        </w:tc>
        <w:tc>
          <w:tcPr>
            <w:shd w:val="clear" w:color="auto" w:fill="f2f5fa"/>
            <w:tcBorders/>
            <w:tcMar>
              <w:left w:w="90" w:type="dxa"/>
              <w:top w:w="60" w:type="dxa"/>
              <w:right w:w="90" w:type="dxa"/>
              <w:bottom w:w="60" w:type="dxa"/>
            </w:tcMar>
            <w:tcW w:w="4680" w:type="dxa"/>
            <w:vAlign w:val="center"/>
          </w:tcPr>
          <w:p>
            <w:pPr>
              <w:pBdr/>
              <w:spacing w:after="40" w:before="40" w:line="240" w:lineRule="auto"/>
              <w:ind/>
              <w:jc w:val="left"/>
              <w:rPr>
                <w:color w:val="000000" w:themeColor="text1"/>
              </w:rPr>
            </w:pPr>
            <w:r>
              <w:rPr>
                <w:rFonts w:ascii="Calibri" w:hAnsi="Calibri" w:eastAsia="Calibri" w:cs="Calibri"/>
                <w:color w:val="000000" w:themeColor="text1"/>
                <w:sz w:val="17"/>
                <w:szCs w:val="17"/>
                <w:lang w:val="es-ES"/>
              </w:rPr>
              <w:t xml:space="preserve">Introduce indirección adicional (puertos, adaptadores, objetos de transferencia) que resulta desproporcionada para los módulos triviales.</w:t>
            </w:r>
            <w:r>
              <w:rPr>
                <w:color w:val="000000" w:themeColor="text1"/>
              </w:rPr>
            </w:r>
          </w:p>
        </w:tc>
      </w:tr>
      <w:tr>
        <w:trPr>
          <w:cantSplit w:val="false"/>
        </w:trPr>
        <w:tc>
          <w:tcPr>
            <w:shd w:val="clear" w:color="auto" w:fill="ffffff"/>
            <w:tcBorders/>
            <w:tcMar>
              <w:left w:w="90" w:type="dxa"/>
              <w:top w:w="60" w:type="dxa"/>
              <w:right w:w="90" w:type="dxa"/>
              <w:bottom w:w="60" w:type="dxa"/>
            </w:tcMar>
            <w:tcW w:w="4680" w:type="dxa"/>
            <w:vAlign w:val="center"/>
          </w:tcPr>
          <w:p>
            <w:pPr>
              <w:pBdr/>
              <w:spacing w:after="40" w:before="40" w:line="240" w:lineRule="auto"/>
              <w:ind/>
              <w:jc w:val="left"/>
              <w:rPr>
                <w:color w:val="000000" w:themeColor="text1"/>
              </w:rPr>
            </w:pPr>
            <w:r>
              <w:rPr>
                <w:rFonts w:ascii="Calibri" w:hAnsi="Calibri" w:eastAsia="Calibri" w:cs="Calibri"/>
                <w:color w:val="000000" w:themeColor="text1"/>
                <w:sz w:val="17"/>
                <w:szCs w:val="17"/>
                <w:lang w:val="es-ES"/>
              </w:rPr>
              <w:t xml:space="preserve">Las instancias de aplicación quedan sin estado, de modo que el escalamiento horizontal exigido por RNF-05 se logra replicándolas tras un balanceador.</w:t>
            </w:r>
            <w:r>
              <w:rPr>
                <w:color w:val="000000" w:themeColor="text1"/>
              </w:rPr>
            </w:r>
          </w:p>
        </w:tc>
        <w:tc>
          <w:tcPr>
            <w:shd w:val="clear" w:color="auto" w:fill="ffffff"/>
            <w:tcBorders/>
            <w:tcMar>
              <w:left w:w="90" w:type="dxa"/>
              <w:top w:w="60" w:type="dxa"/>
              <w:right w:w="90" w:type="dxa"/>
              <w:bottom w:w="60" w:type="dxa"/>
            </w:tcMar>
            <w:tcW w:w="4680" w:type="dxa"/>
            <w:vAlign w:val="center"/>
          </w:tcPr>
          <w:p>
            <w:pPr>
              <w:pBdr/>
              <w:spacing w:after="40" w:before="40" w:line="240" w:lineRule="auto"/>
              <w:ind/>
              <w:jc w:val="left"/>
              <w:rPr>
                <w:color w:val="000000" w:themeColor="text1"/>
              </w:rPr>
            </w:pPr>
            <w:r>
              <w:rPr>
                <w:rFonts w:ascii="Calibri" w:hAnsi="Calibri" w:eastAsia="Calibri" w:cs="Calibri"/>
                <w:color w:val="000000" w:themeColor="text1"/>
                <w:sz w:val="17"/>
                <w:szCs w:val="17"/>
                <w:lang w:val="es-ES"/>
              </w:rPr>
              <w:t xml:space="preserve">El procesamiento asíncrono introduce consistencia eventual en las notificaciones, que debe explicarse al usuario y contemplarse en las pruebas.</w:t>
            </w:r>
            <w:r>
              <w:rPr>
                <w:color w:val="000000" w:themeColor="text1"/>
              </w:rPr>
            </w:r>
          </w:p>
        </w:tc>
      </w:tr>
      <w:tr>
        <w:trPr>
          <w:cantSplit w:val="false"/>
        </w:trPr>
        <w:tc>
          <w:tcPr>
            <w:shd w:val="clear" w:color="auto" w:fill="f2f5fa"/>
            <w:tcBorders/>
            <w:tcMar>
              <w:left w:w="90" w:type="dxa"/>
              <w:top w:w="60" w:type="dxa"/>
              <w:right w:w="90" w:type="dxa"/>
              <w:bottom w:w="60" w:type="dxa"/>
            </w:tcMar>
            <w:tcW w:w="4680" w:type="dxa"/>
            <w:vAlign w:val="center"/>
          </w:tcPr>
          <w:p>
            <w:pPr>
              <w:pBdr/>
              <w:spacing w:after="40" w:before="40" w:line="240" w:lineRule="auto"/>
              <w:ind/>
              <w:jc w:val="left"/>
              <w:rPr>
                <w:color w:val="000000" w:themeColor="text1"/>
              </w:rPr>
            </w:pPr>
            <w:r>
              <w:rPr>
                <w:rFonts w:ascii="Calibri" w:hAnsi="Calibri" w:eastAsia="Calibri" w:cs="Calibri"/>
                <w:color w:val="000000" w:themeColor="text1"/>
                <w:sz w:val="17"/>
                <w:szCs w:val="17"/>
                <w:lang w:val="es-ES"/>
              </w:rPr>
              <w:t xml:space="preserve">El desacople del envío a WhatsApp aísla la latencia y los fallos del tercero, protegiendo RNF-01 y atendiendo P-05.</w:t>
            </w:r>
            <w:r>
              <w:rPr>
                <w:color w:val="000000" w:themeColor="text1"/>
              </w:rPr>
            </w:r>
          </w:p>
        </w:tc>
        <w:tc>
          <w:tcPr>
            <w:shd w:val="clear" w:color="auto" w:fill="f2f5fa"/>
            <w:tcBorders/>
            <w:tcMar>
              <w:left w:w="90" w:type="dxa"/>
              <w:top w:w="60" w:type="dxa"/>
              <w:right w:w="90" w:type="dxa"/>
              <w:bottom w:w="60" w:type="dxa"/>
            </w:tcMar>
            <w:tcW w:w="4680" w:type="dxa"/>
            <w:vAlign w:val="center"/>
          </w:tcPr>
          <w:p>
            <w:pPr>
              <w:pBdr/>
              <w:spacing w:after="40" w:before="40" w:line="240" w:lineRule="auto"/>
              <w:ind/>
              <w:jc w:val="left"/>
              <w:rPr>
                <w:color w:val="000000" w:themeColor="text1"/>
              </w:rPr>
            </w:pPr>
            <w:r>
              <w:rPr>
                <w:rFonts w:ascii="Calibri" w:hAnsi="Calibri" w:eastAsia="Calibri" w:cs="Calibri"/>
                <w:color w:val="000000" w:themeColor="text1"/>
                <w:sz w:val="17"/>
                <w:szCs w:val="17"/>
                <w:lang w:val="es-ES"/>
              </w:rPr>
              <w:t xml:space="preserve">La curva de aprendizaje inicial es mayor que la de un MVC tradicional.</w:t>
            </w:r>
            <w:r>
              <w:rPr>
                <w:color w:val="000000" w:themeColor="text1"/>
              </w:rPr>
            </w:r>
          </w:p>
        </w:tc>
      </w:tr>
      <w:tr>
        <w:trPr>
          <w:cantSplit w:val="false"/>
        </w:trPr>
        <w:tc>
          <w:tcPr>
            <w:shd w:val="clear" w:color="auto" w:fill="ffffff"/>
            <w:tcBorders/>
            <w:tcMar>
              <w:left w:w="90" w:type="dxa"/>
              <w:top w:w="60" w:type="dxa"/>
              <w:right w:w="90" w:type="dxa"/>
              <w:bottom w:w="60" w:type="dxa"/>
            </w:tcMar>
            <w:tcW w:w="4680" w:type="dxa"/>
            <w:vAlign w:val="center"/>
          </w:tcPr>
          <w:p>
            <w:pPr>
              <w:pBdr/>
              <w:spacing w:after="40" w:before="40" w:line="240" w:lineRule="auto"/>
              <w:ind/>
              <w:jc w:val="left"/>
              <w:rPr>
                <w:color w:val="000000" w:themeColor="text1"/>
              </w:rPr>
            </w:pPr>
            <w:r>
              <w:rPr>
                <w:rFonts w:ascii="Calibri" w:hAnsi="Calibri" w:eastAsia="Calibri" w:cs="Calibri"/>
                <w:color w:val="000000" w:themeColor="text1"/>
                <w:sz w:val="17"/>
                <w:szCs w:val="17"/>
                <w:lang w:val="es-ES"/>
              </w:rPr>
              <w:t xml:space="preserve">Las fronteras modulares permiten extraer un módulo como servicio independiente en el futuro sin rediseñar el sistema.</w:t>
            </w:r>
            <w:r>
              <w:rPr>
                <w:color w:val="000000" w:themeColor="text1"/>
              </w:rPr>
            </w:r>
          </w:p>
        </w:tc>
        <w:tc>
          <w:tcPr>
            <w:shd w:val="clear" w:color="auto" w:fill="ffffff"/>
            <w:tcBorders/>
            <w:tcMar>
              <w:left w:w="90" w:type="dxa"/>
              <w:top w:w="60" w:type="dxa"/>
              <w:right w:w="90" w:type="dxa"/>
              <w:bottom w:w="60" w:type="dxa"/>
            </w:tcMar>
            <w:tcW w:w="4680" w:type="dxa"/>
            <w:vAlign w:val="center"/>
          </w:tcPr>
          <w:p>
            <w:pPr>
              <w:pBdr/>
              <w:spacing w:after="40" w:before="40" w:line="240" w:lineRule="auto"/>
              <w:ind/>
              <w:jc w:val="left"/>
              <w:rPr>
                <w:color w:val="000000" w:themeColor="text1"/>
              </w:rPr>
            </w:pPr>
            <w:r>
              <w:rPr>
                <w:rFonts w:ascii="Calibri" w:hAnsi="Calibri" w:eastAsia="Calibri" w:cs="Calibri"/>
                <w:color w:val="000000" w:themeColor="text1"/>
                <w:sz w:val="17"/>
                <w:szCs w:val="17"/>
                <w:lang w:val="es-ES"/>
              </w:rPr>
              <w:t xml:space="preserve">Un fallo grave en un módulo puede afectar al proceso completo, al compartir espacio de ejecución.</w:t>
            </w:r>
            <w:r>
              <w:rPr>
                <w:color w:val="000000" w:themeColor="text1"/>
              </w:rPr>
            </w:r>
          </w:p>
        </w:tc>
      </w:tr>
    </w:tbl>
    <w:p>
      <w:pPr>
        <w:pBdr/>
        <w:spacing w:after="160"/>
        <w:ind/>
        <w:rPr>
          <w:color w:val="000000" w:themeColor="text1"/>
        </w:rPr>
      </w:pPr>
      <w:r>
        <w:rPr>
          <w:color w:val="000000" w:themeColor="text1"/>
          <w:lang w:val="es-ES" w:bidi="es-ES"/>
        </w:rPr>
      </w:r>
      <w:r>
        <w:rPr>
          <w:color w:val="000000" w:themeColor="text1"/>
        </w:rPr>
      </w:r>
    </w:p>
    <w:p>
      <w:pPr>
        <w:pStyle w:val="905"/>
        <w:keepNext w:val="true"/>
        <w:pBdr/>
        <w:spacing w:after="120" w:before="220"/>
        <w:ind/>
        <w:rPr>
          <w:color w:val="000000" w:themeColor="text1"/>
        </w:rPr>
      </w:pPr>
      <w:r/>
      <w:bookmarkStart w:id="23" w:name="_Toc23"/>
      <w:r>
        <w:rPr>
          <w:rFonts w:ascii="Calibri" w:hAnsi="Calibri" w:eastAsia="Calibri" w:cs="Calibri"/>
          <w:b/>
          <w:bCs/>
          <w:color w:val="000000" w:themeColor="text1"/>
          <w:sz w:val="22"/>
          <w:szCs w:val="22"/>
          <w:lang w:val="es-ES"/>
        </w:rPr>
        <w:t xml:space="preserve">2.6.3 Opción C — Microservicios con pasarela de API</w:t>
      </w:r>
      <w:r/>
      <w:bookmarkEnd w:id="23"/>
      <w:r/>
      <w:r>
        <w:rPr>
          <w:color w:val="000000" w:themeColor="text1"/>
        </w:rPr>
      </w:r>
    </w:p>
    <w:p>
      <w:pPr>
        <w:pBdr/>
        <w:spacing w:after="140" w:line="276" w:lineRule="auto"/>
        <w:ind/>
        <w:jc w:val="both"/>
        <w:rPr>
          <w:color w:val="000000" w:themeColor="text1"/>
        </w:rPr>
      </w:pPr>
      <w:r>
        <w:rPr>
          <w:rFonts w:ascii="Calibri" w:hAnsi="Calibri" w:eastAsia="Calibri" w:cs="Calibri"/>
          <w:color w:val="000000" w:themeColor="text1"/>
          <w:sz w:val="21"/>
          <w:szCs w:val="21"/>
          <w:lang w:val="es-ES"/>
        </w:rPr>
        <w:t xml:space="preserve">Descomposición del sistema en servicios autónomos acotados por dominio —usuarios, demandas, ofertas, cotizaciones, chat, notificaciones, reputación, administración— cada uno con su propia base de datos y su propio ciclo de despliegue, coordinados mediante una pasarela de API y comunicados por mensajería asíncrona. Las transacciones que abarcan varios servicios se implementarían con el patrón Saga y sus operaciones de compensación.</w:t>
      </w:r>
      <w:r>
        <w:rPr>
          <w:color w:val="000000" w:themeColor="text1"/>
        </w:rPr>
      </w:r>
    </w:p>
    <w:tbl>
      <w:tblPr>
        <w:tblW w:w="9360" w:type="dxa"/>
        <w:tblBorders>
          <w:top w:val="single" w:color="8ea9db" w:sz="4" w:space="0"/>
          <w:left w:val="single" w:color="8ea9db" w:sz="4" w:space="0"/>
          <w:bottom w:val="single" w:color="8ea9db" w:sz="4" w:space="0"/>
          <w:right w:val="single" w:color="8ea9db" w:sz="4" w:space="0"/>
          <w:insideH w:val="single" w:color="b4c6e7" w:sz="2" w:space="0"/>
          <w:insideV w:val="single" w:color="b4c6e7" w:sz="2" w:space="0"/>
        </w:tblBorders>
        <w:tblLook w:val="04A0" w:firstRow="1" w:lastRow="0" w:firstColumn="1" w:lastColumn="0" w:noHBand="0" w:noVBand="1"/>
      </w:tblPr>
      <w:tblGrid>
        <w:gridCol w:w="4680"/>
        <w:gridCol w:w="4680"/>
      </w:tblGrid>
      <w:tr>
        <w:trPr>
          <w:cantSplit w:val="false"/>
          <w:tblHeader/>
        </w:trPr>
        <w:tc>
          <w:tcPr>
            <w:shd w:val="clear" w:color="auto" w:fill="e2efda"/>
            <w:tcBorders/>
            <w:tcMar>
              <w:left w:w="90" w:type="dxa"/>
              <w:top w:w="60" w:type="dxa"/>
              <w:right w:w="90" w:type="dxa"/>
              <w:bottom w:w="60" w:type="dxa"/>
            </w:tcMar>
            <w:tcW w:w="4680"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7"/>
                <w:szCs w:val="17"/>
                <w:lang w:val="es-ES"/>
              </w:rPr>
              <w:t xml:space="preserve">Ventajas</w:t>
            </w:r>
            <w:r>
              <w:rPr>
                <w:color w:val="000000" w:themeColor="text1"/>
              </w:rPr>
            </w:r>
          </w:p>
        </w:tc>
        <w:tc>
          <w:tcPr>
            <w:shd w:val="clear" w:color="auto" w:fill="e2efda"/>
            <w:tcBorders/>
            <w:tcMar>
              <w:left w:w="90" w:type="dxa"/>
              <w:top w:w="60" w:type="dxa"/>
              <w:right w:w="90" w:type="dxa"/>
              <w:bottom w:w="60" w:type="dxa"/>
            </w:tcMar>
            <w:tcW w:w="4680"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7"/>
                <w:szCs w:val="17"/>
                <w:lang w:val="es-ES"/>
              </w:rPr>
              <w:t xml:space="preserve">Desventajas</w:t>
            </w:r>
            <w:r>
              <w:rPr>
                <w:color w:val="000000" w:themeColor="text1"/>
              </w:rPr>
            </w:r>
          </w:p>
        </w:tc>
      </w:tr>
      <w:tr>
        <w:trPr>
          <w:cantSplit w:val="false"/>
        </w:trPr>
        <w:tc>
          <w:tcPr>
            <w:shd w:val="clear" w:color="auto" w:fill="ffffff"/>
            <w:tcBorders/>
            <w:tcMar>
              <w:left w:w="90" w:type="dxa"/>
              <w:top w:w="60" w:type="dxa"/>
              <w:right w:w="90" w:type="dxa"/>
              <w:bottom w:w="60" w:type="dxa"/>
            </w:tcMar>
            <w:tcW w:w="4680" w:type="dxa"/>
            <w:vAlign w:val="center"/>
          </w:tcPr>
          <w:p>
            <w:pPr>
              <w:pBdr/>
              <w:spacing w:after="40" w:before="40" w:line="240" w:lineRule="auto"/>
              <w:ind/>
              <w:jc w:val="left"/>
              <w:rPr>
                <w:color w:val="000000" w:themeColor="text1"/>
              </w:rPr>
            </w:pPr>
            <w:r>
              <w:rPr>
                <w:rFonts w:ascii="Calibri" w:hAnsi="Calibri" w:eastAsia="Calibri" w:cs="Calibri"/>
                <w:color w:val="000000" w:themeColor="text1"/>
                <w:sz w:val="17"/>
                <w:szCs w:val="17"/>
                <w:lang w:val="es-ES"/>
              </w:rPr>
              <w:t xml:space="preserve">Escalabilidad selectiva: es posible replicar únicamente el servicio de búsqueda o el de notificaciones según la carga real.</w:t>
            </w:r>
            <w:r>
              <w:rPr>
                <w:color w:val="000000" w:themeColor="text1"/>
              </w:rPr>
            </w:r>
          </w:p>
        </w:tc>
        <w:tc>
          <w:tcPr>
            <w:shd w:val="clear" w:color="auto" w:fill="ffffff"/>
            <w:tcBorders/>
            <w:tcMar>
              <w:left w:w="90" w:type="dxa"/>
              <w:top w:w="60" w:type="dxa"/>
              <w:right w:w="90" w:type="dxa"/>
              <w:bottom w:w="60" w:type="dxa"/>
            </w:tcMar>
            <w:tcW w:w="4680" w:type="dxa"/>
            <w:vAlign w:val="center"/>
          </w:tcPr>
          <w:p>
            <w:pPr>
              <w:pBdr/>
              <w:spacing w:after="40" w:before="40" w:line="240" w:lineRule="auto"/>
              <w:ind/>
              <w:jc w:val="left"/>
              <w:rPr>
                <w:color w:val="000000" w:themeColor="text1"/>
              </w:rPr>
            </w:pPr>
            <w:r>
              <w:rPr>
                <w:rFonts w:ascii="Calibri" w:hAnsi="Calibri" w:eastAsia="Calibri" w:cs="Calibri"/>
                <w:color w:val="000000" w:themeColor="text1"/>
                <w:sz w:val="17"/>
                <w:szCs w:val="17"/>
                <w:lang w:val="es-ES"/>
              </w:rPr>
              <w:t xml:space="preserve">Multiplica la complejidad operativa: orquestación de contenedores, descubrimiento de servicios, trazado distribuido y observabilidad, sin operador dedicado.</w:t>
            </w:r>
            <w:r>
              <w:rPr>
                <w:color w:val="000000" w:themeColor="text1"/>
              </w:rPr>
            </w:r>
          </w:p>
        </w:tc>
      </w:tr>
      <w:tr>
        <w:trPr>
          <w:cantSplit w:val="false"/>
        </w:trPr>
        <w:tc>
          <w:tcPr>
            <w:shd w:val="clear" w:color="auto" w:fill="f2f5fa"/>
            <w:tcBorders/>
            <w:tcMar>
              <w:left w:w="90" w:type="dxa"/>
              <w:top w:w="60" w:type="dxa"/>
              <w:right w:w="90" w:type="dxa"/>
              <w:bottom w:w="60" w:type="dxa"/>
            </w:tcMar>
            <w:tcW w:w="4680" w:type="dxa"/>
            <w:vAlign w:val="center"/>
          </w:tcPr>
          <w:p>
            <w:pPr>
              <w:pBdr/>
              <w:spacing w:after="40" w:before="40" w:line="240" w:lineRule="auto"/>
              <w:ind/>
              <w:jc w:val="left"/>
              <w:rPr>
                <w:color w:val="000000" w:themeColor="text1"/>
              </w:rPr>
            </w:pPr>
            <w:r>
              <w:rPr>
                <w:rFonts w:ascii="Calibri" w:hAnsi="Calibri" w:eastAsia="Calibri" w:cs="Calibri"/>
                <w:color w:val="000000" w:themeColor="text1"/>
                <w:sz w:val="17"/>
                <w:szCs w:val="17"/>
                <w:lang w:val="es-ES"/>
              </w:rPr>
              <w:t xml:space="preserve">Aislamiento de fallos: la caída de un servicio no arrastra necesariamente al resto.</w:t>
            </w:r>
            <w:r>
              <w:rPr>
                <w:color w:val="000000" w:themeColor="text1"/>
              </w:rPr>
            </w:r>
          </w:p>
        </w:tc>
        <w:tc>
          <w:tcPr>
            <w:shd w:val="clear" w:color="auto" w:fill="f2f5fa"/>
            <w:tcBorders/>
            <w:tcMar>
              <w:left w:w="90" w:type="dxa"/>
              <w:top w:w="60" w:type="dxa"/>
              <w:right w:w="90" w:type="dxa"/>
              <w:bottom w:w="60" w:type="dxa"/>
            </w:tcMar>
            <w:tcW w:w="4680" w:type="dxa"/>
            <w:vAlign w:val="center"/>
          </w:tcPr>
          <w:p>
            <w:pPr>
              <w:pBdr/>
              <w:spacing w:after="40" w:before="40" w:line="240" w:lineRule="auto"/>
              <w:ind/>
              <w:jc w:val="left"/>
              <w:rPr>
                <w:color w:val="000000" w:themeColor="text1"/>
              </w:rPr>
            </w:pPr>
            <w:r>
              <w:rPr>
                <w:rFonts w:ascii="Calibri" w:hAnsi="Calibri" w:eastAsia="Calibri" w:cs="Calibri"/>
                <w:color w:val="000000" w:themeColor="text1"/>
                <w:sz w:val="17"/>
                <w:szCs w:val="17"/>
                <w:lang w:val="es-ES"/>
              </w:rPr>
              <w:t xml:space="preserve">La consolidación de bloques de demanda (RF-02) y el ciclo de cotización (RF-04) cruzan varios servicios y exigirían Sagas con compensación, aumentando la probabilidad de estados inconsistentes.</w:t>
            </w:r>
            <w:r>
              <w:rPr>
                <w:color w:val="000000" w:themeColor="text1"/>
              </w:rPr>
            </w:r>
          </w:p>
        </w:tc>
      </w:tr>
      <w:tr>
        <w:trPr>
          <w:cantSplit w:val="false"/>
        </w:trPr>
        <w:tc>
          <w:tcPr>
            <w:shd w:val="clear" w:color="auto" w:fill="ffffff"/>
            <w:tcBorders/>
            <w:tcMar>
              <w:left w:w="90" w:type="dxa"/>
              <w:top w:w="60" w:type="dxa"/>
              <w:right w:w="90" w:type="dxa"/>
              <w:bottom w:w="60" w:type="dxa"/>
            </w:tcMar>
            <w:tcW w:w="4680" w:type="dxa"/>
            <w:vAlign w:val="center"/>
          </w:tcPr>
          <w:p>
            <w:pPr>
              <w:pBdr/>
              <w:spacing w:after="40" w:before="40" w:line="240" w:lineRule="auto"/>
              <w:ind/>
              <w:jc w:val="left"/>
              <w:rPr>
                <w:color w:val="000000" w:themeColor="text1"/>
              </w:rPr>
            </w:pPr>
            <w:r>
              <w:rPr>
                <w:rFonts w:ascii="Calibri" w:hAnsi="Calibri" w:eastAsia="Calibri" w:cs="Calibri"/>
                <w:color w:val="000000" w:themeColor="text1"/>
                <w:sz w:val="17"/>
                <w:szCs w:val="17"/>
                <w:lang w:val="es-ES"/>
              </w:rPr>
              <w:t xml:space="preserve">Permite despliegues independientes y equipos autónomos por servicio.</w:t>
            </w:r>
            <w:r>
              <w:rPr>
                <w:color w:val="000000" w:themeColor="text1"/>
              </w:rPr>
            </w:r>
          </w:p>
        </w:tc>
        <w:tc>
          <w:tcPr>
            <w:shd w:val="clear" w:color="auto" w:fill="ffffff"/>
            <w:tcBorders/>
            <w:tcMar>
              <w:left w:w="90" w:type="dxa"/>
              <w:top w:w="60" w:type="dxa"/>
              <w:right w:w="90" w:type="dxa"/>
              <w:bottom w:w="60" w:type="dxa"/>
            </w:tcMar>
            <w:tcW w:w="4680" w:type="dxa"/>
            <w:vAlign w:val="center"/>
          </w:tcPr>
          <w:p>
            <w:pPr>
              <w:pBdr/>
              <w:spacing w:after="40" w:before="40" w:line="240" w:lineRule="auto"/>
              <w:ind/>
              <w:jc w:val="left"/>
              <w:rPr>
                <w:color w:val="000000" w:themeColor="text1"/>
              </w:rPr>
            </w:pPr>
            <w:r>
              <w:rPr>
                <w:rFonts w:ascii="Calibri" w:hAnsi="Calibri" w:eastAsia="Calibri" w:cs="Calibri"/>
                <w:color w:val="000000" w:themeColor="text1"/>
                <w:sz w:val="17"/>
                <w:szCs w:val="17"/>
                <w:lang w:val="es-ES"/>
              </w:rPr>
              <w:t xml:space="preserve">Costo de infraestructura sensiblemente superior: cada servicio requiere su propio almacenamiento y sus propios recursos de ejecución, en conflicto directo con RNF-08.</w:t>
            </w:r>
            <w:r>
              <w:rPr>
                <w:color w:val="000000" w:themeColor="text1"/>
              </w:rPr>
            </w:r>
          </w:p>
        </w:tc>
      </w:tr>
      <w:tr>
        <w:trPr>
          <w:cantSplit w:val="false"/>
        </w:trPr>
        <w:tc>
          <w:tcPr>
            <w:shd w:val="clear" w:color="auto" w:fill="f2f5fa"/>
            <w:tcBorders/>
            <w:tcMar>
              <w:left w:w="90" w:type="dxa"/>
              <w:top w:w="60" w:type="dxa"/>
              <w:right w:w="90" w:type="dxa"/>
              <w:bottom w:w="60" w:type="dxa"/>
            </w:tcMar>
            <w:tcW w:w="4680" w:type="dxa"/>
            <w:vAlign w:val="center"/>
          </w:tcPr>
          <w:p>
            <w:pPr>
              <w:pBdr/>
              <w:spacing w:after="40" w:before="40" w:line="240" w:lineRule="auto"/>
              <w:ind/>
              <w:jc w:val="left"/>
              <w:rPr>
                <w:color w:val="000000" w:themeColor="text1"/>
              </w:rPr>
            </w:pPr>
            <w:r>
              <w:rPr>
                <w:rFonts w:ascii="Calibri" w:hAnsi="Calibri" w:eastAsia="Calibri" w:cs="Calibri"/>
                <w:color w:val="000000" w:themeColor="text1"/>
                <w:sz w:val="17"/>
                <w:szCs w:val="17"/>
                <w:lang w:val="es-ES"/>
              </w:rPr>
              <w:t xml:space="preserve">Fronteras impuestas por la red, imposibles de violar por descuido.</w:t>
            </w:r>
            <w:r>
              <w:rPr>
                <w:color w:val="000000" w:themeColor="text1"/>
              </w:rPr>
            </w:r>
          </w:p>
        </w:tc>
        <w:tc>
          <w:tcPr>
            <w:shd w:val="clear" w:color="auto" w:fill="f2f5fa"/>
            <w:tcBorders/>
            <w:tcMar>
              <w:left w:w="90" w:type="dxa"/>
              <w:top w:w="60" w:type="dxa"/>
              <w:right w:w="90" w:type="dxa"/>
              <w:bottom w:w="60" w:type="dxa"/>
            </w:tcMar>
            <w:tcW w:w="4680" w:type="dxa"/>
            <w:vAlign w:val="center"/>
          </w:tcPr>
          <w:p>
            <w:pPr>
              <w:pBdr/>
              <w:spacing w:after="40" w:before="40" w:line="240" w:lineRule="auto"/>
              <w:ind/>
              <w:jc w:val="left"/>
              <w:rPr>
                <w:color w:val="000000" w:themeColor="text1"/>
              </w:rPr>
            </w:pPr>
            <w:r>
              <w:rPr>
                <w:rFonts w:ascii="Calibri" w:hAnsi="Calibri" w:eastAsia="Calibri" w:cs="Calibri"/>
                <w:color w:val="000000" w:themeColor="text1"/>
                <w:sz w:val="17"/>
                <w:szCs w:val="17"/>
                <w:lang w:val="es-ES"/>
              </w:rPr>
              <w:t xml:space="preserve">La Ley de Conway predice que un equipo de dos personas sin especialización producirá un monolito distribuido; la auditoría transversal exigida por RF-10 se vuelve además notablemente más difícil.</w:t>
            </w:r>
            <w:r>
              <w:rPr>
                <w:color w:val="000000" w:themeColor="text1"/>
              </w:rPr>
            </w:r>
          </w:p>
        </w:tc>
      </w:tr>
    </w:tbl>
    <w:p>
      <w:pPr>
        <w:pBdr/>
        <w:spacing w:after="160"/>
        <w:ind/>
        <w:rPr>
          <w:color w:val="000000" w:themeColor="text1"/>
        </w:rPr>
      </w:pPr>
      <w:r>
        <w:rPr>
          <w:color w:val="000000" w:themeColor="text1"/>
          <w:lang w:val="es-ES" w:bidi="es-ES"/>
        </w:rPr>
      </w:r>
      <w:r>
        <w:rPr>
          <w:color w:val="000000" w:themeColor="text1"/>
        </w:rPr>
      </w:r>
    </w:p>
    <w:p>
      <w:pPr>
        <w:pStyle w:val="905"/>
        <w:keepNext w:val="true"/>
        <w:pBdr/>
        <w:spacing w:after="120" w:before="220"/>
        <w:ind/>
        <w:rPr>
          <w:color w:val="000000" w:themeColor="text1"/>
        </w:rPr>
      </w:pPr>
      <w:r/>
      <w:bookmarkStart w:id="24" w:name="_Toc24"/>
      <w:r>
        <w:rPr>
          <w:rFonts w:ascii="Calibri" w:hAnsi="Calibri" w:eastAsia="Calibri" w:cs="Calibri"/>
          <w:b/>
          <w:bCs/>
          <w:color w:val="000000" w:themeColor="text1"/>
          <w:sz w:val="22"/>
          <w:szCs w:val="22"/>
          <w:lang w:val="es-ES"/>
        </w:rPr>
        <w:t xml:space="preserve">2.6.4 Matriz de evaluación comparativa ponderada</w:t>
      </w:r>
      <w:r/>
      <w:bookmarkEnd w:id="24"/>
      <w:r/>
      <w:r>
        <w:rPr>
          <w:color w:val="000000" w:themeColor="text1"/>
        </w:rPr>
      </w:r>
    </w:p>
    <w:p>
      <w:pPr>
        <w:pBdr/>
        <w:spacing w:after="140" w:line="276" w:lineRule="auto"/>
        <w:ind/>
        <w:jc w:val="both"/>
        <w:rPr>
          <w:color w:val="000000" w:themeColor="text1"/>
        </w:rPr>
      </w:pPr>
      <w:r>
        <w:rPr>
          <w:rFonts w:ascii="Calibri" w:hAnsi="Calibri" w:eastAsia="Calibri" w:cs="Calibri"/>
          <w:color w:val="000000" w:themeColor="text1"/>
          <w:sz w:val="21"/>
          <w:szCs w:val="21"/>
          <w:lang w:val="es-ES"/>
        </w:rPr>
        <w:t xml:space="preserve">Cada alternativa se calificó de 1 a 5 en cada criterio y la calificación se multiplicó por la ponderación establecida en 2.5. La columna de puntuación registra el producto; la fila final acumula el total sobre una escala de 5,00 puntos, con su conversión porcentual.</w:t>
      </w:r>
      <w:r>
        <w:rPr>
          <w:color w:val="000000" w:themeColor="text1"/>
        </w:rPr>
      </w:r>
    </w:p>
    <w:tbl>
      <w:tblPr>
        <w:tblW w:w="9360" w:type="dxa"/>
        <w:tblBorders>
          <w:top w:val="single" w:color="8ea9db" w:sz="4" w:space="0"/>
          <w:left w:val="single" w:color="8ea9db" w:sz="4" w:space="0"/>
          <w:bottom w:val="single" w:color="8ea9db" w:sz="4" w:space="0"/>
          <w:right w:val="single" w:color="8ea9db" w:sz="4" w:space="0"/>
          <w:insideH w:val="single" w:color="b4c6e7" w:sz="2" w:space="0"/>
          <w:insideV w:val="single" w:color="b4c6e7" w:sz="2" w:space="0"/>
        </w:tblBorders>
        <w:tblLook w:val="04A0" w:firstRow="1" w:lastRow="0" w:firstColumn="1" w:lastColumn="0" w:noHBand="0" w:noVBand="1"/>
      </w:tblPr>
      <w:tblGrid>
        <w:gridCol w:w="3315"/>
        <w:gridCol w:w="780"/>
        <w:gridCol w:w="780"/>
        <w:gridCol w:w="975"/>
        <w:gridCol w:w="780"/>
        <w:gridCol w:w="975"/>
        <w:gridCol w:w="780"/>
        <w:gridCol w:w="975"/>
      </w:tblGrid>
      <w:tr>
        <w:trPr>
          <w:cantSplit w:val="false"/>
          <w:tblHeader/>
        </w:trPr>
        <w:tc>
          <w:tcPr>
            <w:shd w:val="clear" w:color="auto" w:fill="d9e2f3"/>
            <w:tcBorders/>
            <w:tcMar>
              <w:left w:w="90" w:type="dxa"/>
              <w:top w:w="60" w:type="dxa"/>
              <w:right w:w="90" w:type="dxa"/>
              <w:bottom w:w="60" w:type="dxa"/>
            </w:tcMar>
            <w:tcW w:w="3315"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Criterio</w:t>
            </w:r>
            <w:r>
              <w:rPr>
                <w:color w:val="000000" w:themeColor="text1"/>
              </w:rPr>
            </w:r>
          </w:p>
        </w:tc>
        <w:tc>
          <w:tcPr>
            <w:shd w:val="clear" w:color="auto" w:fill="d9e2f3"/>
            <w:tcBorders/>
            <w:tcMar>
              <w:left w:w="90" w:type="dxa"/>
              <w:top w:w="60" w:type="dxa"/>
              <w:right w:w="90" w:type="dxa"/>
              <w:bottom w:w="60" w:type="dxa"/>
            </w:tcMar>
            <w:tcW w:w="780" w:type="dxa"/>
            <w:vAlign w:val="center"/>
          </w:tcPr>
          <w:p>
            <w:pPr>
              <w:pBdr/>
              <w:spacing w:after="40" w:before="40" w:line="240" w:lineRule="auto"/>
              <w:ind/>
              <w:jc w:val="center"/>
              <w:rPr>
                <w:color w:val="000000" w:themeColor="text1"/>
              </w:rPr>
            </w:pPr>
            <w:r>
              <w:rPr>
                <w:rFonts w:ascii="Calibri" w:hAnsi="Calibri" w:eastAsia="Calibri" w:cs="Calibri"/>
                <w:b/>
                <w:bCs/>
                <w:color w:val="000000" w:themeColor="text1"/>
                <w:sz w:val="16"/>
                <w:szCs w:val="16"/>
                <w:lang w:val="es-ES"/>
              </w:rPr>
              <w:t xml:space="preserve">Peso</w:t>
            </w:r>
            <w:r>
              <w:rPr>
                <w:color w:val="000000" w:themeColor="text1"/>
              </w:rPr>
            </w:r>
          </w:p>
        </w:tc>
        <w:tc>
          <w:tcPr>
            <w:shd w:val="clear" w:color="auto" w:fill="d9e2f3"/>
            <w:tcBorders/>
            <w:tcMar>
              <w:left w:w="90" w:type="dxa"/>
              <w:top w:w="60" w:type="dxa"/>
              <w:right w:w="90" w:type="dxa"/>
              <w:bottom w:w="60" w:type="dxa"/>
            </w:tcMar>
            <w:tcW w:w="780" w:type="dxa"/>
            <w:vAlign w:val="center"/>
          </w:tcPr>
          <w:p>
            <w:pPr>
              <w:pBdr/>
              <w:spacing w:after="40" w:before="40" w:line="240" w:lineRule="auto"/>
              <w:ind/>
              <w:jc w:val="center"/>
              <w:rPr>
                <w:color w:val="000000" w:themeColor="text1"/>
              </w:rPr>
            </w:pPr>
            <w:r>
              <w:rPr>
                <w:rFonts w:ascii="Calibri" w:hAnsi="Calibri" w:eastAsia="Calibri" w:cs="Calibri"/>
                <w:b/>
                <w:bCs/>
                <w:color w:val="000000" w:themeColor="text1"/>
                <w:sz w:val="16"/>
                <w:szCs w:val="16"/>
                <w:lang w:val="es-ES"/>
              </w:rPr>
              <w:t xml:space="preserve">A: cal.</w:t>
            </w:r>
            <w:r>
              <w:rPr>
                <w:color w:val="000000" w:themeColor="text1"/>
              </w:rPr>
            </w:r>
          </w:p>
        </w:tc>
        <w:tc>
          <w:tcPr>
            <w:shd w:val="clear" w:color="auto" w:fill="d9e2f3"/>
            <w:tcBorders/>
            <w:tcMar>
              <w:left w:w="90" w:type="dxa"/>
              <w:top w:w="60" w:type="dxa"/>
              <w:right w:w="90" w:type="dxa"/>
              <w:bottom w:w="60" w:type="dxa"/>
            </w:tcMar>
            <w:tcW w:w="975" w:type="dxa"/>
            <w:vAlign w:val="center"/>
          </w:tcPr>
          <w:p>
            <w:pPr>
              <w:pBdr/>
              <w:spacing w:after="40" w:before="40" w:line="240" w:lineRule="auto"/>
              <w:ind/>
              <w:jc w:val="center"/>
              <w:rPr>
                <w:color w:val="000000" w:themeColor="text1"/>
              </w:rPr>
            </w:pPr>
            <w:r>
              <w:rPr>
                <w:rFonts w:ascii="Calibri" w:hAnsi="Calibri" w:eastAsia="Calibri" w:cs="Calibri"/>
                <w:b/>
                <w:bCs/>
                <w:color w:val="000000" w:themeColor="text1"/>
                <w:sz w:val="16"/>
                <w:szCs w:val="16"/>
                <w:lang w:val="es-ES"/>
              </w:rPr>
              <w:t xml:space="preserve">A: punt.</w:t>
            </w:r>
            <w:r>
              <w:rPr>
                <w:color w:val="000000" w:themeColor="text1"/>
              </w:rPr>
            </w:r>
          </w:p>
        </w:tc>
        <w:tc>
          <w:tcPr>
            <w:shd w:val="clear" w:color="auto" w:fill="d9e2f3"/>
            <w:tcBorders/>
            <w:tcMar>
              <w:left w:w="90" w:type="dxa"/>
              <w:top w:w="60" w:type="dxa"/>
              <w:right w:w="90" w:type="dxa"/>
              <w:bottom w:w="60" w:type="dxa"/>
            </w:tcMar>
            <w:tcW w:w="780" w:type="dxa"/>
            <w:vAlign w:val="center"/>
          </w:tcPr>
          <w:p>
            <w:pPr>
              <w:pBdr/>
              <w:spacing w:after="40" w:before="40" w:line="240" w:lineRule="auto"/>
              <w:ind/>
              <w:jc w:val="center"/>
              <w:rPr>
                <w:color w:val="000000" w:themeColor="text1"/>
              </w:rPr>
            </w:pPr>
            <w:r>
              <w:rPr>
                <w:rFonts w:ascii="Calibri" w:hAnsi="Calibri" w:eastAsia="Calibri" w:cs="Calibri"/>
                <w:b/>
                <w:bCs/>
                <w:color w:val="000000" w:themeColor="text1"/>
                <w:sz w:val="16"/>
                <w:szCs w:val="16"/>
                <w:lang w:val="es-ES"/>
              </w:rPr>
              <w:t xml:space="preserve">B: cal.</w:t>
            </w:r>
            <w:r>
              <w:rPr>
                <w:color w:val="000000" w:themeColor="text1"/>
              </w:rPr>
            </w:r>
          </w:p>
        </w:tc>
        <w:tc>
          <w:tcPr>
            <w:shd w:val="clear" w:color="auto" w:fill="d9e2f3"/>
            <w:tcBorders/>
            <w:tcMar>
              <w:left w:w="90" w:type="dxa"/>
              <w:top w:w="60" w:type="dxa"/>
              <w:right w:w="90" w:type="dxa"/>
              <w:bottom w:w="60" w:type="dxa"/>
            </w:tcMar>
            <w:tcW w:w="975" w:type="dxa"/>
            <w:vAlign w:val="center"/>
          </w:tcPr>
          <w:p>
            <w:pPr>
              <w:pBdr/>
              <w:spacing w:after="40" w:before="40" w:line="240" w:lineRule="auto"/>
              <w:ind/>
              <w:jc w:val="center"/>
              <w:rPr>
                <w:color w:val="000000" w:themeColor="text1"/>
              </w:rPr>
            </w:pPr>
            <w:r>
              <w:rPr>
                <w:rFonts w:ascii="Calibri" w:hAnsi="Calibri" w:eastAsia="Calibri" w:cs="Calibri"/>
                <w:b/>
                <w:bCs/>
                <w:color w:val="000000" w:themeColor="text1"/>
                <w:sz w:val="16"/>
                <w:szCs w:val="16"/>
                <w:lang w:val="es-ES"/>
              </w:rPr>
              <w:t xml:space="preserve">B: punt.</w:t>
            </w:r>
            <w:r>
              <w:rPr>
                <w:color w:val="000000" w:themeColor="text1"/>
              </w:rPr>
            </w:r>
          </w:p>
        </w:tc>
        <w:tc>
          <w:tcPr>
            <w:shd w:val="clear" w:color="auto" w:fill="d9e2f3"/>
            <w:tcBorders/>
            <w:tcMar>
              <w:left w:w="90" w:type="dxa"/>
              <w:top w:w="60" w:type="dxa"/>
              <w:right w:w="90" w:type="dxa"/>
              <w:bottom w:w="60" w:type="dxa"/>
            </w:tcMar>
            <w:tcW w:w="780" w:type="dxa"/>
            <w:vAlign w:val="center"/>
          </w:tcPr>
          <w:p>
            <w:pPr>
              <w:pBdr/>
              <w:spacing w:after="40" w:before="40" w:line="240" w:lineRule="auto"/>
              <w:ind/>
              <w:jc w:val="center"/>
              <w:rPr>
                <w:color w:val="000000" w:themeColor="text1"/>
              </w:rPr>
            </w:pPr>
            <w:r>
              <w:rPr>
                <w:rFonts w:ascii="Calibri" w:hAnsi="Calibri" w:eastAsia="Calibri" w:cs="Calibri"/>
                <w:b/>
                <w:bCs/>
                <w:color w:val="000000" w:themeColor="text1"/>
                <w:sz w:val="16"/>
                <w:szCs w:val="16"/>
                <w:lang w:val="es-ES"/>
              </w:rPr>
              <w:t xml:space="preserve">C: cal.</w:t>
            </w:r>
            <w:r>
              <w:rPr>
                <w:color w:val="000000" w:themeColor="text1"/>
              </w:rPr>
            </w:r>
          </w:p>
        </w:tc>
        <w:tc>
          <w:tcPr>
            <w:shd w:val="clear" w:color="auto" w:fill="d9e2f3"/>
            <w:tcBorders/>
            <w:tcMar>
              <w:left w:w="90" w:type="dxa"/>
              <w:top w:w="60" w:type="dxa"/>
              <w:right w:w="90" w:type="dxa"/>
              <w:bottom w:w="60" w:type="dxa"/>
            </w:tcMar>
            <w:tcW w:w="975" w:type="dxa"/>
            <w:vAlign w:val="center"/>
          </w:tcPr>
          <w:p>
            <w:pPr>
              <w:pBdr/>
              <w:spacing w:after="40" w:before="40" w:line="240" w:lineRule="auto"/>
              <w:ind/>
              <w:jc w:val="center"/>
              <w:rPr>
                <w:color w:val="000000" w:themeColor="text1"/>
              </w:rPr>
            </w:pPr>
            <w:r>
              <w:rPr>
                <w:rFonts w:ascii="Calibri" w:hAnsi="Calibri" w:eastAsia="Calibri" w:cs="Calibri"/>
                <w:b/>
                <w:bCs/>
                <w:color w:val="000000" w:themeColor="text1"/>
                <w:sz w:val="16"/>
                <w:szCs w:val="16"/>
                <w:lang w:val="es-ES"/>
              </w:rPr>
              <w:t xml:space="preserve">C: punt.</w:t>
            </w:r>
            <w:r>
              <w:rPr>
                <w:color w:val="000000" w:themeColor="text1"/>
              </w:rPr>
            </w:r>
          </w:p>
        </w:tc>
      </w:tr>
      <w:tr>
        <w:trPr>
          <w:cantSplit w:val="false"/>
        </w:trPr>
        <w:tc>
          <w:tcPr>
            <w:shd w:val="clear" w:color="auto" w:fill="ffffff"/>
            <w:tcBorders/>
            <w:tcMar>
              <w:left w:w="90" w:type="dxa"/>
              <w:top w:w="60" w:type="dxa"/>
              <w:right w:w="90" w:type="dxa"/>
              <w:bottom w:w="60" w:type="dxa"/>
            </w:tcMar>
            <w:tcW w:w="3315"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C-01 Separación de responsabilidades</w:t>
            </w:r>
            <w:r>
              <w:rPr>
                <w:color w:val="000000" w:themeColor="text1"/>
              </w:rPr>
            </w:r>
          </w:p>
        </w:tc>
        <w:tc>
          <w:tcPr>
            <w:shd w:val="clear" w:color="auto" w:fill="ffffff"/>
            <w:tcBorders/>
            <w:tcMar>
              <w:left w:w="90" w:type="dxa"/>
              <w:top w:w="60" w:type="dxa"/>
              <w:right w:w="90" w:type="dxa"/>
              <w:bottom w:w="60" w:type="dxa"/>
            </w:tcMar>
            <w:tcW w:w="780" w:type="dxa"/>
            <w:vAlign w:val="center"/>
          </w:tcPr>
          <w:p>
            <w:pPr>
              <w:pBdr/>
              <w:spacing w:after="40" w:before="40" w:line="240" w:lineRule="auto"/>
              <w:ind/>
              <w:jc w:val="center"/>
              <w:rPr>
                <w:color w:val="000000" w:themeColor="text1"/>
              </w:rPr>
            </w:pPr>
            <w:r>
              <w:rPr>
                <w:rFonts w:ascii="Calibri" w:hAnsi="Calibri" w:eastAsia="Calibri" w:cs="Calibri"/>
                <w:b w:val="0"/>
                <w:bCs w:val="0"/>
                <w:color w:val="000000" w:themeColor="text1"/>
                <w:sz w:val="16"/>
                <w:szCs w:val="16"/>
                <w:lang w:val="es-ES"/>
              </w:rPr>
              <w:t xml:space="preserve">12 %</w:t>
            </w:r>
            <w:r>
              <w:rPr>
                <w:color w:val="000000" w:themeColor="text1"/>
              </w:rPr>
            </w:r>
          </w:p>
        </w:tc>
        <w:tc>
          <w:tcPr>
            <w:shd w:val="clear" w:color="auto" w:fill="ffffff"/>
            <w:tcBorders/>
            <w:tcMar>
              <w:left w:w="90" w:type="dxa"/>
              <w:top w:w="60" w:type="dxa"/>
              <w:right w:w="90" w:type="dxa"/>
              <w:bottom w:w="60" w:type="dxa"/>
            </w:tcMar>
            <w:tcW w:w="780" w:type="dxa"/>
            <w:vAlign w:val="center"/>
          </w:tcPr>
          <w:p>
            <w:pPr>
              <w:pBdr/>
              <w:spacing w:after="40" w:before="40" w:line="240" w:lineRule="auto"/>
              <w:ind/>
              <w:jc w:val="center"/>
              <w:rPr>
                <w:color w:val="000000" w:themeColor="text1"/>
              </w:rPr>
            </w:pPr>
            <w:r>
              <w:rPr>
                <w:rFonts w:ascii="Calibri" w:hAnsi="Calibri" w:eastAsia="Calibri" w:cs="Calibri"/>
                <w:b w:val="0"/>
                <w:bCs w:val="0"/>
                <w:color w:val="000000" w:themeColor="text1"/>
                <w:sz w:val="16"/>
                <w:szCs w:val="16"/>
                <w:lang w:val="es-ES"/>
              </w:rPr>
              <w:t xml:space="preserve">3</w:t>
            </w:r>
            <w:r>
              <w:rPr>
                <w:color w:val="000000" w:themeColor="text1"/>
              </w:rPr>
            </w:r>
          </w:p>
        </w:tc>
        <w:tc>
          <w:tcPr>
            <w:shd w:val="clear" w:color="auto" w:fill="ffffff"/>
            <w:tcBorders/>
            <w:tcMar>
              <w:left w:w="90" w:type="dxa"/>
              <w:top w:w="60" w:type="dxa"/>
              <w:right w:w="90" w:type="dxa"/>
              <w:bottom w:w="60" w:type="dxa"/>
            </w:tcMar>
            <w:tcW w:w="975" w:type="dxa"/>
            <w:vAlign w:val="center"/>
          </w:tcPr>
          <w:p>
            <w:pPr>
              <w:pBdr/>
              <w:spacing w:after="40" w:before="40" w:line="240" w:lineRule="auto"/>
              <w:ind/>
              <w:jc w:val="center"/>
              <w:rPr>
                <w:color w:val="000000" w:themeColor="text1"/>
              </w:rPr>
            </w:pPr>
            <w:r>
              <w:rPr>
                <w:rFonts w:ascii="Calibri" w:hAnsi="Calibri" w:eastAsia="Calibri" w:cs="Calibri"/>
                <w:b w:val="0"/>
                <w:bCs w:val="0"/>
                <w:color w:val="000000" w:themeColor="text1"/>
                <w:sz w:val="16"/>
                <w:szCs w:val="16"/>
                <w:lang w:val="es-ES"/>
              </w:rPr>
              <w:t xml:space="preserve">0,36</w:t>
            </w:r>
            <w:r>
              <w:rPr>
                <w:color w:val="000000" w:themeColor="text1"/>
              </w:rPr>
            </w:r>
          </w:p>
        </w:tc>
        <w:tc>
          <w:tcPr>
            <w:shd w:val="clear" w:color="auto" w:fill="ffffff"/>
            <w:tcBorders/>
            <w:tcMar>
              <w:left w:w="90" w:type="dxa"/>
              <w:top w:w="60" w:type="dxa"/>
              <w:right w:w="90" w:type="dxa"/>
              <w:bottom w:w="60" w:type="dxa"/>
            </w:tcMar>
            <w:tcW w:w="780" w:type="dxa"/>
            <w:vAlign w:val="center"/>
          </w:tcPr>
          <w:p>
            <w:pPr>
              <w:pBdr/>
              <w:spacing w:after="40" w:before="40" w:line="240" w:lineRule="auto"/>
              <w:ind/>
              <w:jc w:val="center"/>
              <w:rPr>
                <w:color w:val="000000" w:themeColor="text1"/>
              </w:rPr>
            </w:pPr>
            <w:r>
              <w:rPr>
                <w:rFonts w:ascii="Calibri" w:hAnsi="Calibri" w:eastAsia="Calibri" w:cs="Calibri"/>
                <w:b w:val="0"/>
                <w:bCs w:val="0"/>
                <w:color w:val="000000" w:themeColor="text1"/>
                <w:sz w:val="16"/>
                <w:szCs w:val="16"/>
                <w:lang w:val="es-ES"/>
              </w:rPr>
              <w:t xml:space="preserve">5</w:t>
            </w:r>
            <w:r>
              <w:rPr>
                <w:color w:val="000000" w:themeColor="text1"/>
              </w:rPr>
            </w:r>
          </w:p>
        </w:tc>
        <w:tc>
          <w:tcPr>
            <w:shd w:val="clear" w:color="auto" w:fill="ffffff"/>
            <w:tcBorders/>
            <w:tcMar>
              <w:left w:w="90" w:type="dxa"/>
              <w:top w:w="60" w:type="dxa"/>
              <w:right w:w="90" w:type="dxa"/>
              <w:bottom w:w="60" w:type="dxa"/>
            </w:tcMar>
            <w:tcW w:w="975" w:type="dxa"/>
            <w:vAlign w:val="center"/>
          </w:tcPr>
          <w:p>
            <w:pPr>
              <w:pBdr/>
              <w:spacing w:after="40" w:before="40" w:line="240" w:lineRule="auto"/>
              <w:ind/>
              <w:jc w:val="center"/>
              <w:rPr>
                <w:color w:val="000000" w:themeColor="text1"/>
              </w:rPr>
            </w:pPr>
            <w:r>
              <w:rPr>
                <w:rFonts w:ascii="Calibri" w:hAnsi="Calibri" w:eastAsia="Calibri" w:cs="Calibri"/>
                <w:b w:val="0"/>
                <w:bCs w:val="0"/>
                <w:color w:val="000000" w:themeColor="text1"/>
                <w:sz w:val="16"/>
                <w:szCs w:val="16"/>
                <w:lang w:val="es-ES"/>
              </w:rPr>
              <w:t xml:space="preserve">0,60</w:t>
            </w:r>
            <w:r>
              <w:rPr>
                <w:color w:val="000000" w:themeColor="text1"/>
              </w:rPr>
            </w:r>
          </w:p>
        </w:tc>
        <w:tc>
          <w:tcPr>
            <w:shd w:val="clear" w:color="auto" w:fill="ffffff"/>
            <w:tcBorders/>
            <w:tcMar>
              <w:left w:w="90" w:type="dxa"/>
              <w:top w:w="60" w:type="dxa"/>
              <w:right w:w="90" w:type="dxa"/>
              <w:bottom w:w="60" w:type="dxa"/>
            </w:tcMar>
            <w:tcW w:w="780" w:type="dxa"/>
            <w:vAlign w:val="center"/>
          </w:tcPr>
          <w:p>
            <w:pPr>
              <w:pBdr/>
              <w:spacing w:after="40" w:before="40" w:line="240" w:lineRule="auto"/>
              <w:ind/>
              <w:jc w:val="center"/>
              <w:rPr>
                <w:color w:val="000000" w:themeColor="text1"/>
              </w:rPr>
            </w:pPr>
            <w:r>
              <w:rPr>
                <w:rFonts w:ascii="Calibri" w:hAnsi="Calibri" w:eastAsia="Calibri" w:cs="Calibri"/>
                <w:b w:val="0"/>
                <w:bCs w:val="0"/>
                <w:color w:val="000000" w:themeColor="text1"/>
                <w:sz w:val="16"/>
                <w:szCs w:val="16"/>
                <w:lang w:val="es-ES"/>
              </w:rPr>
              <w:t xml:space="preserve">5</w:t>
            </w:r>
            <w:r>
              <w:rPr>
                <w:color w:val="000000" w:themeColor="text1"/>
              </w:rPr>
            </w:r>
          </w:p>
        </w:tc>
        <w:tc>
          <w:tcPr>
            <w:shd w:val="clear" w:color="auto" w:fill="ffffff"/>
            <w:tcBorders/>
            <w:tcMar>
              <w:left w:w="90" w:type="dxa"/>
              <w:top w:w="60" w:type="dxa"/>
              <w:right w:w="90" w:type="dxa"/>
              <w:bottom w:w="60" w:type="dxa"/>
            </w:tcMar>
            <w:tcW w:w="975" w:type="dxa"/>
            <w:vAlign w:val="center"/>
          </w:tcPr>
          <w:p>
            <w:pPr>
              <w:pBdr/>
              <w:spacing w:after="40" w:before="40" w:line="240" w:lineRule="auto"/>
              <w:ind/>
              <w:jc w:val="center"/>
              <w:rPr>
                <w:color w:val="000000" w:themeColor="text1"/>
              </w:rPr>
            </w:pPr>
            <w:r>
              <w:rPr>
                <w:rFonts w:ascii="Calibri" w:hAnsi="Calibri" w:eastAsia="Calibri" w:cs="Calibri"/>
                <w:b w:val="0"/>
                <w:bCs w:val="0"/>
                <w:color w:val="000000" w:themeColor="text1"/>
                <w:sz w:val="16"/>
                <w:szCs w:val="16"/>
                <w:lang w:val="es-ES"/>
              </w:rPr>
              <w:t xml:space="preserve">0,60</w:t>
            </w:r>
            <w:r>
              <w:rPr>
                <w:color w:val="000000" w:themeColor="text1"/>
              </w:rPr>
            </w:r>
          </w:p>
        </w:tc>
      </w:tr>
      <w:tr>
        <w:trPr>
          <w:cantSplit w:val="false"/>
        </w:trPr>
        <w:tc>
          <w:tcPr>
            <w:shd w:val="clear" w:color="auto" w:fill="f2f5fa"/>
            <w:tcBorders/>
            <w:tcMar>
              <w:left w:w="90" w:type="dxa"/>
              <w:top w:w="60" w:type="dxa"/>
              <w:right w:w="90" w:type="dxa"/>
              <w:bottom w:w="60" w:type="dxa"/>
            </w:tcMar>
            <w:tcW w:w="3315"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C-02 Bajo acoplamiento y alta cohesión</w:t>
            </w:r>
            <w:r>
              <w:rPr>
                <w:color w:val="000000" w:themeColor="text1"/>
              </w:rPr>
            </w:r>
          </w:p>
        </w:tc>
        <w:tc>
          <w:tcPr>
            <w:shd w:val="clear" w:color="auto" w:fill="f2f5fa"/>
            <w:tcBorders/>
            <w:tcMar>
              <w:left w:w="90" w:type="dxa"/>
              <w:top w:w="60" w:type="dxa"/>
              <w:right w:w="90" w:type="dxa"/>
              <w:bottom w:w="60" w:type="dxa"/>
            </w:tcMar>
            <w:tcW w:w="780" w:type="dxa"/>
            <w:vAlign w:val="center"/>
          </w:tcPr>
          <w:p>
            <w:pPr>
              <w:pBdr/>
              <w:spacing w:after="40" w:before="40" w:line="240" w:lineRule="auto"/>
              <w:ind/>
              <w:jc w:val="center"/>
              <w:rPr>
                <w:color w:val="000000" w:themeColor="text1"/>
              </w:rPr>
            </w:pPr>
            <w:r>
              <w:rPr>
                <w:rFonts w:ascii="Calibri" w:hAnsi="Calibri" w:eastAsia="Calibri" w:cs="Calibri"/>
                <w:b w:val="0"/>
                <w:bCs w:val="0"/>
                <w:color w:val="000000" w:themeColor="text1"/>
                <w:sz w:val="16"/>
                <w:szCs w:val="16"/>
                <w:lang w:val="es-ES"/>
              </w:rPr>
              <w:t xml:space="preserve">12 %</w:t>
            </w:r>
            <w:r>
              <w:rPr>
                <w:color w:val="000000" w:themeColor="text1"/>
              </w:rPr>
            </w:r>
          </w:p>
        </w:tc>
        <w:tc>
          <w:tcPr>
            <w:shd w:val="clear" w:color="auto" w:fill="f2f5fa"/>
            <w:tcBorders/>
            <w:tcMar>
              <w:left w:w="90" w:type="dxa"/>
              <w:top w:w="60" w:type="dxa"/>
              <w:right w:w="90" w:type="dxa"/>
              <w:bottom w:w="60" w:type="dxa"/>
            </w:tcMar>
            <w:tcW w:w="780" w:type="dxa"/>
            <w:vAlign w:val="center"/>
          </w:tcPr>
          <w:p>
            <w:pPr>
              <w:pBdr/>
              <w:spacing w:after="40" w:before="40" w:line="240" w:lineRule="auto"/>
              <w:ind/>
              <w:jc w:val="center"/>
              <w:rPr>
                <w:color w:val="000000" w:themeColor="text1"/>
              </w:rPr>
            </w:pPr>
            <w:r>
              <w:rPr>
                <w:rFonts w:ascii="Calibri" w:hAnsi="Calibri" w:eastAsia="Calibri" w:cs="Calibri"/>
                <w:b w:val="0"/>
                <w:bCs w:val="0"/>
                <w:color w:val="000000" w:themeColor="text1"/>
                <w:sz w:val="16"/>
                <w:szCs w:val="16"/>
                <w:lang w:val="es-ES"/>
              </w:rPr>
              <w:t xml:space="preserve">2</w:t>
            </w:r>
            <w:r>
              <w:rPr>
                <w:color w:val="000000" w:themeColor="text1"/>
              </w:rPr>
            </w:r>
          </w:p>
        </w:tc>
        <w:tc>
          <w:tcPr>
            <w:shd w:val="clear" w:color="auto" w:fill="f2f5fa"/>
            <w:tcBorders/>
            <w:tcMar>
              <w:left w:w="90" w:type="dxa"/>
              <w:top w:w="60" w:type="dxa"/>
              <w:right w:w="90" w:type="dxa"/>
              <w:bottom w:w="60" w:type="dxa"/>
            </w:tcMar>
            <w:tcW w:w="975" w:type="dxa"/>
            <w:vAlign w:val="center"/>
          </w:tcPr>
          <w:p>
            <w:pPr>
              <w:pBdr/>
              <w:spacing w:after="40" w:before="40" w:line="240" w:lineRule="auto"/>
              <w:ind/>
              <w:jc w:val="center"/>
              <w:rPr>
                <w:color w:val="000000" w:themeColor="text1"/>
              </w:rPr>
            </w:pPr>
            <w:r>
              <w:rPr>
                <w:rFonts w:ascii="Calibri" w:hAnsi="Calibri" w:eastAsia="Calibri" w:cs="Calibri"/>
                <w:b w:val="0"/>
                <w:bCs w:val="0"/>
                <w:color w:val="000000" w:themeColor="text1"/>
                <w:sz w:val="16"/>
                <w:szCs w:val="16"/>
                <w:lang w:val="es-ES"/>
              </w:rPr>
              <w:t xml:space="preserve">0,24</w:t>
            </w:r>
            <w:r>
              <w:rPr>
                <w:color w:val="000000" w:themeColor="text1"/>
              </w:rPr>
            </w:r>
          </w:p>
        </w:tc>
        <w:tc>
          <w:tcPr>
            <w:shd w:val="clear" w:color="auto" w:fill="f2f5fa"/>
            <w:tcBorders/>
            <w:tcMar>
              <w:left w:w="90" w:type="dxa"/>
              <w:top w:w="60" w:type="dxa"/>
              <w:right w:w="90" w:type="dxa"/>
              <w:bottom w:w="60" w:type="dxa"/>
            </w:tcMar>
            <w:tcW w:w="780" w:type="dxa"/>
            <w:vAlign w:val="center"/>
          </w:tcPr>
          <w:p>
            <w:pPr>
              <w:pBdr/>
              <w:spacing w:after="40" w:before="40" w:line="240" w:lineRule="auto"/>
              <w:ind/>
              <w:jc w:val="center"/>
              <w:rPr>
                <w:color w:val="000000" w:themeColor="text1"/>
              </w:rPr>
            </w:pPr>
            <w:r>
              <w:rPr>
                <w:rFonts w:ascii="Calibri" w:hAnsi="Calibri" w:eastAsia="Calibri" w:cs="Calibri"/>
                <w:b w:val="0"/>
                <w:bCs w:val="0"/>
                <w:color w:val="000000" w:themeColor="text1"/>
                <w:sz w:val="16"/>
                <w:szCs w:val="16"/>
                <w:lang w:val="es-ES"/>
              </w:rPr>
              <w:t xml:space="preserve">4</w:t>
            </w:r>
            <w:r>
              <w:rPr>
                <w:color w:val="000000" w:themeColor="text1"/>
              </w:rPr>
            </w:r>
          </w:p>
        </w:tc>
        <w:tc>
          <w:tcPr>
            <w:shd w:val="clear" w:color="auto" w:fill="f2f5fa"/>
            <w:tcBorders/>
            <w:tcMar>
              <w:left w:w="90" w:type="dxa"/>
              <w:top w:w="60" w:type="dxa"/>
              <w:right w:w="90" w:type="dxa"/>
              <w:bottom w:w="60" w:type="dxa"/>
            </w:tcMar>
            <w:tcW w:w="975" w:type="dxa"/>
            <w:vAlign w:val="center"/>
          </w:tcPr>
          <w:p>
            <w:pPr>
              <w:pBdr/>
              <w:spacing w:after="40" w:before="40" w:line="240" w:lineRule="auto"/>
              <w:ind/>
              <w:jc w:val="center"/>
              <w:rPr>
                <w:color w:val="000000" w:themeColor="text1"/>
              </w:rPr>
            </w:pPr>
            <w:r>
              <w:rPr>
                <w:rFonts w:ascii="Calibri" w:hAnsi="Calibri" w:eastAsia="Calibri" w:cs="Calibri"/>
                <w:b w:val="0"/>
                <w:bCs w:val="0"/>
                <w:color w:val="000000" w:themeColor="text1"/>
                <w:sz w:val="16"/>
                <w:szCs w:val="16"/>
                <w:lang w:val="es-ES"/>
              </w:rPr>
              <w:t xml:space="preserve">0,48</w:t>
            </w:r>
            <w:r>
              <w:rPr>
                <w:color w:val="000000" w:themeColor="text1"/>
              </w:rPr>
            </w:r>
          </w:p>
        </w:tc>
        <w:tc>
          <w:tcPr>
            <w:shd w:val="clear" w:color="auto" w:fill="f2f5fa"/>
            <w:tcBorders/>
            <w:tcMar>
              <w:left w:w="90" w:type="dxa"/>
              <w:top w:w="60" w:type="dxa"/>
              <w:right w:w="90" w:type="dxa"/>
              <w:bottom w:w="60" w:type="dxa"/>
            </w:tcMar>
            <w:tcW w:w="780" w:type="dxa"/>
            <w:vAlign w:val="center"/>
          </w:tcPr>
          <w:p>
            <w:pPr>
              <w:pBdr/>
              <w:spacing w:after="40" w:before="40" w:line="240" w:lineRule="auto"/>
              <w:ind/>
              <w:jc w:val="center"/>
              <w:rPr>
                <w:color w:val="000000" w:themeColor="text1"/>
              </w:rPr>
            </w:pPr>
            <w:r>
              <w:rPr>
                <w:rFonts w:ascii="Calibri" w:hAnsi="Calibri" w:eastAsia="Calibri" w:cs="Calibri"/>
                <w:b w:val="0"/>
                <w:bCs w:val="0"/>
                <w:color w:val="000000" w:themeColor="text1"/>
                <w:sz w:val="16"/>
                <w:szCs w:val="16"/>
                <w:lang w:val="es-ES"/>
              </w:rPr>
              <w:t xml:space="preserve">5</w:t>
            </w:r>
            <w:r>
              <w:rPr>
                <w:color w:val="000000" w:themeColor="text1"/>
              </w:rPr>
            </w:r>
          </w:p>
        </w:tc>
        <w:tc>
          <w:tcPr>
            <w:shd w:val="clear" w:color="auto" w:fill="f2f5fa"/>
            <w:tcBorders/>
            <w:tcMar>
              <w:left w:w="90" w:type="dxa"/>
              <w:top w:w="60" w:type="dxa"/>
              <w:right w:w="90" w:type="dxa"/>
              <w:bottom w:w="60" w:type="dxa"/>
            </w:tcMar>
            <w:tcW w:w="975" w:type="dxa"/>
            <w:vAlign w:val="center"/>
          </w:tcPr>
          <w:p>
            <w:pPr>
              <w:pBdr/>
              <w:spacing w:after="40" w:before="40" w:line="240" w:lineRule="auto"/>
              <w:ind/>
              <w:jc w:val="center"/>
              <w:rPr>
                <w:color w:val="000000" w:themeColor="text1"/>
              </w:rPr>
            </w:pPr>
            <w:r>
              <w:rPr>
                <w:rFonts w:ascii="Calibri" w:hAnsi="Calibri" w:eastAsia="Calibri" w:cs="Calibri"/>
                <w:b w:val="0"/>
                <w:bCs w:val="0"/>
                <w:color w:val="000000" w:themeColor="text1"/>
                <w:sz w:val="16"/>
                <w:szCs w:val="16"/>
                <w:lang w:val="es-ES"/>
              </w:rPr>
              <w:t xml:space="preserve">0,60</w:t>
            </w:r>
            <w:r>
              <w:rPr>
                <w:color w:val="000000" w:themeColor="text1"/>
              </w:rPr>
            </w:r>
          </w:p>
        </w:tc>
      </w:tr>
      <w:tr>
        <w:trPr>
          <w:cantSplit w:val="false"/>
        </w:trPr>
        <w:tc>
          <w:tcPr>
            <w:shd w:val="clear" w:color="auto" w:fill="ffffff"/>
            <w:tcBorders/>
            <w:tcMar>
              <w:left w:w="90" w:type="dxa"/>
              <w:top w:w="60" w:type="dxa"/>
              <w:right w:w="90" w:type="dxa"/>
              <w:bottom w:w="60" w:type="dxa"/>
            </w:tcMar>
            <w:tcW w:w="3315"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C-03 Escalabilidad</w:t>
            </w:r>
            <w:r>
              <w:rPr>
                <w:color w:val="000000" w:themeColor="text1"/>
              </w:rPr>
            </w:r>
          </w:p>
        </w:tc>
        <w:tc>
          <w:tcPr>
            <w:shd w:val="clear" w:color="auto" w:fill="ffffff"/>
            <w:tcBorders/>
            <w:tcMar>
              <w:left w:w="90" w:type="dxa"/>
              <w:top w:w="60" w:type="dxa"/>
              <w:right w:w="90" w:type="dxa"/>
              <w:bottom w:w="60" w:type="dxa"/>
            </w:tcMar>
            <w:tcW w:w="780" w:type="dxa"/>
            <w:vAlign w:val="center"/>
          </w:tcPr>
          <w:p>
            <w:pPr>
              <w:pBdr/>
              <w:spacing w:after="40" w:before="40" w:line="240" w:lineRule="auto"/>
              <w:ind/>
              <w:jc w:val="center"/>
              <w:rPr>
                <w:color w:val="000000" w:themeColor="text1"/>
              </w:rPr>
            </w:pPr>
            <w:r>
              <w:rPr>
                <w:rFonts w:ascii="Calibri" w:hAnsi="Calibri" w:eastAsia="Calibri" w:cs="Calibri"/>
                <w:b w:val="0"/>
                <w:bCs w:val="0"/>
                <w:color w:val="000000" w:themeColor="text1"/>
                <w:sz w:val="16"/>
                <w:szCs w:val="16"/>
                <w:lang w:val="es-ES"/>
              </w:rPr>
              <w:t xml:space="preserve">13 %</w:t>
            </w:r>
            <w:r>
              <w:rPr>
                <w:color w:val="000000" w:themeColor="text1"/>
              </w:rPr>
            </w:r>
          </w:p>
        </w:tc>
        <w:tc>
          <w:tcPr>
            <w:shd w:val="clear" w:color="auto" w:fill="ffffff"/>
            <w:tcBorders/>
            <w:tcMar>
              <w:left w:w="90" w:type="dxa"/>
              <w:top w:w="60" w:type="dxa"/>
              <w:right w:w="90" w:type="dxa"/>
              <w:bottom w:w="60" w:type="dxa"/>
            </w:tcMar>
            <w:tcW w:w="780" w:type="dxa"/>
            <w:vAlign w:val="center"/>
          </w:tcPr>
          <w:p>
            <w:pPr>
              <w:pBdr/>
              <w:spacing w:after="40" w:before="40" w:line="240" w:lineRule="auto"/>
              <w:ind/>
              <w:jc w:val="center"/>
              <w:rPr>
                <w:color w:val="000000" w:themeColor="text1"/>
              </w:rPr>
            </w:pPr>
            <w:r>
              <w:rPr>
                <w:rFonts w:ascii="Calibri" w:hAnsi="Calibri" w:eastAsia="Calibri" w:cs="Calibri"/>
                <w:b w:val="0"/>
                <w:bCs w:val="0"/>
                <w:color w:val="000000" w:themeColor="text1"/>
                <w:sz w:val="16"/>
                <w:szCs w:val="16"/>
                <w:lang w:val="es-ES"/>
              </w:rPr>
              <w:t xml:space="preserve">2</w:t>
            </w:r>
            <w:r>
              <w:rPr>
                <w:color w:val="000000" w:themeColor="text1"/>
              </w:rPr>
            </w:r>
          </w:p>
        </w:tc>
        <w:tc>
          <w:tcPr>
            <w:shd w:val="clear" w:color="auto" w:fill="ffffff"/>
            <w:tcBorders/>
            <w:tcMar>
              <w:left w:w="90" w:type="dxa"/>
              <w:top w:w="60" w:type="dxa"/>
              <w:right w:w="90" w:type="dxa"/>
              <w:bottom w:w="60" w:type="dxa"/>
            </w:tcMar>
            <w:tcW w:w="975" w:type="dxa"/>
            <w:vAlign w:val="center"/>
          </w:tcPr>
          <w:p>
            <w:pPr>
              <w:pBdr/>
              <w:spacing w:after="40" w:before="40" w:line="240" w:lineRule="auto"/>
              <w:ind/>
              <w:jc w:val="center"/>
              <w:rPr>
                <w:color w:val="000000" w:themeColor="text1"/>
              </w:rPr>
            </w:pPr>
            <w:r>
              <w:rPr>
                <w:rFonts w:ascii="Calibri" w:hAnsi="Calibri" w:eastAsia="Calibri" w:cs="Calibri"/>
                <w:b w:val="0"/>
                <w:bCs w:val="0"/>
                <w:color w:val="000000" w:themeColor="text1"/>
                <w:sz w:val="16"/>
                <w:szCs w:val="16"/>
                <w:lang w:val="es-ES"/>
              </w:rPr>
              <w:t xml:space="preserve">0,26</w:t>
            </w:r>
            <w:r>
              <w:rPr>
                <w:color w:val="000000" w:themeColor="text1"/>
              </w:rPr>
            </w:r>
          </w:p>
        </w:tc>
        <w:tc>
          <w:tcPr>
            <w:shd w:val="clear" w:color="auto" w:fill="ffffff"/>
            <w:tcBorders/>
            <w:tcMar>
              <w:left w:w="90" w:type="dxa"/>
              <w:top w:w="60" w:type="dxa"/>
              <w:right w:w="90" w:type="dxa"/>
              <w:bottom w:w="60" w:type="dxa"/>
            </w:tcMar>
            <w:tcW w:w="780" w:type="dxa"/>
            <w:vAlign w:val="center"/>
          </w:tcPr>
          <w:p>
            <w:pPr>
              <w:pBdr/>
              <w:spacing w:after="40" w:before="40" w:line="240" w:lineRule="auto"/>
              <w:ind/>
              <w:jc w:val="center"/>
              <w:rPr>
                <w:color w:val="000000" w:themeColor="text1"/>
              </w:rPr>
            </w:pPr>
            <w:r>
              <w:rPr>
                <w:rFonts w:ascii="Calibri" w:hAnsi="Calibri" w:eastAsia="Calibri" w:cs="Calibri"/>
                <w:b w:val="0"/>
                <w:bCs w:val="0"/>
                <w:color w:val="000000" w:themeColor="text1"/>
                <w:sz w:val="16"/>
                <w:szCs w:val="16"/>
                <w:lang w:val="es-ES"/>
              </w:rPr>
              <w:t xml:space="preserve">4</w:t>
            </w:r>
            <w:r>
              <w:rPr>
                <w:color w:val="000000" w:themeColor="text1"/>
              </w:rPr>
            </w:r>
          </w:p>
        </w:tc>
        <w:tc>
          <w:tcPr>
            <w:shd w:val="clear" w:color="auto" w:fill="ffffff"/>
            <w:tcBorders/>
            <w:tcMar>
              <w:left w:w="90" w:type="dxa"/>
              <w:top w:w="60" w:type="dxa"/>
              <w:right w:w="90" w:type="dxa"/>
              <w:bottom w:w="60" w:type="dxa"/>
            </w:tcMar>
            <w:tcW w:w="975" w:type="dxa"/>
            <w:vAlign w:val="center"/>
          </w:tcPr>
          <w:p>
            <w:pPr>
              <w:pBdr/>
              <w:spacing w:after="40" w:before="40" w:line="240" w:lineRule="auto"/>
              <w:ind/>
              <w:jc w:val="center"/>
              <w:rPr>
                <w:color w:val="000000" w:themeColor="text1"/>
              </w:rPr>
            </w:pPr>
            <w:r>
              <w:rPr>
                <w:rFonts w:ascii="Calibri" w:hAnsi="Calibri" w:eastAsia="Calibri" w:cs="Calibri"/>
                <w:b w:val="0"/>
                <w:bCs w:val="0"/>
                <w:color w:val="000000" w:themeColor="text1"/>
                <w:sz w:val="16"/>
                <w:szCs w:val="16"/>
                <w:lang w:val="es-ES"/>
              </w:rPr>
              <w:t xml:space="preserve">0,52</w:t>
            </w:r>
            <w:r>
              <w:rPr>
                <w:color w:val="000000" w:themeColor="text1"/>
              </w:rPr>
            </w:r>
          </w:p>
        </w:tc>
        <w:tc>
          <w:tcPr>
            <w:shd w:val="clear" w:color="auto" w:fill="ffffff"/>
            <w:tcBorders/>
            <w:tcMar>
              <w:left w:w="90" w:type="dxa"/>
              <w:top w:w="60" w:type="dxa"/>
              <w:right w:w="90" w:type="dxa"/>
              <w:bottom w:w="60" w:type="dxa"/>
            </w:tcMar>
            <w:tcW w:w="780" w:type="dxa"/>
            <w:vAlign w:val="center"/>
          </w:tcPr>
          <w:p>
            <w:pPr>
              <w:pBdr/>
              <w:spacing w:after="40" w:before="40" w:line="240" w:lineRule="auto"/>
              <w:ind/>
              <w:jc w:val="center"/>
              <w:rPr>
                <w:color w:val="000000" w:themeColor="text1"/>
              </w:rPr>
            </w:pPr>
            <w:r>
              <w:rPr>
                <w:rFonts w:ascii="Calibri" w:hAnsi="Calibri" w:eastAsia="Calibri" w:cs="Calibri"/>
                <w:b w:val="0"/>
                <w:bCs w:val="0"/>
                <w:color w:val="000000" w:themeColor="text1"/>
                <w:sz w:val="16"/>
                <w:szCs w:val="16"/>
                <w:lang w:val="es-ES"/>
              </w:rPr>
              <w:t xml:space="preserve">5</w:t>
            </w:r>
            <w:r>
              <w:rPr>
                <w:color w:val="000000" w:themeColor="text1"/>
              </w:rPr>
            </w:r>
          </w:p>
        </w:tc>
        <w:tc>
          <w:tcPr>
            <w:shd w:val="clear" w:color="auto" w:fill="ffffff"/>
            <w:tcBorders/>
            <w:tcMar>
              <w:left w:w="90" w:type="dxa"/>
              <w:top w:w="60" w:type="dxa"/>
              <w:right w:w="90" w:type="dxa"/>
              <w:bottom w:w="60" w:type="dxa"/>
            </w:tcMar>
            <w:tcW w:w="975" w:type="dxa"/>
            <w:vAlign w:val="center"/>
          </w:tcPr>
          <w:p>
            <w:pPr>
              <w:pBdr/>
              <w:spacing w:after="40" w:before="40" w:line="240" w:lineRule="auto"/>
              <w:ind/>
              <w:jc w:val="center"/>
              <w:rPr>
                <w:color w:val="000000" w:themeColor="text1"/>
              </w:rPr>
            </w:pPr>
            <w:r>
              <w:rPr>
                <w:rFonts w:ascii="Calibri" w:hAnsi="Calibri" w:eastAsia="Calibri" w:cs="Calibri"/>
                <w:b w:val="0"/>
                <w:bCs w:val="0"/>
                <w:color w:val="000000" w:themeColor="text1"/>
                <w:sz w:val="16"/>
                <w:szCs w:val="16"/>
                <w:lang w:val="es-ES"/>
              </w:rPr>
              <w:t xml:space="preserve">0,65</w:t>
            </w:r>
            <w:r>
              <w:rPr>
                <w:color w:val="000000" w:themeColor="text1"/>
              </w:rPr>
            </w:r>
          </w:p>
        </w:tc>
      </w:tr>
      <w:tr>
        <w:trPr>
          <w:cantSplit w:val="false"/>
        </w:trPr>
        <w:tc>
          <w:tcPr>
            <w:shd w:val="clear" w:color="auto" w:fill="f2f5fa"/>
            <w:tcBorders/>
            <w:tcMar>
              <w:left w:w="90" w:type="dxa"/>
              <w:top w:w="60" w:type="dxa"/>
              <w:right w:w="90" w:type="dxa"/>
              <w:bottom w:w="60" w:type="dxa"/>
            </w:tcMar>
            <w:tcW w:w="3315"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C-04 Seguridad y cumplimiento</w:t>
            </w:r>
            <w:r>
              <w:rPr>
                <w:color w:val="000000" w:themeColor="text1"/>
              </w:rPr>
            </w:r>
          </w:p>
        </w:tc>
        <w:tc>
          <w:tcPr>
            <w:shd w:val="clear" w:color="auto" w:fill="f2f5fa"/>
            <w:tcBorders/>
            <w:tcMar>
              <w:left w:w="90" w:type="dxa"/>
              <w:top w:w="60" w:type="dxa"/>
              <w:right w:w="90" w:type="dxa"/>
              <w:bottom w:w="60" w:type="dxa"/>
            </w:tcMar>
            <w:tcW w:w="780" w:type="dxa"/>
            <w:vAlign w:val="center"/>
          </w:tcPr>
          <w:p>
            <w:pPr>
              <w:pBdr/>
              <w:spacing w:after="40" w:before="40" w:line="240" w:lineRule="auto"/>
              <w:ind/>
              <w:jc w:val="center"/>
              <w:rPr>
                <w:color w:val="000000" w:themeColor="text1"/>
              </w:rPr>
            </w:pPr>
            <w:r>
              <w:rPr>
                <w:rFonts w:ascii="Calibri" w:hAnsi="Calibri" w:eastAsia="Calibri" w:cs="Calibri"/>
                <w:b w:val="0"/>
                <w:bCs w:val="0"/>
                <w:color w:val="000000" w:themeColor="text1"/>
                <w:sz w:val="16"/>
                <w:szCs w:val="16"/>
                <w:lang w:val="es-ES"/>
              </w:rPr>
              <w:t xml:space="preserve">15 %</w:t>
            </w:r>
            <w:r>
              <w:rPr>
                <w:color w:val="000000" w:themeColor="text1"/>
              </w:rPr>
            </w:r>
          </w:p>
        </w:tc>
        <w:tc>
          <w:tcPr>
            <w:shd w:val="clear" w:color="auto" w:fill="f2f5fa"/>
            <w:tcBorders/>
            <w:tcMar>
              <w:left w:w="90" w:type="dxa"/>
              <w:top w:w="60" w:type="dxa"/>
              <w:right w:w="90" w:type="dxa"/>
              <w:bottom w:w="60" w:type="dxa"/>
            </w:tcMar>
            <w:tcW w:w="780" w:type="dxa"/>
            <w:vAlign w:val="center"/>
          </w:tcPr>
          <w:p>
            <w:pPr>
              <w:pBdr/>
              <w:spacing w:after="40" w:before="40" w:line="240" w:lineRule="auto"/>
              <w:ind/>
              <w:jc w:val="center"/>
              <w:rPr>
                <w:color w:val="000000" w:themeColor="text1"/>
              </w:rPr>
            </w:pPr>
            <w:r>
              <w:rPr>
                <w:rFonts w:ascii="Calibri" w:hAnsi="Calibri" w:eastAsia="Calibri" w:cs="Calibri"/>
                <w:b w:val="0"/>
                <w:bCs w:val="0"/>
                <w:color w:val="000000" w:themeColor="text1"/>
                <w:sz w:val="16"/>
                <w:szCs w:val="16"/>
                <w:lang w:val="es-ES"/>
              </w:rPr>
              <w:t xml:space="preserve">3</w:t>
            </w:r>
            <w:r>
              <w:rPr>
                <w:color w:val="000000" w:themeColor="text1"/>
              </w:rPr>
            </w:r>
          </w:p>
        </w:tc>
        <w:tc>
          <w:tcPr>
            <w:shd w:val="clear" w:color="auto" w:fill="f2f5fa"/>
            <w:tcBorders/>
            <w:tcMar>
              <w:left w:w="90" w:type="dxa"/>
              <w:top w:w="60" w:type="dxa"/>
              <w:right w:w="90" w:type="dxa"/>
              <w:bottom w:w="60" w:type="dxa"/>
            </w:tcMar>
            <w:tcW w:w="975" w:type="dxa"/>
            <w:vAlign w:val="center"/>
          </w:tcPr>
          <w:p>
            <w:pPr>
              <w:pBdr/>
              <w:spacing w:after="40" w:before="40" w:line="240" w:lineRule="auto"/>
              <w:ind/>
              <w:jc w:val="center"/>
              <w:rPr>
                <w:color w:val="000000" w:themeColor="text1"/>
              </w:rPr>
            </w:pPr>
            <w:r>
              <w:rPr>
                <w:rFonts w:ascii="Calibri" w:hAnsi="Calibri" w:eastAsia="Calibri" w:cs="Calibri"/>
                <w:b w:val="0"/>
                <w:bCs w:val="0"/>
                <w:color w:val="000000" w:themeColor="text1"/>
                <w:sz w:val="16"/>
                <w:szCs w:val="16"/>
                <w:lang w:val="es-ES"/>
              </w:rPr>
              <w:t xml:space="preserve">0,45</w:t>
            </w:r>
            <w:r>
              <w:rPr>
                <w:color w:val="000000" w:themeColor="text1"/>
              </w:rPr>
            </w:r>
          </w:p>
        </w:tc>
        <w:tc>
          <w:tcPr>
            <w:shd w:val="clear" w:color="auto" w:fill="f2f5fa"/>
            <w:tcBorders/>
            <w:tcMar>
              <w:left w:w="90" w:type="dxa"/>
              <w:top w:w="60" w:type="dxa"/>
              <w:right w:w="90" w:type="dxa"/>
              <w:bottom w:w="60" w:type="dxa"/>
            </w:tcMar>
            <w:tcW w:w="780" w:type="dxa"/>
            <w:vAlign w:val="center"/>
          </w:tcPr>
          <w:p>
            <w:pPr>
              <w:pBdr/>
              <w:spacing w:after="40" w:before="40" w:line="240" w:lineRule="auto"/>
              <w:ind/>
              <w:jc w:val="center"/>
              <w:rPr>
                <w:color w:val="000000" w:themeColor="text1"/>
              </w:rPr>
            </w:pPr>
            <w:r>
              <w:rPr>
                <w:rFonts w:ascii="Calibri" w:hAnsi="Calibri" w:eastAsia="Calibri" w:cs="Calibri"/>
                <w:b w:val="0"/>
                <w:bCs w:val="0"/>
                <w:color w:val="000000" w:themeColor="text1"/>
                <w:sz w:val="16"/>
                <w:szCs w:val="16"/>
                <w:lang w:val="es-ES"/>
              </w:rPr>
              <w:t xml:space="preserve">4</w:t>
            </w:r>
            <w:r>
              <w:rPr>
                <w:color w:val="000000" w:themeColor="text1"/>
              </w:rPr>
            </w:r>
          </w:p>
        </w:tc>
        <w:tc>
          <w:tcPr>
            <w:shd w:val="clear" w:color="auto" w:fill="f2f5fa"/>
            <w:tcBorders/>
            <w:tcMar>
              <w:left w:w="90" w:type="dxa"/>
              <w:top w:w="60" w:type="dxa"/>
              <w:right w:w="90" w:type="dxa"/>
              <w:bottom w:w="60" w:type="dxa"/>
            </w:tcMar>
            <w:tcW w:w="975" w:type="dxa"/>
            <w:vAlign w:val="center"/>
          </w:tcPr>
          <w:p>
            <w:pPr>
              <w:pBdr/>
              <w:spacing w:after="40" w:before="40" w:line="240" w:lineRule="auto"/>
              <w:ind/>
              <w:jc w:val="center"/>
              <w:rPr>
                <w:color w:val="000000" w:themeColor="text1"/>
              </w:rPr>
            </w:pPr>
            <w:r>
              <w:rPr>
                <w:rFonts w:ascii="Calibri" w:hAnsi="Calibri" w:eastAsia="Calibri" w:cs="Calibri"/>
                <w:b w:val="0"/>
                <w:bCs w:val="0"/>
                <w:color w:val="000000" w:themeColor="text1"/>
                <w:sz w:val="16"/>
                <w:szCs w:val="16"/>
                <w:lang w:val="es-ES"/>
              </w:rPr>
              <w:t xml:space="preserve">0,60</w:t>
            </w:r>
            <w:r>
              <w:rPr>
                <w:color w:val="000000" w:themeColor="text1"/>
              </w:rPr>
            </w:r>
          </w:p>
        </w:tc>
        <w:tc>
          <w:tcPr>
            <w:shd w:val="clear" w:color="auto" w:fill="f2f5fa"/>
            <w:tcBorders/>
            <w:tcMar>
              <w:left w:w="90" w:type="dxa"/>
              <w:top w:w="60" w:type="dxa"/>
              <w:right w:w="90" w:type="dxa"/>
              <w:bottom w:w="60" w:type="dxa"/>
            </w:tcMar>
            <w:tcW w:w="780" w:type="dxa"/>
            <w:vAlign w:val="center"/>
          </w:tcPr>
          <w:p>
            <w:pPr>
              <w:pBdr/>
              <w:spacing w:after="40" w:before="40" w:line="240" w:lineRule="auto"/>
              <w:ind/>
              <w:jc w:val="center"/>
              <w:rPr>
                <w:color w:val="000000" w:themeColor="text1"/>
              </w:rPr>
            </w:pPr>
            <w:r>
              <w:rPr>
                <w:rFonts w:ascii="Calibri" w:hAnsi="Calibri" w:eastAsia="Calibri" w:cs="Calibri"/>
                <w:b w:val="0"/>
                <w:bCs w:val="0"/>
                <w:color w:val="000000" w:themeColor="text1"/>
                <w:sz w:val="16"/>
                <w:szCs w:val="16"/>
                <w:lang w:val="es-ES"/>
              </w:rPr>
              <w:t xml:space="preserve">3</w:t>
            </w:r>
            <w:r>
              <w:rPr>
                <w:color w:val="000000" w:themeColor="text1"/>
              </w:rPr>
            </w:r>
          </w:p>
        </w:tc>
        <w:tc>
          <w:tcPr>
            <w:shd w:val="clear" w:color="auto" w:fill="f2f5fa"/>
            <w:tcBorders/>
            <w:tcMar>
              <w:left w:w="90" w:type="dxa"/>
              <w:top w:w="60" w:type="dxa"/>
              <w:right w:w="90" w:type="dxa"/>
              <w:bottom w:w="60" w:type="dxa"/>
            </w:tcMar>
            <w:tcW w:w="975" w:type="dxa"/>
            <w:vAlign w:val="center"/>
          </w:tcPr>
          <w:p>
            <w:pPr>
              <w:pBdr/>
              <w:spacing w:after="40" w:before="40" w:line="240" w:lineRule="auto"/>
              <w:ind/>
              <w:jc w:val="center"/>
              <w:rPr>
                <w:color w:val="000000" w:themeColor="text1"/>
              </w:rPr>
            </w:pPr>
            <w:r>
              <w:rPr>
                <w:rFonts w:ascii="Calibri" w:hAnsi="Calibri" w:eastAsia="Calibri" w:cs="Calibri"/>
                <w:b w:val="0"/>
                <w:bCs w:val="0"/>
                <w:color w:val="000000" w:themeColor="text1"/>
                <w:sz w:val="16"/>
                <w:szCs w:val="16"/>
                <w:lang w:val="es-ES"/>
              </w:rPr>
              <w:t xml:space="preserve">0,45</w:t>
            </w:r>
            <w:r>
              <w:rPr>
                <w:color w:val="000000" w:themeColor="text1"/>
              </w:rPr>
            </w:r>
          </w:p>
        </w:tc>
      </w:tr>
      <w:tr>
        <w:trPr>
          <w:cantSplit w:val="false"/>
        </w:trPr>
        <w:tc>
          <w:tcPr>
            <w:shd w:val="clear" w:color="auto" w:fill="ffffff"/>
            <w:tcBorders/>
            <w:tcMar>
              <w:left w:w="90" w:type="dxa"/>
              <w:top w:w="60" w:type="dxa"/>
              <w:right w:w="90" w:type="dxa"/>
              <w:bottom w:w="60" w:type="dxa"/>
            </w:tcMar>
            <w:tcW w:w="3315"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C-05 Mantenibilidad y capacidad de pruebas</w:t>
            </w:r>
            <w:r>
              <w:rPr>
                <w:color w:val="000000" w:themeColor="text1"/>
              </w:rPr>
            </w:r>
          </w:p>
        </w:tc>
        <w:tc>
          <w:tcPr>
            <w:shd w:val="clear" w:color="auto" w:fill="ffffff"/>
            <w:tcBorders/>
            <w:tcMar>
              <w:left w:w="90" w:type="dxa"/>
              <w:top w:w="60" w:type="dxa"/>
              <w:right w:w="90" w:type="dxa"/>
              <w:bottom w:w="60" w:type="dxa"/>
            </w:tcMar>
            <w:tcW w:w="780" w:type="dxa"/>
            <w:vAlign w:val="center"/>
          </w:tcPr>
          <w:p>
            <w:pPr>
              <w:pBdr/>
              <w:spacing w:after="40" w:before="40" w:line="240" w:lineRule="auto"/>
              <w:ind/>
              <w:jc w:val="center"/>
              <w:rPr>
                <w:color w:val="000000" w:themeColor="text1"/>
              </w:rPr>
            </w:pPr>
            <w:r>
              <w:rPr>
                <w:rFonts w:ascii="Calibri" w:hAnsi="Calibri" w:eastAsia="Calibri" w:cs="Calibri"/>
                <w:b w:val="0"/>
                <w:bCs w:val="0"/>
                <w:color w:val="000000" w:themeColor="text1"/>
                <w:sz w:val="16"/>
                <w:szCs w:val="16"/>
                <w:lang w:val="es-ES"/>
              </w:rPr>
              <w:t xml:space="preserve">15 %</w:t>
            </w:r>
            <w:r>
              <w:rPr>
                <w:color w:val="000000" w:themeColor="text1"/>
              </w:rPr>
            </w:r>
          </w:p>
        </w:tc>
        <w:tc>
          <w:tcPr>
            <w:shd w:val="clear" w:color="auto" w:fill="ffffff"/>
            <w:tcBorders/>
            <w:tcMar>
              <w:left w:w="90" w:type="dxa"/>
              <w:top w:w="60" w:type="dxa"/>
              <w:right w:w="90" w:type="dxa"/>
              <w:bottom w:w="60" w:type="dxa"/>
            </w:tcMar>
            <w:tcW w:w="780" w:type="dxa"/>
            <w:vAlign w:val="center"/>
          </w:tcPr>
          <w:p>
            <w:pPr>
              <w:pBdr/>
              <w:spacing w:after="40" w:before="40" w:line="240" w:lineRule="auto"/>
              <w:ind/>
              <w:jc w:val="center"/>
              <w:rPr>
                <w:color w:val="000000" w:themeColor="text1"/>
              </w:rPr>
            </w:pPr>
            <w:r>
              <w:rPr>
                <w:rFonts w:ascii="Calibri" w:hAnsi="Calibri" w:eastAsia="Calibri" w:cs="Calibri"/>
                <w:b w:val="0"/>
                <w:bCs w:val="0"/>
                <w:color w:val="000000" w:themeColor="text1"/>
                <w:sz w:val="16"/>
                <w:szCs w:val="16"/>
                <w:lang w:val="es-ES"/>
              </w:rPr>
              <w:t xml:space="preserve">2</w:t>
            </w:r>
            <w:r>
              <w:rPr>
                <w:color w:val="000000" w:themeColor="text1"/>
              </w:rPr>
            </w:r>
          </w:p>
        </w:tc>
        <w:tc>
          <w:tcPr>
            <w:shd w:val="clear" w:color="auto" w:fill="ffffff"/>
            <w:tcBorders/>
            <w:tcMar>
              <w:left w:w="90" w:type="dxa"/>
              <w:top w:w="60" w:type="dxa"/>
              <w:right w:w="90" w:type="dxa"/>
              <w:bottom w:w="60" w:type="dxa"/>
            </w:tcMar>
            <w:tcW w:w="975" w:type="dxa"/>
            <w:vAlign w:val="center"/>
          </w:tcPr>
          <w:p>
            <w:pPr>
              <w:pBdr/>
              <w:spacing w:after="40" w:before="40" w:line="240" w:lineRule="auto"/>
              <w:ind/>
              <w:jc w:val="center"/>
              <w:rPr>
                <w:color w:val="000000" w:themeColor="text1"/>
              </w:rPr>
            </w:pPr>
            <w:r>
              <w:rPr>
                <w:rFonts w:ascii="Calibri" w:hAnsi="Calibri" w:eastAsia="Calibri" w:cs="Calibri"/>
                <w:b w:val="0"/>
                <w:bCs w:val="0"/>
                <w:color w:val="000000" w:themeColor="text1"/>
                <w:sz w:val="16"/>
                <w:szCs w:val="16"/>
                <w:lang w:val="es-ES"/>
              </w:rPr>
              <w:t xml:space="preserve">0,30</w:t>
            </w:r>
            <w:r>
              <w:rPr>
                <w:color w:val="000000" w:themeColor="text1"/>
              </w:rPr>
            </w:r>
          </w:p>
        </w:tc>
        <w:tc>
          <w:tcPr>
            <w:shd w:val="clear" w:color="auto" w:fill="ffffff"/>
            <w:tcBorders/>
            <w:tcMar>
              <w:left w:w="90" w:type="dxa"/>
              <w:top w:w="60" w:type="dxa"/>
              <w:right w:w="90" w:type="dxa"/>
              <w:bottom w:w="60" w:type="dxa"/>
            </w:tcMar>
            <w:tcW w:w="780" w:type="dxa"/>
            <w:vAlign w:val="center"/>
          </w:tcPr>
          <w:p>
            <w:pPr>
              <w:pBdr/>
              <w:spacing w:after="40" w:before="40" w:line="240" w:lineRule="auto"/>
              <w:ind/>
              <w:jc w:val="center"/>
              <w:rPr>
                <w:color w:val="000000" w:themeColor="text1"/>
              </w:rPr>
            </w:pPr>
            <w:r>
              <w:rPr>
                <w:rFonts w:ascii="Calibri" w:hAnsi="Calibri" w:eastAsia="Calibri" w:cs="Calibri"/>
                <w:b w:val="0"/>
                <w:bCs w:val="0"/>
                <w:color w:val="000000" w:themeColor="text1"/>
                <w:sz w:val="16"/>
                <w:szCs w:val="16"/>
                <w:lang w:val="es-ES"/>
              </w:rPr>
              <w:t xml:space="preserve">5</w:t>
            </w:r>
            <w:r>
              <w:rPr>
                <w:color w:val="000000" w:themeColor="text1"/>
              </w:rPr>
            </w:r>
          </w:p>
        </w:tc>
        <w:tc>
          <w:tcPr>
            <w:shd w:val="clear" w:color="auto" w:fill="ffffff"/>
            <w:tcBorders/>
            <w:tcMar>
              <w:left w:w="90" w:type="dxa"/>
              <w:top w:w="60" w:type="dxa"/>
              <w:right w:w="90" w:type="dxa"/>
              <w:bottom w:w="60" w:type="dxa"/>
            </w:tcMar>
            <w:tcW w:w="975" w:type="dxa"/>
            <w:vAlign w:val="center"/>
          </w:tcPr>
          <w:p>
            <w:pPr>
              <w:pBdr/>
              <w:spacing w:after="40" w:before="40" w:line="240" w:lineRule="auto"/>
              <w:ind/>
              <w:jc w:val="center"/>
              <w:rPr>
                <w:color w:val="000000" w:themeColor="text1"/>
              </w:rPr>
            </w:pPr>
            <w:r>
              <w:rPr>
                <w:rFonts w:ascii="Calibri" w:hAnsi="Calibri" w:eastAsia="Calibri" w:cs="Calibri"/>
                <w:b w:val="0"/>
                <w:bCs w:val="0"/>
                <w:color w:val="000000" w:themeColor="text1"/>
                <w:sz w:val="16"/>
                <w:szCs w:val="16"/>
                <w:lang w:val="es-ES"/>
              </w:rPr>
              <w:t xml:space="preserve">0,75</w:t>
            </w:r>
            <w:r>
              <w:rPr>
                <w:color w:val="000000" w:themeColor="text1"/>
              </w:rPr>
            </w:r>
          </w:p>
        </w:tc>
        <w:tc>
          <w:tcPr>
            <w:shd w:val="clear" w:color="auto" w:fill="ffffff"/>
            <w:tcBorders/>
            <w:tcMar>
              <w:left w:w="90" w:type="dxa"/>
              <w:top w:w="60" w:type="dxa"/>
              <w:right w:w="90" w:type="dxa"/>
              <w:bottom w:w="60" w:type="dxa"/>
            </w:tcMar>
            <w:tcW w:w="780" w:type="dxa"/>
            <w:vAlign w:val="center"/>
          </w:tcPr>
          <w:p>
            <w:pPr>
              <w:pBdr/>
              <w:spacing w:after="40" w:before="40" w:line="240" w:lineRule="auto"/>
              <w:ind/>
              <w:jc w:val="center"/>
              <w:rPr>
                <w:color w:val="000000" w:themeColor="text1"/>
              </w:rPr>
            </w:pPr>
            <w:r>
              <w:rPr>
                <w:rFonts w:ascii="Calibri" w:hAnsi="Calibri" w:eastAsia="Calibri" w:cs="Calibri"/>
                <w:b w:val="0"/>
                <w:bCs w:val="0"/>
                <w:color w:val="000000" w:themeColor="text1"/>
                <w:sz w:val="16"/>
                <w:szCs w:val="16"/>
                <w:lang w:val="es-ES"/>
              </w:rPr>
              <w:t xml:space="preserve">3</w:t>
            </w:r>
            <w:r>
              <w:rPr>
                <w:color w:val="000000" w:themeColor="text1"/>
              </w:rPr>
            </w:r>
          </w:p>
        </w:tc>
        <w:tc>
          <w:tcPr>
            <w:shd w:val="clear" w:color="auto" w:fill="ffffff"/>
            <w:tcBorders/>
            <w:tcMar>
              <w:left w:w="90" w:type="dxa"/>
              <w:top w:w="60" w:type="dxa"/>
              <w:right w:w="90" w:type="dxa"/>
              <w:bottom w:w="60" w:type="dxa"/>
            </w:tcMar>
            <w:tcW w:w="975" w:type="dxa"/>
            <w:vAlign w:val="center"/>
          </w:tcPr>
          <w:p>
            <w:pPr>
              <w:pBdr/>
              <w:spacing w:after="40" w:before="40" w:line="240" w:lineRule="auto"/>
              <w:ind/>
              <w:jc w:val="center"/>
              <w:rPr>
                <w:color w:val="000000" w:themeColor="text1"/>
              </w:rPr>
            </w:pPr>
            <w:r>
              <w:rPr>
                <w:rFonts w:ascii="Calibri" w:hAnsi="Calibri" w:eastAsia="Calibri" w:cs="Calibri"/>
                <w:b w:val="0"/>
                <w:bCs w:val="0"/>
                <w:color w:val="000000" w:themeColor="text1"/>
                <w:sz w:val="16"/>
                <w:szCs w:val="16"/>
                <w:lang w:val="es-ES"/>
              </w:rPr>
              <w:t xml:space="preserve">0,45</w:t>
            </w:r>
            <w:r>
              <w:rPr>
                <w:color w:val="000000" w:themeColor="text1"/>
              </w:rPr>
            </w:r>
          </w:p>
        </w:tc>
      </w:tr>
      <w:tr>
        <w:trPr>
          <w:cantSplit w:val="false"/>
        </w:trPr>
        <w:tc>
          <w:tcPr>
            <w:shd w:val="clear" w:color="auto" w:fill="f2f5fa"/>
            <w:tcBorders/>
            <w:tcMar>
              <w:left w:w="90" w:type="dxa"/>
              <w:top w:w="60" w:type="dxa"/>
              <w:right w:w="90" w:type="dxa"/>
              <w:bottom w:w="60" w:type="dxa"/>
            </w:tcMar>
            <w:tcW w:w="3315"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C-06 Rendimiento esperado</w:t>
            </w:r>
            <w:r>
              <w:rPr>
                <w:color w:val="000000" w:themeColor="text1"/>
              </w:rPr>
            </w:r>
          </w:p>
        </w:tc>
        <w:tc>
          <w:tcPr>
            <w:shd w:val="clear" w:color="auto" w:fill="f2f5fa"/>
            <w:tcBorders/>
            <w:tcMar>
              <w:left w:w="90" w:type="dxa"/>
              <w:top w:w="60" w:type="dxa"/>
              <w:right w:w="90" w:type="dxa"/>
              <w:bottom w:w="60" w:type="dxa"/>
            </w:tcMar>
            <w:tcW w:w="780" w:type="dxa"/>
            <w:vAlign w:val="center"/>
          </w:tcPr>
          <w:p>
            <w:pPr>
              <w:pBdr/>
              <w:spacing w:after="40" w:before="40" w:line="240" w:lineRule="auto"/>
              <w:ind/>
              <w:jc w:val="center"/>
              <w:rPr>
                <w:color w:val="000000" w:themeColor="text1"/>
              </w:rPr>
            </w:pPr>
            <w:r>
              <w:rPr>
                <w:rFonts w:ascii="Calibri" w:hAnsi="Calibri" w:eastAsia="Calibri" w:cs="Calibri"/>
                <w:b w:val="0"/>
                <w:bCs w:val="0"/>
                <w:color w:val="000000" w:themeColor="text1"/>
                <w:sz w:val="16"/>
                <w:szCs w:val="16"/>
                <w:lang w:val="es-ES"/>
              </w:rPr>
              <w:t xml:space="preserve">12 %</w:t>
            </w:r>
            <w:r>
              <w:rPr>
                <w:color w:val="000000" w:themeColor="text1"/>
              </w:rPr>
            </w:r>
          </w:p>
        </w:tc>
        <w:tc>
          <w:tcPr>
            <w:shd w:val="clear" w:color="auto" w:fill="f2f5fa"/>
            <w:tcBorders/>
            <w:tcMar>
              <w:left w:w="90" w:type="dxa"/>
              <w:top w:w="60" w:type="dxa"/>
              <w:right w:w="90" w:type="dxa"/>
              <w:bottom w:w="60" w:type="dxa"/>
            </w:tcMar>
            <w:tcW w:w="780" w:type="dxa"/>
            <w:vAlign w:val="center"/>
          </w:tcPr>
          <w:p>
            <w:pPr>
              <w:pBdr/>
              <w:spacing w:after="40" w:before="40" w:line="240" w:lineRule="auto"/>
              <w:ind/>
              <w:jc w:val="center"/>
              <w:rPr>
                <w:color w:val="000000" w:themeColor="text1"/>
              </w:rPr>
            </w:pPr>
            <w:r>
              <w:rPr>
                <w:rFonts w:ascii="Calibri" w:hAnsi="Calibri" w:eastAsia="Calibri" w:cs="Calibri"/>
                <w:b w:val="0"/>
                <w:bCs w:val="0"/>
                <w:color w:val="000000" w:themeColor="text1"/>
                <w:sz w:val="16"/>
                <w:szCs w:val="16"/>
                <w:lang w:val="es-ES"/>
              </w:rPr>
              <w:t xml:space="preserve">4</w:t>
            </w:r>
            <w:r>
              <w:rPr>
                <w:color w:val="000000" w:themeColor="text1"/>
              </w:rPr>
            </w:r>
          </w:p>
        </w:tc>
        <w:tc>
          <w:tcPr>
            <w:shd w:val="clear" w:color="auto" w:fill="f2f5fa"/>
            <w:tcBorders/>
            <w:tcMar>
              <w:left w:w="90" w:type="dxa"/>
              <w:top w:w="60" w:type="dxa"/>
              <w:right w:w="90" w:type="dxa"/>
              <w:bottom w:w="60" w:type="dxa"/>
            </w:tcMar>
            <w:tcW w:w="975" w:type="dxa"/>
            <w:vAlign w:val="center"/>
          </w:tcPr>
          <w:p>
            <w:pPr>
              <w:pBdr/>
              <w:spacing w:after="40" w:before="40" w:line="240" w:lineRule="auto"/>
              <w:ind/>
              <w:jc w:val="center"/>
              <w:rPr>
                <w:color w:val="000000" w:themeColor="text1"/>
              </w:rPr>
            </w:pPr>
            <w:r>
              <w:rPr>
                <w:rFonts w:ascii="Calibri" w:hAnsi="Calibri" w:eastAsia="Calibri" w:cs="Calibri"/>
                <w:b w:val="0"/>
                <w:bCs w:val="0"/>
                <w:color w:val="000000" w:themeColor="text1"/>
                <w:sz w:val="16"/>
                <w:szCs w:val="16"/>
                <w:lang w:val="es-ES"/>
              </w:rPr>
              <w:t xml:space="preserve">0,48</w:t>
            </w:r>
            <w:r>
              <w:rPr>
                <w:color w:val="000000" w:themeColor="text1"/>
              </w:rPr>
            </w:r>
          </w:p>
        </w:tc>
        <w:tc>
          <w:tcPr>
            <w:shd w:val="clear" w:color="auto" w:fill="f2f5fa"/>
            <w:tcBorders/>
            <w:tcMar>
              <w:left w:w="90" w:type="dxa"/>
              <w:top w:w="60" w:type="dxa"/>
              <w:right w:w="90" w:type="dxa"/>
              <w:bottom w:w="60" w:type="dxa"/>
            </w:tcMar>
            <w:tcW w:w="780" w:type="dxa"/>
            <w:vAlign w:val="center"/>
          </w:tcPr>
          <w:p>
            <w:pPr>
              <w:pBdr/>
              <w:spacing w:after="40" w:before="40" w:line="240" w:lineRule="auto"/>
              <w:ind/>
              <w:jc w:val="center"/>
              <w:rPr>
                <w:color w:val="000000" w:themeColor="text1"/>
              </w:rPr>
            </w:pPr>
            <w:r>
              <w:rPr>
                <w:rFonts w:ascii="Calibri" w:hAnsi="Calibri" w:eastAsia="Calibri" w:cs="Calibri"/>
                <w:b w:val="0"/>
                <w:bCs w:val="0"/>
                <w:color w:val="000000" w:themeColor="text1"/>
                <w:sz w:val="16"/>
                <w:szCs w:val="16"/>
                <w:lang w:val="es-ES"/>
              </w:rPr>
              <w:t xml:space="preserve">4</w:t>
            </w:r>
            <w:r>
              <w:rPr>
                <w:color w:val="000000" w:themeColor="text1"/>
              </w:rPr>
            </w:r>
          </w:p>
        </w:tc>
        <w:tc>
          <w:tcPr>
            <w:shd w:val="clear" w:color="auto" w:fill="f2f5fa"/>
            <w:tcBorders/>
            <w:tcMar>
              <w:left w:w="90" w:type="dxa"/>
              <w:top w:w="60" w:type="dxa"/>
              <w:right w:w="90" w:type="dxa"/>
              <w:bottom w:w="60" w:type="dxa"/>
            </w:tcMar>
            <w:tcW w:w="975" w:type="dxa"/>
            <w:vAlign w:val="center"/>
          </w:tcPr>
          <w:p>
            <w:pPr>
              <w:pBdr/>
              <w:spacing w:after="40" w:before="40" w:line="240" w:lineRule="auto"/>
              <w:ind/>
              <w:jc w:val="center"/>
              <w:rPr>
                <w:color w:val="000000" w:themeColor="text1"/>
              </w:rPr>
            </w:pPr>
            <w:r>
              <w:rPr>
                <w:rFonts w:ascii="Calibri" w:hAnsi="Calibri" w:eastAsia="Calibri" w:cs="Calibri"/>
                <w:b w:val="0"/>
                <w:bCs w:val="0"/>
                <w:color w:val="000000" w:themeColor="text1"/>
                <w:sz w:val="16"/>
                <w:szCs w:val="16"/>
                <w:lang w:val="es-ES"/>
              </w:rPr>
              <w:t xml:space="preserve">0,48</w:t>
            </w:r>
            <w:r>
              <w:rPr>
                <w:color w:val="000000" w:themeColor="text1"/>
              </w:rPr>
            </w:r>
          </w:p>
        </w:tc>
        <w:tc>
          <w:tcPr>
            <w:shd w:val="clear" w:color="auto" w:fill="f2f5fa"/>
            <w:tcBorders/>
            <w:tcMar>
              <w:left w:w="90" w:type="dxa"/>
              <w:top w:w="60" w:type="dxa"/>
              <w:right w:w="90" w:type="dxa"/>
              <w:bottom w:w="60" w:type="dxa"/>
            </w:tcMar>
            <w:tcW w:w="780" w:type="dxa"/>
            <w:vAlign w:val="center"/>
          </w:tcPr>
          <w:p>
            <w:pPr>
              <w:pBdr/>
              <w:spacing w:after="40" w:before="40" w:line="240" w:lineRule="auto"/>
              <w:ind/>
              <w:jc w:val="center"/>
              <w:rPr>
                <w:color w:val="000000" w:themeColor="text1"/>
              </w:rPr>
            </w:pPr>
            <w:r>
              <w:rPr>
                <w:rFonts w:ascii="Calibri" w:hAnsi="Calibri" w:eastAsia="Calibri" w:cs="Calibri"/>
                <w:b w:val="0"/>
                <w:bCs w:val="0"/>
                <w:color w:val="000000" w:themeColor="text1"/>
                <w:sz w:val="16"/>
                <w:szCs w:val="16"/>
                <w:lang w:val="es-ES"/>
              </w:rPr>
              <w:t xml:space="preserve">3</w:t>
            </w:r>
            <w:r>
              <w:rPr>
                <w:color w:val="000000" w:themeColor="text1"/>
              </w:rPr>
            </w:r>
          </w:p>
        </w:tc>
        <w:tc>
          <w:tcPr>
            <w:shd w:val="clear" w:color="auto" w:fill="f2f5fa"/>
            <w:tcBorders/>
            <w:tcMar>
              <w:left w:w="90" w:type="dxa"/>
              <w:top w:w="60" w:type="dxa"/>
              <w:right w:w="90" w:type="dxa"/>
              <w:bottom w:w="60" w:type="dxa"/>
            </w:tcMar>
            <w:tcW w:w="975" w:type="dxa"/>
            <w:vAlign w:val="center"/>
          </w:tcPr>
          <w:p>
            <w:pPr>
              <w:pBdr/>
              <w:spacing w:after="40" w:before="40" w:line="240" w:lineRule="auto"/>
              <w:ind/>
              <w:jc w:val="center"/>
              <w:rPr>
                <w:color w:val="000000" w:themeColor="text1"/>
              </w:rPr>
            </w:pPr>
            <w:r>
              <w:rPr>
                <w:rFonts w:ascii="Calibri" w:hAnsi="Calibri" w:eastAsia="Calibri" w:cs="Calibri"/>
                <w:b w:val="0"/>
                <w:bCs w:val="0"/>
                <w:color w:val="000000" w:themeColor="text1"/>
                <w:sz w:val="16"/>
                <w:szCs w:val="16"/>
                <w:lang w:val="es-ES"/>
              </w:rPr>
              <w:t xml:space="preserve">0,36</w:t>
            </w:r>
            <w:r>
              <w:rPr>
                <w:color w:val="000000" w:themeColor="text1"/>
              </w:rPr>
            </w:r>
          </w:p>
        </w:tc>
      </w:tr>
      <w:tr>
        <w:trPr>
          <w:cantSplit w:val="false"/>
        </w:trPr>
        <w:tc>
          <w:tcPr>
            <w:shd w:val="clear" w:color="auto" w:fill="ffffff"/>
            <w:tcBorders/>
            <w:tcMar>
              <w:left w:w="90" w:type="dxa"/>
              <w:top w:w="60" w:type="dxa"/>
              <w:right w:w="90" w:type="dxa"/>
              <w:bottom w:w="60" w:type="dxa"/>
            </w:tcMar>
            <w:tcW w:w="3315"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C-07 Costo y simplicidad</w:t>
            </w:r>
            <w:r>
              <w:rPr>
                <w:color w:val="000000" w:themeColor="text1"/>
              </w:rPr>
            </w:r>
          </w:p>
        </w:tc>
        <w:tc>
          <w:tcPr>
            <w:shd w:val="clear" w:color="auto" w:fill="ffffff"/>
            <w:tcBorders/>
            <w:tcMar>
              <w:left w:w="90" w:type="dxa"/>
              <w:top w:w="60" w:type="dxa"/>
              <w:right w:w="90" w:type="dxa"/>
              <w:bottom w:w="60" w:type="dxa"/>
            </w:tcMar>
            <w:tcW w:w="780" w:type="dxa"/>
            <w:vAlign w:val="center"/>
          </w:tcPr>
          <w:p>
            <w:pPr>
              <w:pBdr/>
              <w:spacing w:after="40" w:before="40" w:line="240" w:lineRule="auto"/>
              <w:ind/>
              <w:jc w:val="center"/>
              <w:rPr>
                <w:color w:val="000000" w:themeColor="text1"/>
              </w:rPr>
            </w:pPr>
            <w:r>
              <w:rPr>
                <w:rFonts w:ascii="Calibri" w:hAnsi="Calibri" w:eastAsia="Calibri" w:cs="Calibri"/>
                <w:b w:val="0"/>
                <w:bCs w:val="0"/>
                <w:color w:val="000000" w:themeColor="text1"/>
                <w:sz w:val="16"/>
                <w:szCs w:val="16"/>
                <w:lang w:val="es-ES"/>
              </w:rPr>
              <w:t xml:space="preserve">13 %</w:t>
            </w:r>
            <w:r>
              <w:rPr>
                <w:color w:val="000000" w:themeColor="text1"/>
              </w:rPr>
            </w:r>
          </w:p>
        </w:tc>
        <w:tc>
          <w:tcPr>
            <w:shd w:val="clear" w:color="auto" w:fill="ffffff"/>
            <w:tcBorders/>
            <w:tcMar>
              <w:left w:w="90" w:type="dxa"/>
              <w:top w:w="60" w:type="dxa"/>
              <w:right w:w="90" w:type="dxa"/>
              <w:bottom w:w="60" w:type="dxa"/>
            </w:tcMar>
            <w:tcW w:w="780" w:type="dxa"/>
            <w:vAlign w:val="center"/>
          </w:tcPr>
          <w:p>
            <w:pPr>
              <w:pBdr/>
              <w:spacing w:after="40" w:before="40" w:line="240" w:lineRule="auto"/>
              <w:ind/>
              <w:jc w:val="center"/>
              <w:rPr>
                <w:color w:val="000000" w:themeColor="text1"/>
              </w:rPr>
            </w:pPr>
            <w:r>
              <w:rPr>
                <w:rFonts w:ascii="Calibri" w:hAnsi="Calibri" w:eastAsia="Calibri" w:cs="Calibri"/>
                <w:b w:val="0"/>
                <w:bCs w:val="0"/>
                <w:color w:val="000000" w:themeColor="text1"/>
                <w:sz w:val="16"/>
                <w:szCs w:val="16"/>
                <w:lang w:val="es-ES"/>
              </w:rPr>
              <w:t xml:space="preserve">5</w:t>
            </w:r>
            <w:r>
              <w:rPr>
                <w:color w:val="000000" w:themeColor="text1"/>
              </w:rPr>
            </w:r>
          </w:p>
        </w:tc>
        <w:tc>
          <w:tcPr>
            <w:shd w:val="clear" w:color="auto" w:fill="ffffff"/>
            <w:tcBorders/>
            <w:tcMar>
              <w:left w:w="90" w:type="dxa"/>
              <w:top w:w="60" w:type="dxa"/>
              <w:right w:w="90" w:type="dxa"/>
              <w:bottom w:w="60" w:type="dxa"/>
            </w:tcMar>
            <w:tcW w:w="975" w:type="dxa"/>
            <w:vAlign w:val="center"/>
          </w:tcPr>
          <w:p>
            <w:pPr>
              <w:pBdr/>
              <w:spacing w:after="40" w:before="40" w:line="240" w:lineRule="auto"/>
              <w:ind/>
              <w:jc w:val="center"/>
              <w:rPr>
                <w:color w:val="000000" w:themeColor="text1"/>
              </w:rPr>
            </w:pPr>
            <w:r>
              <w:rPr>
                <w:rFonts w:ascii="Calibri" w:hAnsi="Calibri" w:eastAsia="Calibri" w:cs="Calibri"/>
                <w:b w:val="0"/>
                <w:bCs w:val="0"/>
                <w:color w:val="000000" w:themeColor="text1"/>
                <w:sz w:val="16"/>
                <w:szCs w:val="16"/>
                <w:lang w:val="es-ES"/>
              </w:rPr>
              <w:t xml:space="preserve">0,65</w:t>
            </w:r>
            <w:r>
              <w:rPr>
                <w:color w:val="000000" w:themeColor="text1"/>
              </w:rPr>
            </w:r>
          </w:p>
        </w:tc>
        <w:tc>
          <w:tcPr>
            <w:shd w:val="clear" w:color="auto" w:fill="ffffff"/>
            <w:tcBorders/>
            <w:tcMar>
              <w:left w:w="90" w:type="dxa"/>
              <w:top w:w="60" w:type="dxa"/>
              <w:right w:w="90" w:type="dxa"/>
              <w:bottom w:w="60" w:type="dxa"/>
            </w:tcMar>
            <w:tcW w:w="780" w:type="dxa"/>
            <w:vAlign w:val="center"/>
          </w:tcPr>
          <w:p>
            <w:pPr>
              <w:pBdr/>
              <w:spacing w:after="40" w:before="40" w:line="240" w:lineRule="auto"/>
              <w:ind/>
              <w:jc w:val="center"/>
              <w:rPr>
                <w:color w:val="000000" w:themeColor="text1"/>
              </w:rPr>
            </w:pPr>
            <w:r>
              <w:rPr>
                <w:rFonts w:ascii="Calibri" w:hAnsi="Calibri" w:eastAsia="Calibri" w:cs="Calibri"/>
                <w:b w:val="0"/>
                <w:bCs w:val="0"/>
                <w:color w:val="000000" w:themeColor="text1"/>
                <w:sz w:val="16"/>
                <w:szCs w:val="16"/>
                <w:lang w:val="es-ES"/>
              </w:rPr>
              <w:t xml:space="preserve">4</w:t>
            </w:r>
            <w:r>
              <w:rPr>
                <w:color w:val="000000" w:themeColor="text1"/>
              </w:rPr>
            </w:r>
          </w:p>
        </w:tc>
        <w:tc>
          <w:tcPr>
            <w:shd w:val="clear" w:color="auto" w:fill="ffffff"/>
            <w:tcBorders/>
            <w:tcMar>
              <w:left w:w="90" w:type="dxa"/>
              <w:top w:w="60" w:type="dxa"/>
              <w:right w:w="90" w:type="dxa"/>
              <w:bottom w:w="60" w:type="dxa"/>
            </w:tcMar>
            <w:tcW w:w="975" w:type="dxa"/>
            <w:vAlign w:val="center"/>
          </w:tcPr>
          <w:p>
            <w:pPr>
              <w:pBdr/>
              <w:spacing w:after="40" w:before="40" w:line="240" w:lineRule="auto"/>
              <w:ind/>
              <w:jc w:val="center"/>
              <w:rPr>
                <w:color w:val="000000" w:themeColor="text1"/>
              </w:rPr>
            </w:pPr>
            <w:r>
              <w:rPr>
                <w:rFonts w:ascii="Calibri" w:hAnsi="Calibri" w:eastAsia="Calibri" w:cs="Calibri"/>
                <w:b w:val="0"/>
                <w:bCs w:val="0"/>
                <w:color w:val="000000" w:themeColor="text1"/>
                <w:sz w:val="16"/>
                <w:szCs w:val="16"/>
                <w:lang w:val="es-ES"/>
              </w:rPr>
              <w:t xml:space="preserve">0,52</w:t>
            </w:r>
            <w:r>
              <w:rPr>
                <w:color w:val="000000" w:themeColor="text1"/>
              </w:rPr>
            </w:r>
          </w:p>
        </w:tc>
        <w:tc>
          <w:tcPr>
            <w:shd w:val="clear" w:color="auto" w:fill="ffffff"/>
            <w:tcBorders/>
            <w:tcMar>
              <w:left w:w="90" w:type="dxa"/>
              <w:top w:w="60" w:type="dxa"/>
              <w:right w:w="90" w:type="dxa"/>
              <w:bottom w:w="60" w:type="dxa"/>
            </w:tcMar>
            <w:tcW w:w="780" w:type="dxa"/>
            <w:vAlign w:val="center"/>
          </w:tcPr>
          <w:p>
            <w:pPr>
              <w:pBdr/>
              <w:spacing w:after="40" w:before="40" w:line="240" w:lineRule="auto"/>
              <w:ind/>
              <w:jc w:val="center"/>
              <w:rPr>
                <w:color w:val="000000" w:themeColor="text1"/>
              </w:rPr>
            </w:pPr>
            <w:r>
              <w:rPr>
                <w:rFonts w:ascii="Calibri" w:hAnsi="Calibri" w:eastAsia="Calibri" w:cs="Calibri"/>
                <w:b w:val="0"/>
                <w:bCs w:val="0"/>
                <w:color w:val="000000" w:themeColor="text1"/>
                <w:sz w:val="16"/>
                <w:szCs w:val="16"/>
                <w:lang w:val="es-ES"/>
              </w:rPr>
              <w:t xml:space="preserve">1</w:t>
            </w:r>
            <w:r>
              <w:rPr>
                <w:color w:val="000000" w:themeColor="text1"/>
              </w:rPr>
            </w:r>
          </w:p>
        </w:tc>
        <w:tc>
          <w:tcPr>
            <w:shd w:val="clear" w:color="auto" w:fill="ffffff"/>
            <w:tcBorders/>
            <w:tcMar>
              <w:left w:w="90" w:type="dxa"/>
              <w:top w:w="60" w:type="dxa"/>
              <w:right w:w="90" w:type="dxa"/>
              <w:bottom w:w="60" w:type="dxa"/>
            </w:tcMar>
            <w:tcW w:w="975" w:type="dxa"/>
            <w:vAlign w:val="center"/>
          </w:tcPr>
          <w:p>
            <w:pPr>
              <w:pBdr/>
              <w:spacing w:after="40" w:before="40" w:line="240" w:lineRule="auto"/>
              <w:ind/>
              <w:jc w:val="center"/>
              <w:rPr>
                <w:color w:val="000000" w:themeColor="text1"/>
              </w:rPr>
            </w:pPr>
            <w:r>
              <w:rPr>
                <w:rFonts w:ascii="Calibri" w:hAnsi="Calibri" w:eastAsia="Calibri" w:cs="Calibri"/>
                <w:b w:val="0"/>
                <w:bCs w:val="0"/>
                <w:color w:val="000000" w:themeColor="text1"/>
                <w:sz w:val="16"/>
                <w:szCs w:val="16"/>
                <w:lang w:val="es-ES"/>
              </w:rPr>
              <w:t xml:space="preserve">0,13</w:t>
            </w:r>
            <w:r>
              <w:rPr>
                <w:color w:val="000000" w:themeColor="text1"/>
              </w:rPr>
            </w:r>
          </w:p>
        </w:tc>
      </w:tr>
      <w:tr>
        <w:trPr>
          <w:cantSplit w:val="false"/>
        </w:trPr>
        <w:tc>
          <w:tcPr>
            <w:shd w:val="clear" w:color="auto" w:fill="f2f5fa"/>
            <w:tcBorders/>
            <w:tcMar>
              <w:left w:w="90" w:type="dxa"/>
              <w:top w:w="60" w:type="dxa"/>
              <w:right w:w="90" w:type="dxa"/>
              <w:bottom w:w="60" w:type="dxa"/>
            </w:tcMar>
            <w:tcW w:w="3315"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C-08 Interoperabilidad</w:t>
            </w:r>
            <w:r>
              <w:rPr>
                <w:color w:val="000000" w:themeColor="text1"/>
              </w:rPr>
            </w:r>
          </w:p>
        </w:tc>
        <w:tc>
          <w:tcPr>
            <w:shd w:val="clear" w:color="auto" w:fill="f2f5fa"/>
            <w:tcBorders/>
            <w:tcMar>
              <w:left w:w="90" w:type="dxa"/>
              <w:top w:w="60" w:type="dxa"/>
              <w:right w:w="90" w:type="dxa"/>
              <w:bottom w:w="60" w:type="dxa"/>
            </w:tcMar>
            <w:tcW w:w="780" w:type="dxa"/>
            <w:vAlign w:val="center"/>
          </w:tcPr>
          <w:p>
            <w:pPr>
              <w:pBdr/>
              <w:spacing w:after="40" w:before="40" w:line="240" w:lineRule="auto"/>
              <w:ind/>
              <w:jc w:val="center"/>
              <w:rPr>
                <w:color w:val="000000" w:themeColor="text1"/>
              </w:rPr>
            </w:pPr>
            <w:r>
              <w:rPr>
                <w:rFonts w:ascii="Calibri" w:hAnsi="Calibri" w:eastAsia="Calibri" w:cs="Calibri"/>
                <w:b w:val="0"/>
                <w:bCs w:val="0"/>
                <w:color w:val="000000" w:themeColor="text1"/>
                <w:sz w:val="16"/>
                <w:szCs w:val="16"/>
                <w:lang w:val="es-ES"/>
              </w:rPr>
              <w:t xml:space="preserve">8 %</w:t>
            </w:r>
            <w:r>
              <w:rPr>
                <w:color w:val="000000" w:themeColor="text1"/>
              </w:rPr>
            </w:r>
          </w:p>
        </w:tc>
        <w:tc>
          <w:tcPr>
            <w:shd w:val="clear" w:color="auto" w:fill="f2f5fa"/>
            <w:tcBorders/>
            <w:tcMar>
              <w:left w:w="90" w:type="dxa"/>
              <w:top w:w="60" w:type="dxa"/>
              <w:right w:w="90" w:type="dxa"/>
              <w:bottom w:w="60" w:type="dxa"/>
            </w:tcMar>
            <w:tcW w:w="780" w:type="dxa"/>
            <w:vAlign w:val="center"/>
          </w:tcPr>
          <w:p>
            <w:pPr>
              <w:pBdr/>
              <w:spacing w:after="40" w:before="40" w:line="240" w:lineRule="auto"/>
              <w:ind/>
              <w:jc w:val="center"/>
              <w:rPr>
                <w:color w:val="000000" w:themeColor="text1"/>
              </w:rPr>
            </w:pPr>
            <w:r>
              <w:rPr>
                <w:rFonts w:ascii="Calibri" w:hAnsi="Calibri" w:eastAsia="Calibri" w:cs="Calibri"/>
                <w:b w:val="0"/>
                <w:bCs w:val="0"/>
                <w:color w:val="000000" w:themeColor="text1"/>
                <w:sz w:val="16"/>
                <w:szCs w:val="16"/>
                <w:lang w:val="es-ES"/>
              </w:rPr>
              <w:t xml:space="preserve">2</w:t>
            </w:r>
            <w:r>
              <w:rPr>
                <w:color w:val="000000" w:themeColor="text1"/>
              </w:rPr>
            </w:r>
          </w:p>
        </w:tc>
        <w:tc>
          <w:tcPr>
            <w:shd w:val="clear" w:color="auto" w:fill="f2f5fa"/>
            <w:tcBorders/>
            <w:tcMar>
              <w:left w:w="90" w:type="dxa"/>
              <w:top w:w="60" w:type="dxa"/>
              <w:right w:w="90" w:type="dxa"/>
              <w:bottom w:w="60" w:type="dxa"/>
            </w:tcMar>
            <w:tcW w:w="975" w:type="dxa"/>
            <w:vAlign w:val="center"/>
          </w:tcPr>
          <w:p>
            <w:pPr>
              <w:pBdr/>
              <w:spacing w:after="40" w:before="40" w:line="240" w:lineRule="auto"/>
              <w:ind/>
              <w:jc w:val="center"/>
              <w:rPr>
                <w:color w:val="000000" w:themeColor="text1"/>
              </w:rPr>
            </w:pPr>
            <w:r>
              <w:rPr>
                <w:rFonts w:ascii="Calibri" w:hAnsi="Calibri" w:eastAsia="Calibri" w:cs="Calibri"/>
                <w:b w:val="0"/>
                <w:bCs w:val="0"/>
                <w:color w:val="000000" w:themeColor="text1"/>
                <w:sz w:val="16"/>
                <w:szCs w:val="16"/>
                <w:lang w:val="es-ES"/>
              </w:rPr>
              <w:t xml:space="preserve">0,16</w:t>
            </w:r>
            <w:r>
              <w:rPr>
                <w:color w:val="000000" w:themeColor="text1"/>
              </w:rPr>
            </w:r>
          </w:p>
        </w:tc>
        <w:tc>
          <w:tcPr>
            <w:shd w:val="clear" w:color="auto" w:fill="f2f5fa"/>
            <w:tcBorders/>
            <w:tcMar>
              <w:left w:w="90" w:type="dxa"/>
              <w:top w:w="60" w:type="dxa"/>
              <w:right w:w="90" w:type="dxa"/>
              <w:bottom w:w="60" w:type="dxa"/>
            </w:tcMar>
            <w:tcW w:w="780" w:type="dxa"/>
            <w:vAlign w:val="center"/>
          </w:tcPr>
          <w:p>
            <w:pPr>
              <w:pBdr/>
              <w:spacing w:after="40" w:before="40" w:line="240" w:lineRule="auto"/>
              <w:ind/>
              <w:jc w:val="center"/>
              <w:rPr>
                <w:color w:val="000000" w:themeColor="text1"/>
              </w:rPr>
            </w:pPr>
            <w:r>
              <w:rPr>
                <w:rFonts w:ascii="Calibri" w:hAnsi="Calibri" w:eastAsia="Calibri" w:cs="Calibri"/>
                <w:b w:val="0"/>
                <w:bCs w:val="0"/>
                <w:color w:val="000000" w:themeColor="text1"/>
                <w:sz w:val="16"/>
                <w:szCs w:val="16"/>
                <w:lang w:val="es-ES"/>
              </w:rPr>
              <w:t xml:space="preserve">5</w:t>
            </w:r>
            <w:r>
              <w:rPr>
                <w:color w:val="000000" w:themeColor="text1"/>
              </w:rPr>
            </w:r>
          </w:p>
        </w:tc>
        <w:tc>
          <w:tcPr>
            <w:shd w:val="clear" w:color="auto" w:fill="f2f5fa"/>
            <w:tcBorders/>
            <w:tcMar>
              <w:left w:w="90" w:type="dxa"/>
              <w:top w:w="60" w:type="dxa"/>
              <w:right w:w="90" w:type="dxa"/>
              <w:bottom w:w="60" w:type="dxa"/>
            </w:tcMar>
            <w:tcW w:w="975" w:type="dxa"/>
            <w:vAlign w:val="center"/>
          </w:tcPr>
          <w:p>
            <w:pPr>
              <w:pBdr/>
              <w:spacing w:after="40" w:before="40" w:line="240" w:lineRule="auto"/>
              <w:ind/>
              <w:jc w:val="center"/>
              <w:rPr>
                <w:color w:val="000000" w:themeColor="text1"/>
              </w:rPr>
            </w:pPr>
            <w:r>
              <w:rPr>
                <w:rFonts w:ascii="Calibri" w:hAnsi="Calibri" w:eastAsia="Calibri" w:cs="Calibri"/>
                <w:b w:val="0"/>
                <w:bCs w:val="0"/>
                <w:color w:val="000000" w:themeColor="text1"/>
                <w:sz w:val="16"/>
                <w:szCs w:val="16"/>
                <w:lang w:val="es-ES"/>
              </w:rPr>
              <w:t xml:space="preserve">0,40</w:t>
            </w:r>
            <w:r>
              <w:rPr>
                <w:color w:val="000000" w:themeColor="text1"/>
              </w:rPr>
            </w:r>
          </w:p>
        </w:tc>
        <w:tc>
          <w:tcPr>
            <w:shd w:val="clear" w:color="auto" w:fill="f2f5fa"/>
            <w:tcBorders/>
            <w:tcMar>
              <w:left w:w="90" w:type="dxa"/>
              <w:top w:w="60" w:type="dxa"/>
              <w:right w:w="90" w:type="dxa"/>
              <w:bottom w:w="60" w:type="dxa"/>
            </w:tcMar>
            <w:tcW w:w="780" w:type="dxa"/>
            <w:vAlign w:val="center"/>
          </w:tcPr>
          <w:p>
            <w:pPr>
              <w:pBdr/>
              <w:spacing w:after="40" w:before="40" w:line="240" w:lineRule="auto"/>
              <w:ind/>
              <w:jc w:val="center"/>
              <w:rPr>
                <w:color w:val="000000" w:themeColor="text1"/>
              </w:rPr>
            </w:pPr>
            <w:r>
              <w:rPr>
                <w:rFonts w:ascii="Calibri" w:hAnsi="Calibri" w:eastAsia="Calibri" w:cs="Calibri"/>
                <w:b w:val="0"/>
                <w:bCs w:val="0"/>
                <w:color w:val="000000" w:themeColor="text1"/>
                <w:sz w:val="16"/>
                <w:szCs w:val="16"/>
                <w:lang w:val="es-ES"/>
              </w:rPr>
              <w:t xml:space="preserve">4</w:t>
            </w:r>
            <w:r>
              <w:rPr>
                <w:color w:val="000000" w:themeColor="text1"/>
              </w:rPr>
            </w:r>
          </w:p>
        </w:tc>
        <w:tc>
          <w:tcPr>
            <w:shd w:val="clear" w:color="auto" w:fill="f2f5fa"/>
            <w:tcBorders/>
            <w:tcMar>
              <w:left w:w="90" w:type="dxa"/>
              <w:top w:w="60" w:type="dxa"/>
              <w:right w:w="90" w:type="dxa"/>
              <w:bottom w:w="60" w:type="dxa"/>
            </w:tcMar>
            <w:tcW w:w="975" w:type="dxa"/>
            <w:vAlign w:val="center"/>
          </w:tcPr>
          <w:p>
            <w:pPr>
              <w:pBdr/>
              <w:spacing w:after="40" w:before="40" w:line="240" w:lineRule="auto"/>
              <w:ind/>
              <w:jc w:val="center"/>
              <w:rPr>
                <w:color w:val="000000" w:themeColor="text1"/>
              </w:rPr>
            </w:pPr>
            <w:r>
              <w:rPr>
                <w:rFonts w:ascii="Calibri" w:hAnsi="Calibri" w:eastAsia="Calibri" w:cs="Calibri"/>
                <w:b w:val="0"/>
                <w:bCs w:val="0"/>
                <w:color w:val="000000" w:themeColor="text1"/>
                <w:sz w:val="16"/>
                <w:szCs w:val="16"/>
                <w:lang w:val="es-ES"/>
              </w:rPr>
              <w:t xml:space="preserve">0,32</w:t>
            </w:r>
            <w:r>
              <w:rPr>
                <w:color w:val="000000" w:themeColor="text1"/>
              </w:rPr>
            </w:r>
          </w:p>
        </w:tc>
      </w:tr>
      <w:tr>
        <w:trPr>
          <w:cantSplit w:val="false"/>
        </w:trPr>
        <w:tc>
          <w:tcPr>
            <w:shd w:val="clear" w:color="auto" w:fill="ffffff"/>
            <w:tcBorders/>
            <w:tcMar>
              <w:left w:w="90" w:type="dxa"/>
              <w:top w:w="60" w:type="dxa"/>
              <w:right w:w="90" w:type="dxa"/>
              <w:bottom w:w="60" w:type="dxa"/>
            </w:tcMar>
            <w:tcW w:w="3315"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PUNTUACIÓN TOTAL (sobre 5,00)</w:t>
            </w:r>
            <w:r>
              <w:rPr>
                <w:color w:val="000000" w:themeColor="text1"/>
              </w:rPr>
            </w:r>
          </w:p>
        </w:tc>
        <w:tc>
          <w:tcPr>
            <w:shd w:val="clear" w:color="auto" w:fill="ffffff"/>
            <w:tcBorders/>
            <w:tcMar>
              <w:left w:w="90" w:type="dxa"/>
              <w:top w:w="60" w:type="dxa"/>
              <w:right w:w="90" w:type="dxa"/>
              <w:bottom w:w="60" w:type="dxa"/>
            </w:tcMar>
            <w:tcW w:w="780" w:type="dxa"/>
            <w:vAlign w:val="center"/>
          </w:tcPr>
          <w:p>
            <w:pPr>
              <w:pBdr/>
              <w:spacing w:after="40" w:before="40" w:line="240" w:lineRule="auto"/>
              <w:ind/>
              <w:jc w:val="center"/>
              <w:rPr>
                <w:color w:val="000000" w:themeColor="text1"/>
              </w:rPr>
            </w:pPr>
            <w:r>
              <w:rPr>
                <w:rFonts w:ascii="Calibri" w:hAnsi="Calibri" w:eastAsia="Calibri" w:cs="Calibri"/>
                <w:b w:val="0"/>
                <w:bCs w:val="0"/>
                <w:color w:val="000000" w:themeColor="text1"/>
                <w:sz w:val="16"/>
                <w:szCs w:val="16"/>
                <w:lang w:val="es-ES"/>
              </w:rPr>
              <w:t xml:space="preserve">100 %</w:t>
            </w:r>
            <w:r>
              <w:rPr>
                <w:color w:val="000000" w:themeColor="text1"/>
              </w:rPr>
            </w:r>
          </w:p>
        </w:tc>
        <w:tc>
          <w:tcPr>
            <w:shd w:val="clear" w:color="auto" w:fill="ffffff"/>
            <w:tcBorders/>
            <w:tcMar>
              <w:left w:w="90" w:type="dxa"/>
              <w:top w:w="60" w:type="dxa"/>
              <w:right w:w="90" w:type="dxa"/>
              <w:bottom w:w="60" w:type="dxa"/>
            </w:tcMar>
            <w:tcW w:w="780" w:type="dxa"/>
            <w:vAlign w:val="center"/>
          </w:tcPr>
          <w:p>
            <w:pPr>
              <w:pBdr/>
              <w:spacing w:after="40" w:before="40" w:line="240" w:lineRule="auto"/>
              <w:ind/>
              <w:jc w:val="center"/>
              <w:rPr>
                <w:color w:val="000000" w:themeColor="text1"/>
              </w:rPr>
            </w:pPr>
            <w:r>
              <w:rPr>
                <w:rFonts w:ascii="Calibri" w:hAnsi="Calibri" w:eastAsia="Calibri" w:cs="Calibri"/>
                <w:b w:val="0"/>
                <w:bCs w:val="0"/>
                <w:color w:val="000000" w:themeColor="text1"/>
                <w:sz w:val="16"/>
                <w:szCs w:val="16"/>
                <w:lang w:val="es-ES" w:bidi="es-ES"/>
              </w:rPr>
            </w:r>
            <w:r>
              <w:rPr>
                <w:color w:val="000000" w:themeColor="text1"/>
              </w:rPr>
            </w:r>
          </w:p>
        </w:tc>
        <w:tc>
          <w:tcPr>
            <w:shd w:val="clear" w:color="auto" w:fill="ffffff"/>
            <w:tcBorders/>
            <w:tcMar>
              <w:left w:w="90" w:type="dxa"/>
              <w:top w:w="60" w:type="dxa"/>
              <w:right w:w="90" w:type="dxa"/>
              <w:bottom w:w="60" w:type="dxa"/>
            </w:tcMar>
            <w:tcW w:w="975" w:type="dxa"/>
            <w:vAlign w:val="center"/>
          </w:tcPr>
          <w:p>
            <w:pPr>
              <w:pBdr/>
              <w:spacing w:after="40" w:before="40" w:line="240" w:lineRule="auto"/>
              <w:ind/>
              <w:jc w:val="center"/>
              <w:rPr>
                <w:color w:val="000000" w:themeColor="text1"/>
              </w:rPr>
            </w:pPr>
            <w:r>
              <w:rPr>
                <w:rFonts w:ascii="Calibri" w:hAnsi="Calibri" w:eastAsia="Calibri" w:cs="Calibri"/>
                <w:b w:val="0"/>
                <w:bCs w:val="0"/>
                <w:color w:val="000000" w:themeColor="text1"/>
                <w:sz w:val="16"/>
                <w:szCs w:val="16"/>
                <w:lang w:val="es-ES"/>
              </w:rPr>
              <w:t xml:space="preserve">2,90</w:t>
            </w:r>
            <w:r>
              <w:rPr>
                <w:color w:val="000000" w:themeColor="text1"/>
              </w:rPr>
            </w:r>
          </w:p>
        </w:tc>
        <w:tc>
          <w:tcPr>
            <w:shd w:val="clear" w:color="auto" w:fill="ffffff"/>
            <w:tcBorders/>
            <w:tcMar>
              <w:left w:w="90" w:type="dxa"/>
              <w:top w:w="60" w:type="dxa"/>
              <w:right w:w="90" w:type="dxa"/>
              <w:bottom w:w="60" w:type="dxa"/>
            </w:tcMar>
            <w:tcW w:w="780" w:type="dxa"/>
            <w:vAlign w:val="center"/>
          </w:tcPr>
          <w:p>
            <w:pPr>
              <w:pBdr/>
              <w:spacing w:after="40" w:before="40" w:line="240" w:lineRule="auto"/>
              <w:ind/>
              <w:jc w:val="center"/>
              <w:rPr>
                <w:color w:val="000000" w:themeColor="text1"/>
              </w:rPr>
            </w:pPr>
            <w:r>
              <w:rPr>
                <w:rFonts w:ascii="Calibri" w:hAnsi="Calibri" w:eastAsia="Calibri" w:cs="Calibri"/>
                <w:b w:val="0"/>
                <w:bCs w:val="0"/>
                <w:color w:val="000000" w:themeColor="text1"/>
                <w:sz w:val="16"/>
                <w:szCs w:val="16"/>
                <w:lang w:val="es-ES" w:bidi="es-ES"/>
              </w:rPr>
            </w:r>
            <w:r>
              <w:rPr>
                <w:color w:val="000000" w:themeColor="text1"/>
              </w:rPr>
            </w:r>
          </w:p>
        </w:tc>
        <w:tc>
          <w:tcPr>
            <w:shd w:val="clear" w:color="auto" w:fill="ffffff"/>
            <w:tcBorders/>
            <w:tcMar>
              <w:left w:w="90" w:type="dxa"/>
              <w:top w:w="60" w:type="dxa"/>
              <w:right w:w="90" w:type="dxa"/>
              <w:bottom w:w="60" w:type="dxa"/>
            </w:tcMar>
            <w:tcW w:w="975" w:type="dxa"/>
            <w:vAlign w:val="center"/>
          </w:tcPr>
          <w:p>
            <w:pPr>
              <w:pBdr/>
              <w:spacing w:after="40" w:before="40" w:line="240" w:lineRule="auto"/>
              <w:ind/>
              <w:jc w:val="center"/>
              <w:rPr>
                <w:color w:val="000000" w:themeColor="text1"/>
              </w:rPr>
            </w:pPr>
            <w:r>
              <w:rPr>
                <w:rFonts w:ascii="Calibri" w:hAnsi="Calibri" w:eastAsia="Calibri" w:cs="Calibri"/>
                <w:b w:val="0"/>
                <w:bCs w:val="0"/>
                <w:color w:val="000000" w:themeColor="text1"/>
                <w:sz w:val="16"/>
                <w:szCs w:val="16"/>
                <w:lang w:val="es-ES"/>
              </w:rPr>
              <w:t xml:space="preserve">4,35</w:t>
            </w:r>
            <w:r>
              <w:rPr>
                <w:color w:val="000000" w:themeColor="text1"/>
              </w:rPr>
            </w:r>
          </w:p>
        </w:tc>
        <w:tc>
          <w:tcPr>
            <w:shd w:val="clear" w:color="auto" w:fill="ffffff"/>
            <w:tcBorders/>
            <w:tcMar>
              <w:left w:w="90" w:type="dxa"/>
              <w:top w:w="60" w:type="dxa"/>
              <w:right w:w="90" w:type="dxa"/>
              <w:bottom w:w="60" w:type="dxa"/>
            </w:tcMar>
            <w:tcW w:w="780" w:type="dxa"/>
            <w:vAlign w:val="center"/>
          </w:tcPr>
          <w:p>
            <w:pPr>
              <w:pBdr/>
              <w:spacing w:after="40" w:before="40" w:line="240" w:lineRule="auto"/>
              <w:ind/>
              <w:jc w:val="center"/>
              <w:rPr>
                <w:color w:val="000000" w:themeColor="text1"/>
              </w:rPr>
            </w:pPr>
            <w:r>
              <w:rPr>
                <w:rFonts w:ascii="Calibri" w:hAnsi="Calibri" w:eastAsia="Calibri" w:cs="Calibri"/>
                <w:b w:val="0"/>
                <w:bCs w:val="0"/>
                <w:color w:val="000000" w:themeColor="text1"/>
                <w:sz w:val="16"/>
                <w:szCs w:val="16"/>
                <w:lang w:val="es-ES" w:bidi="es-ES"/>
              </w:rPr>
            </w:r>
            <w:r>
              <w:rPr>
                <w:color w:val="000000" w:themeColor="text1"/>
              </w:rPr>
            </w:r>
          </w:p>
        </w:tc>
        <w:tc>
          <w:tcPr>
            <w:shd w:val="clear" w:color="auto" w:fill="ffffff"/>
            <w:tcBorders/>
            <w:tcMar>
              <w:left w:w="90" w:type="dxa"/>
              <w:top w:w="60" w:type="dxa"/>
              <w:right w:w="90" w:type="dxa"/>
              <w:bottom w:w="60" w:type="dxa"/>
            </w:tcMar>
            <w:tcW w:w="975" w:type="dxa"/>
            <w:vAlign w:val="center"/>
          </w:tcPr>
          <w:p>
            <w:pPr>
              <w:pBdr/>
              <w:spacing w:after="40" w:before="40" w:line="240" w:lineRule="auto"/>
              <w:ind/>
              <w:jc w:val="center"/>
              <w:rPr>
                <w:color w:val="000000" w:themeColor="text1"/>
              </w:rPr>
            </w:pPr>
            <w:r>
              <w:rPr>
                <w:rFonts w:ascii="Calibri" w:hAnsi="Calibri" w:eastAsia="Calibri" w:cs="Calibri"/>
                <w:b w:val="0"/>
                <w:bCs w:val="0"/>
                <w:color w:val="000000" w:themeColor="text1"/>
                <w:sz w:val="16"/>
                <w:szCs w:val="16"/>
                <w:lang w:val="es-ES"/>
              </w:rPr>
              <w:t xml:space="preserve">3,56</w:t>
            </w:r>
            <w:r>
              <w:rPr>
                <w:color w:val="000000" w:themeColor="text1"/>
              </w:rPr>
            </w:r>
          </w:p>
        </w:tc>
      </w:tr>
      <w:tr>
        <w:trPr>
          <w:cantSplit w:val="false"/>
        </w:trPr>
        <w:tc>
          <w:tcPr>
            <w:shd w:val="clear" w:color="auto" w:fill="f2f5fa"/>
            <w:tcBorders/>
            <w:tcMar>
              <w:left w:w="90" w:type="dxa"/>
              <w:top w:w="60" w:type="dxa"/>
              <w:right w:w="90" w:type="dxa"/>
              <w:bottom w:w="60" w:type="dxa"/>
            </w:tcMar>
            <w:tcW w:w="3315"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EQUIVALENCIA PORCENTUAL</w:t>
            </w:r>
            <w:r>
              <w:rPr>
                <w:color w:val="000000" w:themeColor="text1"/>
              </w:rPr>
            </w:r>
          </w:p>
        </w:tc>
        <w:tc>
          <w:tcPr>
            <w:shd w:val="clear" w:color="auto" w:fill="f2f5fa"/>
            <w:tcBorders/>
            <w:tcMar>
              <w:left w:w="90" w:type="dxa"/>
              <w:top w:w="60" w:type="dxa"/>
              <w:right w:w="90" w:type="dxa"/>
              <w:bottom w:w="60" w:type="dxa"/>
            </w:tcMar>
            <w:tcW w:w="780" w:type="dxa"/>
            <w:vAlign w:val="center"/>
          </w:tcPr>
          <w:p>
            <w:pPr>
              <w:pBdr/>
              <w:spacing w:after="40" w:before="40" w:line="240" w:lineRule="auto"/>
              <w:ind/>
              <w:jc w:val="center"/>
              <w:rPr>
                <w:color w:val="000000" w:themeColor="text1"/>
              </w:rPr>
            </w:pPr>
            <w:r>
              <w:rPr>
                <w:rFonts w:ascii="Calibri" w:hAnsi="Calibri" w:eastAsia="Calibri" w:cs="Calibri"/>
                <w:b w:val="0"/>
                <w:bCs w:val="0"/>
                <w:color w:val="000000" w:themeColor="text1"/>
                <w:sz w:val="16"/>
                <w:szCs w:val="16"/>
                <w:lang w:val="es-ES" w:bidi="es-ES"/>
              </w:rPr>
            </w:r>
            <w:r>
              <w:rPr>
                <w:color w:val="000000" w:themeColor="text1"/>
              </w:rPr>
            </w:r>
          </w:p>
        </w:tc>
        <w:tc>
          <w:tcPr>
            <w:shd w:val="clear" w:color="auto" w:fill="f2f5fa"/>
            <w:tcBorders/>
            <w:tcMar>
              <w:left w:w="90" w:type="dxa"/>
              <w:top w:w="60" w:type="dxa"/>
              <w:right w:w="90" w:type="dxa"/>
              <w:bottom w:w="60" w:type="dxa"/>
            </w:tcMar>
            <w:tcW w:w="780" w:type="dxa"/>
            <w:vAlign w:val="center"/>
          </w:tcPr>
          <w:p>
            <w:pPr>
              <w:pBdr/>
              <w:spacing w:after="40" w:before="40" w:line="240" w:lineRule="auto"/>
              <w:ind/>
              <w:jc w:val="center"/>
              <w:rPr>
                <w:color w:val="000000" w:themeColor="text1"/>
              </w:rPr>
            </w:pPr>
            <w:r>
              <w:rPr>
                <w:rFonts w:ascii="Calibri" w:hAnsi="Calibri" w:eastAsia="Calibri" w:cs="Calibri"/>
                <w:b w:val="0"/>
                <w:bCs w:val="0"/>
                <w:color w:val="000000" w:themeColor="text1"/>
                <w:sz w:val="16"/>
                <w:szCs w:val="16"/>
                <w:lang w:val="es-ES" w:bidi="es-ES"/>
              </w:rPr>
            </w:r>
            <w:r>
              <w:rPr>
                <w:color w:val="000000" w:themeColor="text1"/>
              </w:rPr>
            </w:r>
          </w:p>
        </w:tc>
        <w:tc>
          <w:tcPr>
            <w:shd w:val="clear" w:color="auto" w:fill="f2f5fa"/>
            <w:tcBorders/>
            <w:tcMar>
              <w:left w:w="90" w:type="dxa"/>
              <w:top w:w="60" w:type="dxa"/>
              <w:right w:w="90" w:type="dxa"/>
              <w:bottom w:w="60" w:type="dxa"/>
            </w:tcMar>
            <w:tcW w:w="975" w:type="dxa"/>
            <w:vAlign w:val="center"/>
          </w:tcPr>
          <w:p>
            <w:pPr>
              <w:pBdr/>
              <w:spacing w:after="40" w:before="40" w:line="240" w:lineRule="auto"/>
              <w:ind/>
              <w:jc w:val="center"/>
              <w:rPr>
                <w:color w:val="000000" w:themeColor="text1"/>
              </w:rPr>
            </w:pPr>
            <w:r>
              <w:rPr>
                <w:rFonts w:ascii="Calibri" w:hAnsi="Calibri" w:eastAsia="Calibri" w:cs="Calibri"/>
                <w:b w:val="0"/>
                <w:bCs w:val="0"/>
                <w:color w:val="000000" w:themeColor="text1"/>
                <w:sz w:val="16"/>
                <w:szCs w:val="16"/>
                <w:lang w:val="es-ES"/>
              </w:rPr>
              <w:t xml:space="preserve">58,0 %</w:t>
            </w:r>
            <w:r>
              <w:rPr>
                <w:color w:val="000000" w:themeColor="text1"/>
              </w:rPr>
            </w:r>
          </w:p>
        </w:tc>
        <w:tc>
          <w:tcPr>
            <w:shd w:val="clear" w:color="auto" w:fill="f2f5fa"/>
            <w:tcBorders/>
            <w:tcMar>
              <w:left w:w="90" w:type="dxa"/>
              <w:top w:w="60" w:type="dxa"/>
              <w:right w:w="90" w:type="dxa"/>
              <w:bottom w:w="60" w:type="dxa"/>
            </w:tcMar>
            <w:tcW w:w="780" w:type="dxa"/>
            <w:vAlign w:val="center"/>
          </w:tcPr>
          <w:p>
            <w:pPr>
              <w:pBdr/>
              <w:spacing w:after="40" w:before="40" w:line="240" w:lineRule="auto"/>
              <w:ind/>
              <w:jc w:val="center"/>
              <w:rPr>
                <w:color w:val="000000" w:themeColor="text1"/>
              </w:rPr>
            </w:pPr>
            <w:r>
              <w:rPr>
                <w:rFonts w:ascii="Calibri" w:hAnsi="Calibri" w:eastAsia="Calibri" w:cs="Calibri"/>
                <w:b w:val="0"/>
                <w:bCs w:val="0"/>
                <w:color w:val="000000" w:themeColor="text1"/>
                <w:sz w:val="16"/>
                <w:szCs w:val="16"/>
                <w:lang w:val="es-ES" w:bidi="es-ES"/>
              </w:rPr>
            </w:r>
            <w:r>
              <w:rPr>
                <w:color w:val="000000" w:themeColor="text1"/>
              </w:rPr>
            </w:r>
          </w:p>
        </w:tc>
        <w:tc>
          <w:tcPr>
            <w:shd w:val="clear" w:color="auto" w:fill="f2f5fa"/>
            <w:tcBorders/>
            <w:tcMar>
              <w:left w:w="90" w:type="dxa"/>
              <w:top w:w="60" w:type="dxa"/>
              <w:right w:w="90" w:type="dxa"/>
              <w:bottom w:w="60" w:type="dxa"/>
            </w:tcMar>
            <w:tcW w:w="975" w:type="dxa"/>
            <w:vAlign w:val="center"/>
          </w:tcPr>
          <w:p>
            <w:pPr>
              <w:pBdr/>
              <w:spacing w:after="40" w:before="40" w:line="240" w:lineRule="auto"/>
              <w:ind/>
              <w:jc w:val="center"/>
              <w:rPr>
                <w:color w:val="000000" w:themeColor="text1"/>
              </w:rPr>
            </w:pPr>
            <w:r>
              <w:rPr>
                <w:rFonts w:ascii="Calibri" w:hAnsi="Calibri" w:eastAsia="Calibri" w:cs="Calibri"/>
                <w:b w:val="0"/>
                <w:bCs w:val="0"/>
                <w:color w:val="000000" w:themeColor="text1"/>
                <w:sz w:val="16"/>
                <w:szCs w:val="16"/>
                <w:lang w:val="es-ES"/>
              </w:rPr>
              <w:t xml:space="preserve">87,0 %</w:t>
            </w:r>
            <w:r>
              <w:rPr>
                <w:color w:val="000000" w:themeColor="text1"/>
              </w:rPr>
            </w:r>
          </w:p>
        </w:tc>
        <w:tc>
          <w:tcPr>
            <w:shd w:val="clear" w:color="auto" w:fill="f2f5fa"/>
            <w:tcBorders/>
            <w:tcMar>
              <w:left w:w="90" w:type="dxa"/>
              <w:top w:w="60" w:type="dxa"/>
              <w:right w:w="90" w:type="dxa"/>
              <w:bottom w:w="60" w:type="dxa"/>
            </w:tcMar>
            <w:tcW w:w="780" w:type="dxa"/>
            <w:vAlign w:val="center"/>
          </w:tcPr>
          <w:p>
            <w:pPr>
              <w:pBdr/>
              <w:spacing w:after="40" w:before="40" w:line="240" w:lineRule="auto"/>
              <w:ind/>
              <w:jc w:val="center"/>
              <w:rPr>
                <w:color w:val="000000" w:themeColor="text1"/>
              </w:rPr>
            </w:pPr>
            <w:r>
              <w:rPr>
                <w:rFonts w:ascii="Calibri" w:hAnsi="Calibri" w:eastAsia="Calibri" w:cs="Calibri"/>
                <w:b w:val="0"/>
                <w:bCs w:val="0"/>
                <w:color w:val="000000" w:themeColor="text1"/>
                <w:sz w:val="16"/>
                <w:szCs w:val="16"/>
                <w:lang w:val="es-ES" w:bidi="es-ES"/>
              </w:rPr>
            </w:r>
            <w:r>
              <w:rPr>
                <w:color w:val="000000" w:themeColor="text1"/>
              </w:rPr>
            </w:r>
          </w:p>
        </w:tc>
        <w:tc>
          <w:tcPr>
            <w:shd w:val="clear" w:color="auto" w:fill="f2f5fa"/>
            <w:tcBorders/>
            <w:tcMar>
              <w:left w:w="90" w:type="dxa"/>
              <w:top w:w="60" w:type="dxa"/>
              <w:right w:w="90" w:type="dxa"/>
              <w:bottom w:w="60" w:type="dxa"/>
            </w:tcMar>
            <w:tcW w:w="975" w:type="dxa"/>
            <w:vAlign w:val="center"/>
          </w:tcPr>
          <w:p>
            <w:pPr>
              <w:pBdr/>
              <w:spacing w:after="40" w:before="40" w:line="240" w:lineRule="auto"/>
              <w:ind/>
              <w:jc w:val="center"/>
              <w:rPr>
                <w:color w:val="000000" w:themeColor="text1"/>
              </w:rPr>
            </w:pPr>
            <w:r>
              <w:rPr>
                <w:rFonts w:ascii="Calibri" w:hAnsi="Calibri" w:eastAsia="Calibri" w:cs="Calibri"/>
                <w:b w:val="0"/>
                <w:bCs w:val="0"/>
                <w:color w:val="000000" w:themeColor="text1"/>
                <w:sz w:val="16"/>
                <w:szCs w:val="16"/>
                <w:lang w:val="es-ES"/>
              </w:rPr>
              <w:t xml:space="preserve">71,2 %</w:t>
            </w:r>
            <w:r>
              <w:rPr>
                <w:color w:val="000000" w:themeColor="text1"/>
              </w:rPr>
            </w:r>
          </w:p>
        </w:tc>
      </w:tr>
    </w:tbl>
    <w:p>
      <w:pPr>
        <w:pBdr/>
        <w:spacing w:after="160"/>
        <w:ind/>
        <w:rPr>
          <w:color w:val="000000" w:themeColor="text1"/>
        </w:rPr>
      </w:pPr>
      <w:r>
        <w:rPr>
          <w:color w:val="000000" w:themeColor="text1"/>
          <w:lang w:val="es-ES" w:bidi="es-ES"/>
        </w:rPr>
      </w:r>
      <w:r>
        <w:rPr>
          <w:color w:val="000000" w:themeColor="text1"/>
        </w:rPr>
      </w:r>
    </w:p>
    <w:p>
      <w:pPr>
        <w:pBdr/>
        <w:spacing w:after="140" w:line="276" w:lineRule="auto"/>
        <w:ind/>
        <w:jc w:val="both"/>
        <w:rPr>
          <w:color w:val="000000" w:themeColor="text1"/>
        </w:rPr>
      </w:pPr>
      <w:r>
        <w:rPr>
          <w:rFonts w:ascii="Calibri" w:hAnsi="Calibri" w:eastAsia="Calibri" w:cs="Calibri"/>
          <w:color w:val="000000" w:themeColor="text1"/>
          <w:sz w:val="21"/>
          <w:szCs w:val="21"/>
          <w:lang w:val="es-ES"/>
        </w:rPr>
        <w:t xml:space="preserve">La opción B obtiene 4,35 puntos, con una ventaja de 0,79 puntos sobre la opción C y de 1,45 sobre la opción A. El margen no es estrecho, lo que reduce el riesgo de que la elección dependa de la subjetividad inevitable de las calificaciones individuales.</w:t>
      </w:r>
      <w:r>
        <w:rPr>
          <w:color w:val="000000" w:themeColor="text1"/>
        </w:rPr>
      </w:r>
    </w:p>
    <w:p>
      <w:pPr>
        <w:pBdr/>
        <w:spacing w:after="140" w:line="276" w:lineRule="auto"/>
        <w:ind/>
        <w:jc w:val="both"/>
        <w:rPr>
          <w:color w:val="000000" w:themeColor="text1"/>
        </w:rPr>
      </w:pPr>
      <w:r>
        <w:rPr>
          <w:rFonts w:ascii="Calibri" w:hAnsi="Calibri" w:eastAsia="Calibri" w:cs="Calibri"/>
          <w:color w:val="000000" w:themeColor="text1"/>
          <w:sz w:val="21"/>
          <w:szCs w:val="21"/>
          <w:lang w:val="es-ES"/>
        </w:rPr>
        <w:t xml:space="preserve">Vale la pena leer la matriz además en sentido horizontal. La opción C iguala a la B en el primero de los tres criterios estructurales puros (C-01) y la supera en los otros dos (C-02 y C-03), lo que confirma que técnicamente los microservicios ofrecen fronteras más firmes y mayor elasticidad. Pierde, sin embargo, por un margen amplio en costo y simplicidad, y de manera menos evidente en seguridad y mantenibilidad, porque distribuir el sistema dispersa la auditoría transversal y multiplica la superficie de prueba. La opción A gana solamente en costo y simplicidad, y su calificación de 2 en capacidad de pruebas es la que sella su descarte: incumple un requisito con umbral verificable.</w:t>
      </w:r>
      <w:r>
        <w:rPr>
          <w:color w:val="000000" w:themeColor="text1"/>
        </w:rPr>
      </w:r>
    </w:p>
    <w:p>
      <w:pPr>
        <w:pStyle w:val="905"/>
        <w:keepNext w:val="true"/>
        <w:pBdr/>
        <w:spacing w:after="120" w:before="220"/>
        <w:ind/>
        <w:rPr>
          <w:color w:val="000000" w:themeColor="text1"/>
        </w:rPr>
      </w:pPr>
      <w:r/>
      <w:bookmarkStart w:id="25" w:name="_Toc25"/>
      <w:r>
        <w:rPr>
          <w:rFonts w:ascii="Calibri" w:hAnsi="Calibri" w:eastAsia="Calibri" w:cs="Calibri"/>
          <w:b/>
          <w:bCs/>
          <w:color w:val="000000" w:themeColor="text1"/>
          <w:sz w:val="22"/>
          <w:szCs w:val="22"/>
          <w:lang w:val="es-ES"/>
        </w:rPr>
        <w:t xml:space="preserve">2.6.5 Análisis de sensibilidad</w:t>
      </w:r>
      <w:r/>
      <w:bookmarkEnd w:id="25"/>
      <w:r/>
      <w:r>
        <w:rPr>
          <w:color w:val="000000" w:themeColor="text1"/>
        </w:rPr>
      </w:r>
    </w:p>
    <w:p>
      <w:pPr>
        <w:pBdr/>
        <w:spacing w:after="140" w:line="276" w:lineRule="auto"/>
        <w:ind/>
        <w:jc w:val="both"/>
        <w:rPr>
          <w:color w:val="000000" w:themeColor="text1"/>
        </w:rPr>
      </w:pPr>
      <w:r>
        <w:rPr>
          <w:rFonts w:ascii="Calibri" w:hAnsi="Calibri" w:eastAsia="Calibri" w:cs="Calibri"/>
          <w:color w:val="000000" w:themeColor="text1"/>
          <w:sz w:val="21"/>
          <w:szCs w:val="21"/>
          <w:lang w:val="es-ES"/>
        </w:rPr>
        <w:t xml:space="preserve">El SWEBOK sostiene que el corazón de la evaluación arquitectónica está en las compensaciones, y que ninguna arquitectura es buena en todo. Para comprobar la robustez del resultado frente a la ponderación elegida, el equipo recalculó la matriz bajo dos escenarios alternativos.</w:t>
      </w:r>
      <w:r>
        <w:rPr>
          <w:color w:val="000000" w:themeColor="text1"/>
        </w:rPr>
      </w:r>
    </w:p>
    <w:tbl>
      <w:tblPr>
        <w:tblW w:w="9360" w:type="dxa"/>
        <w:tblBorders>
          <w:top w:val="single" w:color="8ea9db" w:sz="4" w:space="0"/>
          <w:left w:val="single" w:color="8ea9db" w:sz="4" w:space="0"/>
          <w:bottom w:val="single" w:color="8ea9db" w:sz="4" w:space="0"/>
          <w:right w:val="single" w:color="8ea9db" w:sz="4" w:space="0"/>
          <w:insideH w:val="single" w:color="b4c6e7" w:sz="2" w:space="0"/>
          <w:insideV w:val="single" w:color="b4c6e7" w:sz="2" w:space="0"/>
        </w:tblBorders>
        <w:tblLook w:val="04A0" w:firstRow="1" w:lastRow="0" w:firstColumn="1" w:lastColumn="0" w:noHBand="0" w:noVBand="1"/>
      </w:tblPr>
      <w:tblGrid>
        <w:gridCol w:w="1980"/>
        <w:gridCol w:w="3960"/>
        <w:gridCol w:w="810"/>
        <w:gridCol w:w="810"/>
        <w:gridCol w:w="810"/>
        <w:gridCol w:w="990"/>
      </w:tblGrid>
      <w:tr>
        <w:trPr>
          <w:cantSplit w:val="false"/>
          <w:tblHeader/>
        </w:trPr>
        <w:tc>
          <w:tcPr>
            <w:shd w:val="clear" w:color="auto" w:fill="d9e2f3"/>
            <w:tcBorders/>
            <w:tcMar>
              <w:left w:w="90" w:type="dxa"/>
              <w:top w:w="60" w:type="dxa"/>
              <w:right w:w="90" w:type="dxa"/>
              <w:bottom w:w="60" w:type="dxa"/>
            </w:tcMar>
            <w:tcW w:w="1980"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7"/>
                <w:szCs w:val="17"/>
                <w:lang w:val="es-ES"/>
              </w:rPr>
              <w:t xml:space="preserve">Escenario</w:t>
            </w:r>
            <w:r>
              <w:rPr>
                <w:color w:val="000000" w:themeColor="text1"/>
              </w:rPr>
            </w:r>
          </w:p>
        </w:tc>
        <w:tc>
          <w:tcPr>
            <w:shd w:val="clear" w:color="auto" w:fill="d9e2f3"/>
            <w:tcBorders/>
            <w:tcMar>
              <w:left w:w="90" w:type="dxa"/>
              <w:top w:w="60" w:type="dxa"/>
              <w:right w:w="90" w:type="dxa"/>
              <w:bottom w:w="60" w:type="dxa"/>
            </w:tcMar>
            <w:tcW w:w="3960"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7"/>
                <w:szCs w:val="17"/>
                <w:lang w:val="es-ES"/>
              </w:rPr>
              <w:t xml:space="preserve">Modificación de los pesos</w:t>
            </w:r>
            <w:r>
              <w:rPr>
                <w:color w:val="000000" w:themeColor="text1"/>
              </w:rPr>
            </w:r>
          </w:p>
        </w:tc>
        <w:tc>
          <w:tcPr>
            <w:shd w:val="clear" w:color="auto" w:fill="d9e2f3"/>
            <w:tcBorders/>
            <w:tcMar>
              <w:left w:w="90" w:type="dxa"/>
              <w:top w:w="60" w:type="dxa"/>
              <w:right w:w="90" w:type="dxa"/>
              <w:bottom w:w="60" w:type="dxa"/>
            </w:tcMar>
            <w:tcW w:w="810" w:type="dxa"/>
            <w:vAlign w:val="center"/>
          </w:tcPr>
          <w:p>
            <w:pPr>
              <w:pBdr/>
              <w:spacing w:after="40" w:before="40" w:line="240" w:lineRule="auto"/>
              <w:ind/>
              <w:jc w:val="center"/>
              <w:rPr>
                <w:color w:val="000000" w:themeColor="text1"/>
              </w:rPr>
            </w:pPr>
            <w:r>
              <w:rPr>
                <w:rFonts w:ascii="Calibri" w:hAnsi="Calibri" w:eastAsia="Calibri" w:cs="Calibri"/>
                <w:b/>
                <w:bCs/>
                <w:color w:val="000000" w:themeColor="text1"/>
                <w:sz w:val="17"/>
                <w:szCs w:val="17"/>
                <w:lang w:val="es-ES"/>
              </w:rPr>
              <w:t xml:space="preserve">A</w:t>
            </w:r>
            <w:r>
              <w:rPr>
                <w:color w:val="000000" w:themeColor="text1"/>
              </w:rPr>
            </w:r>
          </w:p>
        </w:tc>
        <w:tc>
          <w:tcPr>
            <w:shd w:val="clear" w:color="auto" w:fill="d9e2f3"/>
            <w:tcBorders/>
            <w:tcMar>
              <w:left w:w="90" w:type="dxa"/>
              <w:top w:w="60" w:type="dxa"/>
              <w:right w:w="90" w:type="dxa"/>
              <w:bottom w:w="60" w:type="dxa"/>
            </w:tcMar>
            <w:tcW w:w="810" w:type="dxa"/>
            <w:vAlign w:val="center"/>
          </w:tcPr>
          <w:p>
            <w:pPr>
              <w:pBdr/>
              <w:spacing w:after="40" w:before="40" w:line="240" w:lineRule="auto"/>
              <w:ind/>
              <w:jc w:val="center"/>
              <w:rPr>
                <w:color w:val="000000" w:themeColor="text1"/>
              </w:rPr>
            </w:pPr>
            <w:r>
              <w:rPr>
                <w:rFonts w:ascii="Calibri" w:hAnsi="Calibri" w:eastAsia="Calibri" w:cs="Calibri"/>
                <w:b/>
                <w:bCs/>
                <w:color w:val="000000" w:themeColor="text1"/>
                <w:sz w:val="17"/>
                <w:szCs w:val="17"/>
                <w:lang w:val="es-ES"/>
              </w:rPr>
              <w:t xml:space="preserve">B</w:t>
            </w:r>
            <w:r>
              <w:rPr>
                <w:color w:val="000000" w:themeColor="text1"/>
              </w:rPr>
            </w:r>
          </w:p>
        </w:tc>
        <w:tc>
          <w:tcPr>
            <w:shd w:val="clear" w:color="auto" w:fill="d9e2f3"/>
            <w:tcBorders/>
            <w:tcMar>
              <w:left w:w="90" w:type="dxa"/>
              <w:top w:w="60" w:type="dxa"/>
              <w:right w:w="90" w:type="dxa"/>
              <w:bottom w:w="60" w:type="dxa"/>
            </w:tcMar>
            <w:tcW w:w="810" w:type="dxa"/>
            <w:vAlign w:val="center"/>
          </w:tcPr>
          <w:p>
            <w:pPr>
              <w:pBdr/>
              <w:spacing w:after="40" w:before="40" w:line="240" w:lineRule="auto"/>
              <w:ind/>
              <w:jc w:val="center"/>
              <w:rPr>
                <w:color w:val="000000" w:themeColor="text1"/>
              </w:rPr>
            </w:pPr>
            <w:r>
              <w:rPr>
                <w:rFonts w:ascii="Calibri" w:hAnsi="Calibri" w:eastAsia="Calibri" w:cs="Calibri"/>
                <w:b/>
                <w:bCs/>
                <w:color w:val="000000" w:themeColor="text1"/>
                <w:sz w:val="17"/>
                <w:szCs w:val="17"/>
                <w:lang w:val="es-ES"/>
              </w:rPr>
              <w:t xml:space="preserve">C</w:t>
            </w:r>
            <w:r>
              <w:rPr>
                <w:color w:val="000000" w:themeColor="text1"/>
              </w:rPr>
            </w:r>
          </w:p>
        </w:tc>
        <w:tc>
          <w:tcPr>
            <w:shd w:val="clear" w:color="auto" w:fill="d9e2f3"/>
            <w:tcBorders/>
            <w:tcMar>
              <w:left w:w="90" w:type="dxa"/>
              <w:top w:w="60" w:type="dxa"/>
              <w:right w:w="90" w:type="dxa"/>
              <w:bottom w:w="60" w:type="dxa"/>
            </w:tcMar>
            <w:tcW w:w="990" w:type="dxa"/>
            <w:vAlign w:val="center"/>
          </w:tcPr>
          <w:p>
            <w:pPr>
              <w:pBdr/>
              <w:spacing w:after="40" w:before="40" w:line="240" w:lineRule="auto"/>
              <w:ind/>
              <w:jc w:val="center"/>
              <w:rPr>
                <w:color w:val="000000" w:themeColor="text1"/>
              </w:rPr>
            </w:pPr>
            <w:r>
              <w:rPr>
                <w:rFonts w:ascii="Calibri" w:hAnsi="Calibri" w:eastAsia="Calibri" w:cs="Calibri"/>
                <w:b/>
                <w:bCs/>
                <w:color w:val="000000" w:themeColor="text1"/>
                <w:sz w:val="17"/>
                <w:szCs w:val="17"/>
                <w:lang w:val="es-ES"/>
              </w:rPr>
              <w:t xml:space="preserve">Ganadora</w:t>
            </w:r>
            <w:r>
              <w:rPr>
                <w:color w:val="000000" w:themeColor="text1"/>
              </w:rPr>
            </w:r>
          </w:p>
        </w:tc>
      </w:tr>
      <w:tr>
        <w:trPr>
          <w:cantSplit w:val="false"/>
        </w:trPr>
        <w:tc>
          <w:tcPr>
            <w:shd w:val="clear" w:color="auto" w:fill="ffffff"/>
            <w:tcBorders/>
            <w:tcMar>
              <w:left w:w="90" w:type="dxa"/>
              <w:top w:w="60" w:type="dxa"/>
              <w:right w:w="90" w:type="dxa"/>
              <w:bottom w:w="60" w:type="dxa"/>
            </w:tcMar>
            <w:tcW w:w="1980"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7"/>
                <w:szCs w:val="17"/>
                <w:lang w:val="es-ES"/>
              </w:rPr>
              <w:t xml:space="preserve">Base</w:t>
            </w:r>
            <w:r>
              <w:rPr>
                <w:color w:val="000000" w:themeColor="text1"/>
              </w:rPr>
            </w:r>
          </w:p>
        </w:tc>
        <w:tc>
          <w:tcPr>
            <w:shd w:val="clear" w:color="auto" w:fill="ffffff"/>
            <w:tcBorders/>
            <w:tcMar>
              <w:left w:w="90" w:type="dxa"/>
              <w:top w:w="60" w:type="dxa"/>
              <w:right w:w="90" w:type="dxa"/>
              <w:bottom w:w="60" w:type="dxa"/>
            </w:tcMar>
            <w:tcW w:w="3960"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7"/>
                <w:szCs w:val="17"/>
                <w:lang w:val="es-ES"/>
              </w:rPr>
              <w:t xml:space="preserve">Ponderación adoptada en la sección 2.5.</w:t>
            </w:r>
            <w:r>
              <w:rPr>
                <w:color w:val="000000" w:themeColor="text1"/>
              </w:rPr>
            </w:r>
          </w:p>
        </w:tc>
        <w:tc>
          <w:tcPr>
            <w:shd w:val="clear" w:color="auto" w:fill="ffffff"/>
            <w:tcBorders/>
            <w:tcMar>
              <w:left w:w="90" w:type="dxa"/>
              <w:top w:w="60" w:type="dxa"/>
              <w:right w:w="90" w:type="dxa"/>
              <w:bottom w:w="60" w:type="dxa"/>
            </w:tcMar>
            <w:tcW w:w="810" w:type="dxa"/>
            <w:vAlign w:val="center"/>
          </w:tcPr>
          <w:p>
            <w:pPr>
              <w:pBdr/>
              <w:spacing w:after="40" w:before="40" w:line="240" w:lineRule="auto"/>
              <w:ind/>
              <w:jc w:val="center"/>
              <w:rPr>
                <w:color w:val="000000" w:themeColor="text1"/>
              </w:rPr>
            </w:pPr>
            <w:r>
              <w:rPr>
                <w:rFonts w:ascii="Calibri" w:hAnsi="Calibri" w:eastAsia="Calibri" w:cs="Calibri"/>
                <w:b w:val="0"/>
                <w:bCs w:val="0"/>
                <w:color w:val="000000" w:themeColor="text1"/>
                <w:sz w:val="17"/>
                <w:szCs w:val="17"/>
                <w:lang w:val="es-ES"/>
              </w:rPr>
              <w:t xml:space="preserve">2,90</w:t>
            </w:r>
            <w:r>
              <w:rPr>
                <w:color w:val="000000" w:themeColor="text1"/>
              </w:rPr>
            </w:r>
          </w:p>
        </w:tc>
        <w:tc>
          <w:tcPr>
            <w:shd w:val="clear" w:color="auto" w:fill="ffffff"/>
            <w:tcBorders/>
            <w:tcMar>
              <w:left w:w="90" w:type="dxa"/>
              <w:top w:w="60" w:type="dxa"/>
              <w:right w:w="90" w:type="dxa"/>
              <w:bottom w:w="60" w:type="dxa"/>
            </w:tcMar>
            <w:tcW w:w="810" w:type="dxa"/>
            <w:vAlign w:val="center"/>
          </w:tcPr>
          <w:p>
            <w:pPr>
              <w:pBdr/>
              <w:spacing w:after="40" w:before="40" w:line="240" w:lineRule="auto"/>
              <w:ind/>
              <w:jc w:val="center"/>
              <w:rPr>
                <w:color w:val="000000" w:themeColor="text1"/>
              </w:rPr>
            </w:pPr>
            <w:r>
              <w:rPr>
                <w:rFonts w:ascii="Calibri" w:hAnsi="Calibri" w:eastAsia="Calibri" w:cs="Calibri"/>
                <w:b w:val="0"/>
                <w:bCs w:val="0"/>
                <w:color w:val="000000" w:themeColor="text1"/>
                <w:sz w:val="17"/>
                <w:szCs w:val="17"/>
                <w:lang w:val="es-ES"/>
              </w:rPr>
              <w:t xml:space="preserve">4,35</w:t>
            </w:r>
            <w:r>
              <w:rPr>
                <w:color w:val="000000" w:themeColor="text1"/>
              </w:rPr>
            </w:r>
          </w:p>
        </w:tc>
        <w:tc>
          <w:tcPr>
            <w:shd w:val="clear" w:color="auto" w:fill="ffffff"/>
            <w:tcBorders/>
            <w:tcMar>
              <w:left w:w="90" w:type="dxa"/>
              <w:top w:w="60" w:type="dxa"/>
              <w:right w:w="90" w:type="dxa"/>
              <w:bottom w:w="60" w:type="dxa"/>
            </w:tcMar>
            <w:tcW w:w="810" w:type="dxa"/>
            <w:vAlign w:val="center"/>
          </w:tcPr>
          <w:p>
            <w:pPr>
              <w:pBdr/>
              <w:spacing w:after="40" w:before="40" w:line="240" w:lineRule="auto"/>
              <w:ind/>
              <w:jc w:val="center"/>
              <w:rPr>
                <w:color w:val="000000" w:themeColor="text1"/>
              </w:rPr>
            </w:pPr>
            <w:r>
              <w:rPr>
                <w:rFonts w:ascii="Calibri" w:hAnsi="Calibri" w:eastAsia="Calibri" w:cs="Calibri"/>
                <w:b w:val="0"/>
                <w:bCs w:val="0"/>
                <w:color w:val="000000" w:themeColor="text1"/>
                <w:sz w:val="17"/>
                <w:szCs w:val="17"/>
                <w:lang w:val="es-ES"/>
              </w:rPr>
              <w:t xml:space="preserve">3,56</w:t>
            </w:r>
            <w:r>
              <w:rPr>
                <w:color w:val="000000" w:themeColor="text1"/>
              </w:rPr>
            </w:r>
          </w:p>
        </w:tc>
        <w:tc>
          <w:tcPr>
            <w:shd w:val="clear" w:color="auto" w:fill="ffffff"/>
            <w:tcBorders/>
            <w:tcMar>
              <w:left w:w="90" w:type="dxa"/>
              <w:top w:w="60" w:type="dxa"/>
              <w:right w:w="90" w:type="dxa"/>
              <w:bottom w:w="60" w:type="dxa"/>
            </w:tcMar>
            <w:tcW w:w="990" w:type="dxa"/>
            <w:vAlign w:val="center"/>
          </w:tcPr>
          <w:p>
            <w:pPr>
              <w:pBdr/>
              <w:spacing w:after="40" w:before="40" w:line="240" w:lineRule="auto"/>
              <w:ind/>
              <w:jc w:val="center"/>
              <w:rPr>
                <w:color w:val="000000" w:themeColor="text1"/>
              </w:rPr>
            </w:pPr>
            <w:r>
              <w:rPr>
                <w:rFonts w:ascii="Calibri" w:hAnsi="Calibri" w:eastAsia="Calibri" w:cs="Calibri"/>
                <w:b w:val="0"/>
                <w:bCs w:val="0"/>
                <w:color w:val="000000" w:themeColor="text1"/>
                <w:sz w:val="17"/>
                <w:szCs w:val="17"/>
                <w:lang w:val="es-ES"/>
              </w:rPr>
              <w:t xml:space="preserve">B</w:t>
            </w:r>
            <w:r>
              <w:rPr>
                <w:color w:val="000000" w:themeColor="text1"/>
              </w:rPr>
            </w:r>
          </w:p>
        </w:tc>
      </w:tr>
      <w:tr>
        <w:trPr>
          <w:cantSplit w:val="false"/>
        </w:trPr>
        <w:tc>
          <w:tcPr>
            <w:shd w:val="clear" w:color="auto" w:fill="f2f5fa"/>
            <w:tcBorders/>
            <w:tcMar>
              <w:left w:w="90" w:type="dxa"/>
              <w:top w:w="60" w:type="dxa"/>
              <w:right w:w="90" w:type="dxa"/>
              <w:bottom w:w="60" w:type="dxa"/>
            </w:tcMar>
            <w:tcW w:w="1980"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7"/>
                <w:szCs w:val="17"/>
                <w:lang w:val="es-ES"/>
              </w:rPr>
              <w:t xml:space="preserve">Escenario 1: escalado prioritario</w:t>
            </w:r>
            <w:r>
              <w:rPr>
                <w:color w:val="000000" w:themeColor="text1"/>
              </w:rPr>
            </w:r>
          </w:p>
        </w:tc>
        <w:tc>
          <w:tcPr>
            <w:shd w:val="clear" w:color="auto" w:fill="f2f5fa"/>
            <w:tcBorders/>
            <w:tcMar>
              <w:left w:w="90" w:type="dxa"/>
              <w:top w:w="60" w:type="dxa"/>
              <w:right w:w="90" w:type="dxa"/>
              <w:bottom w:w="60" w:type="dxa"/>
            </w:tcMar>
            <w:tcW w:w="3960"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7"/>
                <w:szCs w:val="17"/>
                <w:lang w:val="es-ES"/>
              </w:rPr>
              <w:t xml:space="preserve">C-03 sube de 13 % a 25 %; C-07 baja de 13 % a 5 %; C-01 baja de 12 % a 8 %. Se supone financiación externa y crecimiento acelerado.</w:t>
            </w:r>
            <w:r>
              <w:rPr>
                <w:color w:val="000000" w:themeColor="text1"/>
              </w:rPr>
            </w:r>
          </w:p>
        </w:tc>
        <w:tc>
          <w:tcPr>
            <w:shd w:val="clear" w:color="auto" w:fill="f2f5fa"/>
            <w:tcBorders/>
            <w:tcMar>
              <w:left w:w="90" w:type="dxa"/>
              <w:top w:w="60" w:type="dxa"/>
              <w:right w:w="90" w:type="dxa"/>
              <w:bottom w:w="60" w:type="dxa"/>
            </w:tcMar>
            <w:tcW w:w="810" w:type="dxa"/>
            <w:vAlign w:val="center"/>
          </w:tcPr>
          <w:p>
            <w:pPr>
              <w:pBdr/>
              <w:spacing w:after="40" w:before="40" w:line="240" w:lineRule="auto"/>
              <w:ind/>
              <w:jc w:val="center"/>
              <w:rPr>
                <w:color w:val="000000" w:themeColor="text1"/>
              </w:rPr>
            </w:pPr>
            <w:r>
              <w:rPr>
                <w:rFonts w:ascii="Calibri" w:hAnsi="Calibri" w:eastAsia="Calibri" w:cs="Calibri"/>
                <w:b w:val="0"/>
                <w:bCs w:val="0"/>
                <w:color w:val="000000" w:themeColor="text1"/>
                <w:sz w:val="17"/>
                <w:szCs w:val="17"/>
                <w:lang w:val="es-ES"/>
              </w:rPr>
              <w:t xml:space="preserve">2,62</w:t>
            </w:r>
            <w:r>
              <w:rPr>
                <w:color w:val="000000" w:themeColor="text1"/>
              </w:rPr>
            </w:r>
          </w:p>
        </w:tc>
        <w:tc>
          <w:tcPr>
            <w:shd w:val="clear" w:color="auto" w:fill="f2f5fa"/>
            <w:tcBorders/>
            <w:tcMar>
              <w:left w:w="90" w:type="dxa"/>
              <w:top w:w="60" w:type="dxa"/>
              <w:right w:w="90" w:type="dxa"/>
              <w:bottom w:w="60" w:type="dxa"/>
            </w:tcMar>
            <w:tcW w:w="810" w:type="dxa"/>
            <w:vAlign w:val="center"/>
          </w:tcPr>
          <w:p>
            <w:pPr>
              <w:pBdr/>
              <w:spacing w:after="40" w:before="40" w:line="240" w:lineRule="auto"/>
              <w:ind/>
              <w:jc w:val="center"/>
              <w:rPr>
                <w:color w:val="000000" w:themeColor="text1"/>
              </w:rPr>
            </w:pPr>
            <w:r>
              <w:rPr>
                <w:rFonts w:ascii="Calibri" w:hAnsi="Calibri" w:eastAsia="Calibri" w:cs="Calibri"/>
                <w:b w:val="0"/>
                <w:bCs w:val="0"/>
                <w:color w:val="000000" w:themeColor="text1"/>
                <w:sz w:val="17"/>
                <w:szCs w:val="17"/>
                <w:lang w:val="es-ES"/>
              </w:rPr>
              <w:t xml:space="preserve">4,31</w:t>
            </w:r>
            <w:r>
              <w:rPr>
                <w:color w:val="000000" w:themeColor="text1"/>
              </w:rPr>
            </w:r>
          </w:p>
        </w:tc>
        <w:tc>
          <w:tcPr>
            <w:shd w:val="clear" w:color="auto" w:fill="f2f5fa"/>
            <w:tcBorders/>
            <w:tcMar>
              <w:left w:w="90" w:type="dxa"/>
              <w:top w:w="60" w:type="dxa"/>
              <w:right w:w="90" w:type="dxa"/>
              <w:bottom w:w="60" w:type="dxa"/>
            </w:tcMar>
            <w:tcW w:w="810" w:type="dxa"/>
            <w:vAlign w:val="center"/>
          </w:tcPr>
          <w:p>
            <w:pPr>
              <w:pBdr/>
              <w:spacing w:after="40" w:before="40" w:line="240" w:lineRule="auto"/>
              <w:ind/>
              <w:jc w:val="center"/>
              <w:rPr>
                <w:color w:val="000000" w:themeColor="text1"/>
              </w:rPr>
            </w:pPr>
            <w:r>
              <w:rPr>
                <w:rFonts w:ascii="Calibri" w:hAnsi="Calibri" w:eastAsia="Calibri" w:cs="Calibri"/>
                <w:b w:val="0"/>
                <w:bCs w:val="0"/>
                <w:color w:val="000000" w:themeColor="text1"/>
                <w:sz w:val="17"/>
                <w:szCs w:val="17"/>
                <w:lang w:val="es-ES"/>
              </w:rPr>
              <w:t xml:space="preserve">3,88</w:t>
            </w:r>
            <w:r>
              <w:rPr>
                <w:color w:val="000000" w:themeColor="text1"/>
              </w:rPr>
            </w:r>
          </w:p>
        </w:tc>
        <w:tc>
          <w:tcPr>
            <w:shd w:val="clear" w:color="auto" w:fill="f2f5fa"/>
            <w:tcBorders/>
            <w:tcMar>
              <w:left w:w="90" w:type="dxa"/>
              <w:top w:w="60" w:type="dxa"/>
              <w:right w:w="90" w:type="dxa"/>
              <w:bottom w:w="60" w:type="dxa"/>
            </w:tcMar>
            <w:tcW w:w="990" w:type="dxa"/>
            <w:vAlign w:val="center"/>
          </w:tcPr>
          <w:p>
            <w:pPr>
              <w:pBdr/>
              <w:spacing w:after="40" w:before="40" w:line="240" w:lineRule="auto"/>
              <w:ind/>
              <w:jc w:val="center"/>
              <w:rPr>
                <w:color w:val="000000" w:themeColor="text1"/>
              </w:rPr>
            </w:pPr>
            <w:r>
              <w:rPr>
                <w:rFonts w:ascii="Calibri" w:hAnsi="Calibri" w:eastAsia="Calibri" w:cs="Calibri"/>
                <w:b w:val="0"/>
                <w:bCs w:val="0"/>
                <w:color w:val="000000" w:themeColor="text1"/>
                <w:sz w:val="17"/>
                <w:szCs w:val="17"/>
                <w:lang w:val="es-ES"/>
              </w:rPr>
              <w:t xml:space="preserve">B</w:t>
            </w:r>
            <w:r>
              <w:rPr>
                <w:color w:val="000000" w:themeColor="text1"/>
              </w:rPr>
            </w:r>
          </w:p>
        </w:tc>
      </w:tr>
      <w:tr>
        <w:trPr>
          <w:cantSplit w:val="false"/>
        </w:trPr>
        <w:tc>
          <w:tcPr>
            <w:shd w:val="clear" w:color="auto" w:fill="ffffff"/>
            <w:tcBorders/>
            <w:tcMar>
              <w:left w:w="90" w:type="dxa"/>
              <w:top w:w="60" w:type="dxa"/>
              <w:right w:w="90" w:type="dxa"/>
              <w:bottom w:w="60" w:type="dxa"/>
            </w:tcMar>
            <w:tcW w:w="1980"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7"/>
                <w:szCs w:val="17"/>
                <w:lang w:val="es-ES"/>
              </w:rPr>
              <w:t xml:space="preserve">Escenario 2: entrega mínima</w:t>
            </w:r>
            <w:r>
              <w:rPr>
                <w:color w:val="000000" w:themeColor="text1"/>
              </w:rPr>
            </w:r>
          </w:p>
        </w:tc>
        <w:tc>
          <w:tcPr>
            <w:shd w:val="clear" w:color="auto" w:fill="ffffff"/>
            <w:tcBorders/>
            <w:tcMar>
              <w:left w:w="90" w:type="dxa"/>
              <w:top w:w="60" w:type="dxa"/>
              <w:right w:w="90" w:type="dxa"/>
              <w:bottom w:w="60" w:type="dxa"/>
            </w:tcMar>
            <w:tcW w:w="3960"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7"/>
                <w:szCs w:val="17"/>
                <w:lang w:val="es-ES"/>
              </w:rPr>
              <w:t xml:space="preserve">C-07 sube de 13 % a 25 %; C-03 baja de 13 % a 5 %; C-01 baja de 12 % a 8 %. Se supone un calendario aún más comprimido.</w:t>
            </w:r>
            <w:r>
              <w:rPr>
                <w:color w:val="000000" w:themeColor="text1"/>
              </w:rPr>
            </w:r>
          </w:p>
        </w:tc>
        <w:tc>
          <w:tcPr>
            <w:shd w:val="clear" w:color="auto" w:fill="ffffff"/>
            <w:tcBorders/>
            <w:tcMar>
              <w:left w:w="90" w:type="dxa"/>
              <w:top w:w="60" w:type="dxa"/>
              <w:right w:w="90" w:type="dxa"/>
              <w:bottom w:w="60" w:type="dxa"/>
            </w:tcMar>
            <w:tcW w:w="810" w:type="dxa"/>
            <w:vAlign w:val="center"/>
          </w:tcPr>
          <w:p>
            <w:pPr>
              <w:pBdr/>
              <w:spacing w:after="40" w:before="40" w:line="240" w:lineRule="auto"/>
              <w:ind/>
              <w:jc w:val="center"/>
              <w:rPr>
                <w:color w:val="000000" w:themeColor="text1"/>
              </w:rPr>
            </w:pPr>
            <w:r>
              <w:rPr>
                <w:rFonts w:ascii="Calibri" w:hAnsi="Calibri" w:eastAsia="Calibri" w:cs="Calibri"/>
                <w:b w:val="0"/>
                <w:bCs w:val="0"/>
                <w:color w:val="000000" w:themeColor="text1"/>
                <w:sz w:val="17"/>
                <w:szCs w:val="17"/>
                <w:lang w:val="es-ES"/>
              </w:rPr>
              <w:t xml:space="preserve">3,22</w:t>
            </w:r>
            <w:r>
              <w:rPr>
                <w:color w:val="000000" w:themeColor="text1"/>
              </w:rPr>
            </w:r>
          </w:p>
        </w:tc>
        <w:tc>
          <w:tcPr>
            <w:shd w:val="clear" w:color="auto" w:fill="ffffff"/>
            <w:tcBorders/>
            <w:tcMar>
              <w:left w:w="90" w:type="dxa"/>
              <w:top w:w="60" w:type="dxa"/>
              <w:right w:w="90" w:type="dxa"/>
              <w:bottom w:w="60" w:type="dxa"/>
            </w:tcMar>
            <w:tcW w:w="810" w:type="dxa"/>
            <w:vAlign w:val="center"/>
          </w:tcPr>
          <w:p>
            <w:pPr>
              <w:pBdr/>
              <w:spacing w:after="40" w:before="40" w:line="240" w:lineRule="auto"/>
              <w:ind/>
              <w:jc w:val="center"/>
              <w:rPr>
                <w:color w:val="000000" w:themeColor="text1"/>
              </w:rPr>
            </w:pPr>
            <w:r>
              <w:rPr>
                <w:rFonts w:ascii="Calibri" w:hAnsi="Calibri" w:eastAsia="Calibri" w:cs="Calibri"/>
                <w:b w:val="0"/>
                <w:bCs w:val="0"/>
                <w:color w:val="000000" w:themeColor="text1"/>
                <w:sz w:val="17"/>
                <w:szCs w:val="17"/>
                <w:lang w:val="es-ES"/>
              </w:rPr>
              <w:t xml:space="preserve">4,31</w:t>
            </w:r>
            <w:r>
              <w:rPr>
                <w:color w:val="000000" w:themeColor="text1"/>
              </w:rPr>
            </w:r>
          </w:p>
        </w:tc>
        <w:tc>
          <w:tcPr>
            <w:shd w:val="clear" w:color="auto" w:fill="ffffff"/>
            <w:tcBorders/>
            <w:tcMar>
              <w:left w:w="90" w:type="dxa"/>
              <w:top w:w="60" w:type="dxa"/>
              <w:right w:w="90" w:type="dxa"/>
              <w:bottom w:w="60" w:type="dxa"/>
            </w:tcMar>
            <w:tcW w:w="810" w:type="dxa"/>
            <w:vAlign w:val="center"/>
          </w:tcPr>
          <w:p>
            <w:pPr>
              <w:pBdr/>
              <w:spacing w:after="40" w:before="40" w:line="240" w:lineRule="auto"/>
              <w:ind/>
              <w:jc w:val="center"/>
              <w:rPr>
                <w:color w:val="000000" w:themeColor="text1"/>
              </w:rPr>
            </w:pPr>
            <w:r>
              <w:rPr>
                <w:rFonts w:ascii="Calibri" w:hAnsi="Calibri" w:eastAsia="Calibri" w:cs="Calibri"/>
                <w:b w:val="0"/>
                <w:bCs w:val="0"/>
                <w:color w:val="000000" w:themeColor="text1"/>
                <w:sz w:val="17"/>
                <w:szCs w:val="17"/>
                <w:lang w:val="es-ES"/>
              </w:rPr>
              <w:t xml:space="preserve">3,08</w:t>
            </w:r>
            <w:r>
              <w:rPr>
                <w:color w:val="000000" w:themeColor="text1"/>
              </w:rPr>
            </w:r>
          </w:p>
        </w:tc>
        <w:tc>
          <w:tcPr>
            <w:shd w:val="clear" w:color="auto" w:fill="ffffff"/>
            <w:tcBorders/>
            <w:tcMar>
              <w:left w:w="90" w:type="dxa"/>
              <w:top w:w="60" w:type="dxa"/>
              <w:right w:w="90" w:type="dxa"/>
              <w:bottom w:w="60" w:type="dxa"/>
            </w:tcMar>
            <w:tcW w:w="990" w:type="dxa"/>
            <w:vAlign w:val="center"/>
          </w:tcPr>
          <w:p>
            <w:pPr>
              <w:pBdr/>
              <w:spacing w:after="40" w:before="40" w:line="240" w:lineRule="auto"/>
              <w:ind/>
              <w:jc w:val="center"/>
              <w:rPr>
                <w:color w:val="000000" w:themeColor="text1"/>
              </w:rPr>
            </w:pPr>
            <w:r>
              <w:rPr>
                <w:rFonts w:ascii="Calibri" w:hAnsi="Calibri" w:eastAsia="Calibri" w:cs="Calibri"/>
                <w:b w:val="0"/>
                <w:bCs w:val="0"/>
                <w:color w:val="000000" w:themeColor="text1"/>
                <w:sz w:val="17"/>
                <w:szCs w:val="17"/>
                <w:lang w:val="es-ES"/>
              </w:rPr>
              <w:t xml:space="preserve">B</w:t>
            </w:r>
            <w:r>
              <w:rPr>
                <w:color w:val="000000" w:themeColor="text1"/>
              </w:rPr>
            </w:r>
          </w:p>
        </w:tc>
      </w:tr>
    </w:tbl>
    <w:p>
      <w:pPr>
        <w:pBdr/>
        <w:spacing w:after="160"/>
        <w:ind/>
        <w:rPr>
          <w:color w:val="000000" w:themeColor="text1"/>
        </w:rPr>
      </w:pPr>
      <w:r>
        <w:rPr>
          <w:color w:val="000000" w:themeColor="text1"/>
          <w:lang w:val="es-ES" w:bidi="es-ES"/>
        </w:rPr>
      </w:r>
      <w:r>
        <w:rPr>
          <w:color w:val="000000" w:themeColor="text1"/>
        </w:rPr>
      </w:r>
    </w:p>
    <w:p>
      <w:pPr>
        <w:pBdr/>
        <w:spacing w:after="140" w:line="276" w:lineRule="auto"/>
        <w:ind/>
        <w:jc w:val="both"/>
        <w:rPr>
          <w:color w:val="000000" w:themeColor="text1"/>
        </w:rPr>
      </w:pPr>
      <w:r>
        <w:rPr>
          <w:rFonts w:ascii="Calibri" w:hAnsi="Calibri" w:eastAsia="Calibri" w:cs="Calibri"/>
          <w:color w:val="000000" w:themeColor="text1"/>
          <w:sz w:val="21"/>
          <w:szCs w:val="21"/>
          <w:lang w:val="es-ES"/>
        </w:rPr>
        <w:t xml:space="preserve">La opción B permanece como ganadora en los tres escenarios, lo que indica que su ventaja no depende de la ponderación particular sino de que ocupa una posición intermedia sólida: nunca es la mejor en un criterio aislado salvo en tres, pero tampoco es nunca la peor. Resulta significativo que ni siquiera bajo el supuesto de escalado prioritario la opción C alcance a superarla; para que ello ocurriese habría que suponer además un equipo mayor, es decir, cambiar la restricción organizacional y no solamente los pesos.</w:t>
      </w:r>
      <w:r>
        <w:rPr>
          <w:color w:val="000000" w:themeColor="text1"/>
        </w:rPr>
      </w:r>
    </w:p>
    <w:p>
      <w:pPr>
        <w:pStyle w:val="904"/>
        <w:keepNext w:val="true"/>
        <w:pageBreakBefore w:val="true"/>
        <w:pBdr/>
        <w:spacing w:after="140" w:before="280"/>
        <w:ind/>
        <w:rPr>
          <w:color w:val="000000" w:themeColor="text1"/>
        </w:rPr>
      </w:pPr>
      <w:r/>
      <w:bookmarkStart w:id="26" w:name="_Toc26"/>
      <w:r>
        <w:rPr>
          <w:rFonts w:ascii="Calibri" w:hAnsi="Calibri" w:eastAsia="Calibri" w:cs="Calibri"/>
          <w:b/>
          <w:bCs/>
          <w:color w:val="000000" w:themeColor="text1"/>
          <w:sz w:val="25"/>
          <w:szCs w:val="25"/>
          <w:lang w:val="es-ES"/>
        </w:rPr>
        <w:t xml:space="preserve">2.7 Decisión de arquitectura y justificación</w:t>
      </w:r>
      <w:r/>
      <w:bookmarkEnd w:id="26"/>
      <w:r/>
      <w:r>
        <w:rPr>
          <w:color w:val="000000" w:themeColor="text1"/>
        </w:rPr>
      </w:r>
    </w:p>
    <w:p>
      <w:pPr>
        <w:pBdr/>
        <w:spacing w:after="140" w:line="276" w:lineRule="auto"/>
        <w:ind/>
        <w:jc w:val="both"/>
        <w:rPr>
          <w:color w:val="000000" w:themeColor="text1"/>
        </w:rPr>
      </w:pPr>
      <w:r>
        <w:rPr>
          <w:rFonts w:ascii="Calibri" w:hAnsi="Calibri" w:eastAsia="Calibri" w:cs="Calibri"/>
          <w:color w:val="000000" w:themeColor="text1"/>
          <w:sz w:val="21"/>
          <w:szCs w:val="21"/>
          <w:lang w:val="es-ES"/>
        </w:rPr>
        <w:t xml:space="preserve">La Cláusula 6.10 de la norma establece que la Descripción de Arquitectura debe registrar las decisiones adoptadas junto con su justificación, incluyendo de manera obligatoria qué se descartó y por qué.</w:t>
      </w:r>
      <w:r>
        <w:rPr>
          <w:color w:val="000000" w:themeColor="text1"/>
        </w:rPr>
      </w:r>
    </w:p>
    <w:p>
      <w:pPr>
        <w:pStyle w:val="905"/>
        <w:keepNext w:val="true"/>
        <w:pBdr/>
        <w:spacing w:after="120" w:before="220"/>
        <w:ind/>
        <w:rPr>
          <w:color w:val="000000" w:themeColor="text1"/>
        </w:rPr>
      </w:pPr>
      <w:r/>
      <w:bookmarkStart w:id="27" w:name="_Toc27"/>
      <w:r>
        <w:rPr>
          <w:rFonts w:ascii="Calibri" w:hAnsi="Calibri" w:eastAsia="Calibri" w:cs="Calibri"/>
          <w:b/>
          <w:bCs/>
          <w:color w:val="000000" w:themeColor="text1"/>
          <w:sz w:val="22"/>
          <w:szCs w:val="22"/>
          <w:lang w:val="es-ES"/>
        </w:rPr>
        <w:t xml:space="preserve">2.7.1 Decisión adoptada</w:t>
      </w:r>
      <w:r/>
      <w:bookmarkEnd w:id="27"/>
      <w:r/>
      <w:r>
        <w:rPr>
          <w:color w:val="000000" w:themeColor="text1"/>
        </w:rPr>
      </w:r>
    </w:p>
    <w:tbl>
      <w:tblPr>
        <w:tblW w:w="9360" w:type="dxa"/>
        <w:tblBorders>
          <w:top w:val="single" w:color="8ea9db" w:sz="4" w:space="0"/>
          <w:left w:val="single" w:color="8ea9db" w:sz="4" w:space="0"/>
          <w:bottom w:val="single" w:color="8ea9db" w:sz="4" w:space="0"/>
          <w:right w:val="single" w:color="8ea9db" w:sz="4" w:space="0"/>
          <w:insideH w:val="single" w:color="b4c6e7" w:sz="2" w:space="0"/>
          <w:insideV w:val="single" w:color="b4c6e7" w:sz="2" w:space="0"/>
        </w:tblBorders>
        <w:tblLook w:val="04A0" w:firstRow="1" w:lastRow="0" w:firstColumn="1" w:lastColumn="0" w:noHBand="0" w:noVBand="1"/>
      </w:tblPr>
      <w:tblGrid>
        <w:gridCol w:w="2153"/>
        <w:gridCol w:w="7207"/>
      </w:tblGrid>
      <w:tr>
        <w:trPr>
          <w:cantSplit w:val="false"/>
          <w:tblHeader/>
        </w:trPr>
        <w:tc>
          <w:tcPr>
            <w:shd w:val="clear" w:color="auto" w:fill="d9e2f3"/>
            <w:tcBorders/>
            <w:tcMar>
              <w:left w:w="90" w:type="dxa"/>
              <w:top w:w="60" w:type="dxa"/>
              <w:right w:w="90" w:type="dxa"/>
              <w:bottom w:w="60" w:type="dxa"/>
            </w:tcMar>
            <w:tcW w:w="2153"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7"/>
                <w:szCs w:val="17"/>
                <w:lang w:val="es-ES"/>
              </w:rPr>
              <w:t xml:space="preserve">Campo</w:t>
            </w:r>
            <w:r>
              <w:rPr>
                <w:color w:val="000000" w:themeColor="text1"/>
              </w:rPr>
            </w:r>
          </w:p>
        </w:tc>
        <w:tc>
          <w:tcPr>
            <w:shd w:val="clear" w:color="auto" w:fill="d9e2f3"/>
            <w:tcBorders/>
            <w:tcMar>
              <w:left w:w="90" w:type="dxa"/>
              <w:top w:w="60" w:type="dxa"/>
              <w:right w:w="90" w:type="dxa"/>
              <w:bottom w:w="60" w:type="dxa"/>
            </w:tcMar>
            <w:tcW w:w="7207"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7"/>
                <w:szCs w:val="17"/>
                <w:lang w:val="es-ES"/>
              </w:rPr>
              <w:t xml:space="preserve">Respuesta</w:t>
            </w:r>
            <w:r>
              <w:rPr>
                <w:color w:val="000000" w:themeColor="text1"/>
              </w:rPr>
            </w:r>
          </w:p>
        </w:tc>
      </w:tr>
      <w:tr>
        <w:trPr>
          <w:cantSplit w:val="false"/>
        </w:trPr>
        <w:tc>
          <w:tcPr>
            <w:shd w:val="clear" w:color="auto" w:fill="ffffff"/>
            <w:tcBorders/>
            <w:tcMar>
              <w:left w:w="90" w:type="dxa"/>
              <w:top w:w="60" w:type="dxa"/>
              <w:right w:w="90" w:type="dxa"/>
              <w:bottom w:w="60" w:type="dxa"/>
            </w:tcMar>
            <w:tcW w:w="2153"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7"/>
                <w:szCs w:val="17"/>
                <w:lang w:val="es-ES"/>
              </w:rPr>
              <w:t xml:space="preserve">Arquitectura elegida</w:t>
            </w:r>
            <w:r>
              <w:rPr>
                <w:color w:val="000000" w:themeColor="text1"/>
              </w:rPr>
            </w:r>
          </w:p>
        </w:tc>
        <w:tc>
          <w:tcPr>
            <w:shd w:val="clear" w:color="auto" w:fill="ffffff"/>
            <w:tcBorders/>
            <w:tcMar>
              <w:left w:w="90" w:type="dxa"/>
              <w:top w:w="60" w:type="dxa"/>
              <w:right w:w="90" w:type="dxa"/>
              <w:bottom w:w="60" w:type="dxa"/>
            </w:tcMar>
            <w:tcW w:w="7207"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7"/>
                <w:szCs w:val="17"/>
                <w:lang w:val="es-ES"/>
              </w:rPr>
              <w:t xml:space="preserve">Opción B — Monolito modular organizado en cuatro capas, con estructura interna de puertos y adaptadores (arquitectura hexagonal), API REST como estilo de interacción y procesamiento asíncrono mediante eventos de dominio para los efectos diferidos.</w:t>
            </w:r>
            <w:r>
              <w:rPr>
                <w:color w:val="000000" w:themeColor="text1"/>
              </w:rPr>
            </w:r>
          </w:p>
        </w:tc>
      </w:tr>
      <w:tr>
        <w:trPr>
          <w:cantSplit w:val="false"/>
        </w:trPr>
        <w:tc>
          <w:tcPr>
            <w:shd w:val="clear" w:color="auto" w:fill="f2f5fa"/>
            <w:tcBorders/>
            <w:tcMar>
              <w:left w:w="90" w:type="dxa"/>
              <w:top w:w="60" w:type="dxa"/>
              <w:right w:w="90" w:type="dxa"/>
              <w:bottom w:w="60" w:type="dxa"/>
            </w:tcMar>
            <w:tcW w:w="2153"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7"/>
                <w:szCs w:val="17"/>
                <w:lang w:val="es-ES"/>
              </w:rPr>
              <w:t xml:space="preserve">¿Por qué se eligió?</w:t>
            </w:r>
            <w:r>
              <w:rPr>
                <w:color w:val="000000" w:themeColor="text1"/>
              </w:rPr>
            </w:r>
          </w:p>
        </w:tc>
        <w:tc>
          <w:tcPr>
            <w:shd w:val="clear" w:color="auto" w:fill="f2f5fa"/>
            <w:tcBorders/>
            <w:tcMar>
              <w:left w:w="90" w:type="dxa"/>
              <w:top w:w="60" w:type="dxa"/>
              <w:right w:w="90" w:type="dxa"/>
              <w:bottom w:w="60" w:type="dxa"/>
            </w:tcMar>
            <w:tcW w:w="7207"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7"/>
                <w:szCs w:val="17"/>
                <w:lang w:val="es-ES"/>
              </w:rPr>
              <w:t xml:space="preserve">Obtiene 4,35 sobre 5,00 en la matriz ponderada, con una ventaja de 0,79 puntos sobre la siguiente alternativa, y conserva el primer lugar en los tres escenarios del análisis de sensibilidad. Es la única de las tres que satisface simultáneamente el umbral de cobertura de pruebas de RNF-04, el escalamiento horizontal de RNF-05 y la restricción de costo y capacidad de entrega de RNF-08. Coincide además con la recomendación que la taxonomía del SWEBOK v4 formula para aplicaciones web empresariales medianas.</w:t>
            </w:r>
            <w:r>
              <w:rPr>
                <w:color w:val="000000" w:themeColor="text1"/>
              </w:rPr>
            </w:r>
          </w:p>
        </w:tc>
      </w:tr>
      <w:tr>
        <w:trPr>
          <w:cantSplit w:val="false"/>
        </w:trPr>
        <w:tc>
          <w:tcPr>
            <w:shd w:val="clear" w:color="auto" w:fill="ffffff"/>
            <w:tcBorders/>
            <w:tcMar>
              <w:left w:w="90" w:type="dxa"/>
              <w:top w:w="60" w:type="dxa"/>
              <w:right w:w="90" w:type="dxa"/>
              <w:bottom w:w="60" w:type="dxa"/>
            </w:tcMar>
            <w:tcW w:w="2153"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7"/>
                <w:szCs w:val="17"/>
                <w:lang w:val="es-ES"/>
              </w:rPr>
              <w:t xml:space="preserve">Alternativas descartadas</w:t>
            </w:r>
            <w:r>
              <w:rPr>
                <w:color w:val="000000" w:themeColor="text1"/>
              </w:rPr>
            </w:r>
          </w:p>
        </w:tc>
        <w:tc>
          <w:tcPr>
            <w:shd w:val="clear" w:color="auto" w:fill="ffffff"/>
            <w:tcBorders/>
            <w:tcMar>
              <w:left w:w="90" w:type="dxa"/>
              <w:top w:w="60" w:type="dxa"/>
              <w:right w:w="90" w:type="dxa"/>
              <w:bottom w:w="60" w:type="dxa"/>
            </w:tcMar>
            <w:tcW w:w="7207"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7"/>
                <w:szCs w:val="17"/>
                <w:lang w:val="es-ES"/>
              </w:rPr>
              <w:t xml:space="preserve">Opción A porque su acoplamiento entre lógica de negocio y acceso a datos hace inviable el umbral de cobertura del 80 % exigido por RNF-04, y porque la notificación síncrona a un tercero somete el tiempo de respuesta de la plataforma a la latencia de WhatsApp, incumpliendo RNF-01 ante cualquier incidente externo. Opción C porque su costo operativo y su complejidad de orquestación resultan desproporcionados frente a un techo de 500 usuarios concurrentes, y porque un equipo de dos personas sin especialización por servicio produciría, conforme a la Ley de Conway, un monolito distribuido.</w:t>
            </w:r>
            <w:r>
              <w:rPr>
                <w:color w:val="000000" w:themeColor="text1"/>
              </w:rPr>
            </w:r>
          </w:p>
        </w:tc>
      </w:tr>
      <w:tr>
        <w:trPr>
          <w:cantSplit w:val="false"/>
        </w:trPr>
        <w:tc>
          <w:tcPr>
            <w:shd w:val="clear" w:color="auto" w:fill="f2f5fa"/>
            <w:tcBorders/>
            <w:tcMar>
              <w:left w:w="90" w:type="dxa"/>
              <w:top w:w="60" w:type="dxa"/>
              <w:right w:w="90" w:type="dxa"/>
              <w:bottom w:w="60" w:type="dxa"/>
            </w:tcMar>
            <w:tcW w:w="2153"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7"/>
                <w:szCs w:val="17"/>
                <w:lang w:val="es-ES"/>
              </w:rPr>
              <w:t xml:space="preserve">Criterios determinantes</w:t>
            </w:r>
            <w:r>
              <w:rPr>
                <w:color w:val="000000" w:themeColor="text1"/>
              </w:rPr>
            </w:r>
          </w:p>
        </w:tc>
        <w:tc>
          <w:tcPr>
            <w:shd w:val="clear" w:color="auto" w:fill="f2f5fa"/>
            <w:tcBorders/>
            <w:tcMar>
              <w:left w:w="90" w:type="dxa"/>
              <w:top w:w="60" w:type="dxa"/>
              <w:right w:w="90" w:type="dxa"/>
              <w:bottom w:w="60" w:type="dxa"/>
            </w:tcMar>
            <w:tcW w:w="7207"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7"/>
                <w:szCs w:val="17"/>
                <w:lang w:val="es-ES"/>
              </w:rPr>
              <w:t xml:space="preserve">C-05 Mantenibilidad y capacidad de pruebas (15 %), C-07 Costo y simplicidad (13 %) y C-04 Seguridad y cumplimiento (15 %). Estos tres criterios concentran el 43 % de la ponderación y son los que separan a la opción B de sus competidoras.</w:t>
            </w:r>
            <w:r>
              <w:rPr>
                <w:color w:val="000000" w:themeColor="text1"/>
              </w:rPr>
            </w:r>
          </w:p>
        </w:tc>
      </w:tr>
      <w:tr>
        <w:trPr>
          <w:cantSplit w:val="false"/>
        </w:trPr>
        <w:tc>
          <w:tcPr>
            <w:shd w:val="clear" w:color="auto" w:fill="ffffff"/>
            <w:tcBorders/>
            <w:tcMar>
              <w:left w:w="90" w:type="dxa"/>
              <w:top w:w="60" w:type="dxa"/>
              <w:right w:w="90" w:type="dxa"/>
              <w:bottom w:w="60" w:type="dxa"/>
            </w:tcMar>
            <w:tcW w:w="2153"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7"/>
                <w:szCs w:val="17"/>
                <w:lang w:val="es-ES"/>
              </w:rPr>
              <w:t xml:space="preserve">Principales riesgos aceptados</w:t>
            </w:r>
            <w:r>
              <w:rPr>
                <w:color w:val="000000" w:themeColor="text1"/>
              </w:rPr>
            </w:r>
          </w:p>
        </w:tc>
        <w:tc>
          <w:tcPr>
            <w:shd w:val="clear" w:color="auto" w:fill="ffffff"/>
            <w:tcBorders/>
            <w:tcMar>
              <w:left w:w="90" w:type="dxa"/>
              <w:top w:w="60" w:type="dxa"/>
              <w:right w:w="90" w:type="dxa"/>
              <w:bottom w:w="60" w:type="dxa"/>
            </w:tcMar>
            <w:tcW w:w="7207"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7"/>
                <w:szCs w:val="17"/>
                <w:lang w:val="es-ES"/>
              </w:rPr>
              <w:t xml:space="preserve">Erosión de las fronteras modulares por indisciplina; consistencia eventual en las notificaciones; punto único de fallo del proceso de aplicación; sobrecoste de indirección en los módulos más simples. Su mitigación se detalla en 2.7.3.</w:t>
            </w:r>
            <w:r>
              <w:rPr>
                <w:color w:val="000000" w:themeColor="text1"/>
              </w:rPr>
            </w:r>
          </w:p>
        </w:tc>
      </w:tr>
      <w:tr>
        <w:trPr>
          <w:cantSplit w:val="false"/>
        </w:trPr>
        <w:tc>
          <w:tcPr>
            <w:shd w:val="clear" w:color="auto" w:fill="f2f5fa"/>
            <w:tcBorders/>
            <w:tcMar>
              <w:left w:w="90" w:type="dxa"/>
              <w:top w:w="60" w:type="dxa"/>
              <w:right w:w="90" w:type="dxa"/>
              <w:bottom w:w="60" w:type="dxa"/>
            </w:tcMar>
            <w:tcW w:w="2153"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7"/>
                <w:szCs w:val="17"/>
                <w:lang w:val="es-ES"/>
              </w:rPr>
              <w:t xml:space="preserve">Principales beneficios obtenidos</w:t>
            </w:r>
            <w:r>
              <w:rPr>
                <w:color w:val="000000" w:themeColor="text1"/>
              </w:rPr>
            </w:r>
          </w:p>
        </w:tc>
        <w:tc>
          <w:tcPr>
            <w:shd w:val="clear" w:color="auto" w:fill="f2f5fa"/>
            <w:tcBorders/>
            <w:tcMar>
              <w:left w:w="90" w:type="dxa"/>
              <w:top w:w="60" w:type="dxa"/>
              <w:right w:w="90" w:type="dxa"/>
              <w:bottom w:w="60" w:type="dxa"/>
            </w:tcMar>
            <w:tcW w:w="7207"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7"/>
                <w:szCs w:val="17"/>
                <w:lang w:val="es-ES"/>
              </w:rPr>
              <w:t xml:space="preserve">Núcleo de dominio comprobable sin infraestructura; instancias sin estado que habilitan el escalamiento horizontal; aislamiento de la latencia y los fallos del proveedor externo; camino de migración incremental hacia servicios independientes si el crecimiento lo justifica, sin rediseño previo.</w:t>
            </w:r>
            <w:r>
              <w:rPr>
                <w:color w:val="000000" w:themeColor="text1"/>
              </w:rPr>
            </w:r>
          </w:p>
        </w:tc>
      </w:tr>
    </w:tbl>
    <w:p>
      <w:pPr>
        <w:pBdr/>
        <w:spacing w:after="160"/>
        <w:ind/>
        <w:rPr>
          <w:color w:val="000000" w:themeColor="text1"/>
        </w:rPr>
      </w:pPr>
      <w:r>
        <w:rPr>
          <w:color w:val="000000" w:themeColor="text1"/>
          <w:lang w:val="es-ES" w:bidi="es-ES"/>
        </w:rPr>
      </w:r>
      <w:r>
        <w:rPr>
          <w:color w:val="000000" w:themeColor="text1"/>
        </w:rPr>
      </w:r>
    </w:p>
    <w:p>
      <w:pPr>
        <w:pStyle w:val="905"/>
        <w:keepNext w:val="true"/>
        <w:pBdr/>
        <w:spacing w:after="120" w:before="220"/>
        <w:ind/>
        <w:rPr>
          <w:color w:val="000000" w:themeColor="text1"/>
        </w:rPr>
      </w:pPr>
      <w:r/>
      <w:bookmarkStart w:id="28" w:name="_Toc28"/>
      <w:r>
        <w:rPr>
          <w:rFonts w:ascii="Calibri" w:hAnsi="Calibri" w:eastAsia="Calibri" w:cs="Calibri"/>
          <w:b/>
          <w:bCs/>
          <w:color w:val="000000" w:themeColor="text1"/>
          <w:sz w:val="22"/>
          <w:szCs w:val="22"/>
          <w:lang w:val="es-ES"/>
        </w:rPr>
        <w:t xml:space="preserve">2.7.2 Decisiones arquitectónicas complementarias</w:t>
      </w:r>
      <w:r/>
      <w:bookmarkEnd w:id="28"/>
      <w:r/>
      <w:r>
        <w:rPr>
          <w:color w:val="000000" w:themeColor="text1"/>
        </w:rPr>
      </w:r>
    </w:p>
    <w:p>
      <w:pPr>
        <w:pBdr/>
        <w:spacing w:after="140" w:line="276" w:lineRule="auto"/>
        <w:ind/>
        <w:jc w:val="both"/>
        <w:rPr>
          <w:lang w:val="es-ES"/>
        </w:rPr>
      </w:pPr>
      <w:r>
        <w:rPr>
          <w:rFonts w:ascii="Calibri" w:hAnsi="Calibri" w:eastAsia="Calibri" w:cs="Calibri"/>
          <w:color w:val="000000" w:themeColor="text1"/>
          <w:sz w:val="21"/>
          <w:szCs w:val="21"/>
          <w:lang w:val="es-ES"/>
        </w:rPr>
        <w:t xml:space="preserve">El SWEBOK sostiene que la arquitectura es una red de decisiones y no un diagrama de cajas y flechas, y que cada decisión no trivial debe documentar sus alternativas y sus compensaciones. Las seis decisiones siguientes acompañan a la principal y se registran en el formato abreviado de un registro de decision</w:t>
      </w:r>
      <w:r>
        <w:rPr>
          <w:rFonts w:ascii="Calibri" w:hAnsi="Calibri" w:eastAsia="Calibri" w:cs="Calibri"/>
          <w:color w:val="000000"/>
          <w:sz w:val="21"/>
          <w:szCs w:val="21"/>
          <w:lang w:val="es-ES"/>
        </w:rPr>
        <w:t xml:space="preserve">es arquitectónicas.</w:t>
      </w:r>
      <w:r>
        <w:rPr>
          <w:lang w:val="es-ES"/>
        </w:rPr>
      </w:r>
    </w:p>
    <w:tbl>
      <w:tblPr>
        <w:tblW w:w="9360" w:type="dxa"/>
        <w:tblBorders>
          <w:top w:val="single" w:color="8ea9db" w:sz="4" w:space="0"/>
          <w:left w:val="single" w:color="8ea9db" w:sz="4" w:space="0"/>
          <w:bottom w:val="single" w:color="8ea9db" w:sz="4" w:space="0"/>
          <w:right w:val="single" w:color="8ea9db" w:sz="4" w:space="0"/>
          <w:insideH w:val="single" w:color="b4c6e7" w:sz="2" w:space="0"/>
          <w:insideV w:val="single" w:color="b4c6e7" w:sz="2" w:space="0"/>
        </w:tblBorders>
        <w:tblLook w:val="04A0" w:firstRow="1" w:lastRow="0" w:firstColumn="1" w:lastColumn="0" w:noHBand="0" w:noVBand="1"/>
      </w:tblPr>
      <w:tblGrid>
        <w:gridCol w:w="749"/>
        <w:gridCol w:w="2246"/>
        <w:gridCol w:w="1872"/>
        <w:gridCol w:w="4493"/>
      </w:tblGrid>
      <w:tr>
        <w:trPr>
          <w:cantSplit w:val="false"/>
          <w:tblHeader/>
        </w:trPr>
        <w:tc>
          <w:tcPr>
            <w:shd w:val="clear" w:color="auto" w:fill="d9e2f3"/>
            <w:tcBorders/>
            <w:tcMar>
              <w:left w:w="90" w:type="dxa"/>
              <w:top w:w="60" w:type="dxa"/>
              <w:right w:w="90" w:type="dxa"/>
              <w:bottom w:w="60" w:type="dxa"/>
            </w:tcMar>
            <w:tcW w:w="749" w:type="dxa"/>
            <w:vAlign w:val="center"/>
          </w:tcPr>
          <w:p>
            <w:pPr>
              <w:pBdr/>
              <w:spacing w:after="40" w:before="40" w:line="240" w:lineRule="auto"/>
              <w:ind/>
              <w:jc w:val="left"/>
              <w:rPr>
                <w:lang w:val="es-ES"/>
              </w:rPr>
            </w:pPr>
            <w:r>
              <w:rPr>
                <w:rFonts w:ascii="Calibri" w:hAnsi="Calibri" w:eastAsia="Calibri" w:cs="Calibri"/>
                <w:b/>
                <w:bCs/>
                <w:color w:val="1f3864"/>
                <w:sz w:val="16"/>
                <w:szCs w:val="16"/>
                <w:lang w:val="es-ES"/>
              </w:rPr>
              <w:t xml:space="preserve">#</w:t>
            </w:r>
            <w:r>
              <w:rPr>
                <w:lang w:val="es-ES"/>
              </w:rPr>
            </w:r>
          </w:p>
        </w:tc>
        <w:tc>
          <w:tcPr>
            <w:shd w:val="clear" w:color="auto" w:fill="d9e2f3"/>
            <w:tcBorders/>
            <w:tcMar>
              <w:left w:w="90" w:type="dxa"/>
              <w:top w:w="60" w:type="dxa"/>
              <w:right w:w="90" w:type="dxa"/>
              <w:bottom w:w="60" w:type="dxa"/>
            </w:tcMar>
            <w:tcW w:w="2246" w:type="dxa"/>
            <w:vAlign w:val="center"/>
          </w:tcPr>
          <w:p>
            <w:pPr>
              <w:pBdr/>
              <w:spacing w:after="40" w:before="40" w:line="240" w:lineRule="auto"/>
              <w:ind/>
              <w:jc w:val="left"/>
              <w:rPr>
                <w:lang w:val="es-ES"/>
              </w:rPr>
            </w:pPr>
            <w:r>
              <w:rPr>
                <w:rFonts w:ascii="Calibri" w:hAnsi="Calibri" w:eastAsia="Calibri" w:cs="Calibri"/>
                <w:b/>
                <w:bCs/>
                <w:color w:val="1f3864"/>
                <w:sz w:val="16"/>
                <w:szCs w:val="16"/>
                <w:lang w:val="es-ES"/>
              </w:rPr>
              <w:t xml:space="preserve">Decisión</w:t>
            </w:r>
            <w:r>
              <w:rPr>
                <w:lang w:val="es-ES"/>
              </w:rPr>
            </w:r>
          </w:p>
        </w:tc>
        <w:tc>
          <w:tcPr>
            <w:shd w:val="clear" w:color="auto" w:fill="d9e2f3"/>
            <w:tcBorders/>
            <w:tcMar>
              <w:left w:w="90" w:type="dxa"/>
              <w:top w:w="60" w:type="dxa"/>
              <w:right w:w="90" w:type="dxa"/>
              <w:bottom w:w="60" w:type="dxa"/>
            </w:tcMar>
            <w:tcW w:w="1872" w:type="dxa"/>
            <w:vAlign w:val="center"/>
          </w:tcPr>
          <w:p>
            <w:pPr>
              <w:pBdr/>
              <w:spacing w:after="40" w:before="40" w:line="240" w:lineRule="auto"/>
              <w:ind/>
              <w:jc w:val="left"/>
              <w:rPr>
                <w:lang w:val="es-ES"/>
              </w:rPr>
            </w:pPr>
            <w:r>
              <w:rPr>
                <w:rFonts w:ascii="Calibri" w:hAnsi="Calibri" w:eastAsia="Calibri" w:cs="Calibri"/>
                <w:b/>
                <w:bCs/>
                <w:color w:val="1f3864"/>
                <w:sz w:val="16"/>
                <w:szCs w:val="16"/>
                <w:lang w:val="es-ES"/>
              </w:rPr>
              <w:t xml:space="preserve">Alternativa descartada</w:t>
            </w:r>
            <w:r>
              <w:rPr>
                <w:lang w:val="es-ES"/>
              </w:rPr>
            </w:r>
          </w:p>
        </w:tc>
        <w:tc>
          <w:tcPr>
            <w:shd w:val="clear" w:color="auto" w:fill="d9e2f3"/>
            <w:tcBorders/>
            <w:tcMar>
              <w:left w:w="90" w:type="dxa"/>
              <w:top w:w="60" w:type="dxa"/>
              <w:right w:w="90" w:type="dxa"/>
              <w:bottom w:w="60" w:type="dxa"/>
            </w:tcMar>
            <w:tcW w:w="4493" w:type="dxa"/>
            <w:vAlign w:val="center"/>
          </w:tcPr>
          <w:p>
            <w:pPr>
              <w:pBdr/>
              <w:spacing w:after="40" w:before="40" w:line="240" w:lineRule="auto"/>
              <w:ind/>
              <w:jc w:val="left"/>
              <w:rPr>
                <w:lang w:val="es-ES"/>
              </w:rPr>
            </w:pPr>
            <w:r>
              <w:rPr>
                <w:rFonts w:ascii="Calibri" w:hAnsi="Calibri" w:eastAsia="Calibri" w:cs="Calibri"/>
                <w:b/>
                <w:bCs/>
                <w:color w:val="1f3864"/>
                <w:sz w:val="16"/>
                <w:szCs w:val="16"/>
                <w:lang w:val="es-ES"/>
              </w:rPr>
              <w:t xml:space="preserve">Justificación y compensación aceptada</w:t>
            </w:r>
            <w:r>
              <w:rPr>
                <w:lang w:val="es-ES"/>
              </w:rPr>
            </w:r>
          </w:p>
        </w:tc>
      </w:tr>
      <w:tr>
        <w:trPr>
          <w:cantSplit w:val="false"/>
        </w:trPr>
        <w:tc>
          <w:tcPr>
            <w:shd w:val="clear" w:color="auto" w:fill="ffffff"/>
            <w:tcBorders/>
            <w:tcMar>
              <w:left w:w="90" w:type="dxa"/>
              <w:top w:w="60" w:type="dxa"/>
              <w:right w:w="90" w:type="dxa"/>
              <w:bottom w:w="60" w:type="dxa"/>
            </w:tcMar>
            <w:tcW w:w="749" w:type="dxa"/>
            <w:vAlign w:val="center"/>
          </w:tcPr>
          <w:p>
            <w:pPr>
              <w:pBdr/>
              <w:spacing w:after="40" w:before="40" w:line="240" w:lineRule="auto"/>
              <w:ind/>
              <w:jc w:val="left"/>
              <w:rPr>
                <w:lang w:val="es-ES"/>
              </w:rPr>
            </w:pPr>
            <w:r>
              <w:rPr>
                <w:rFonts w:ascii="Calibri" w:hAnsi="Calibri" w:eastAsia="Calibri" w:cs="Calibri"/>
                <w:b/>
                <w:bCs/>
                <w:color w:val="000000"/>
                <w:sz w:val="16"/>
                <w:szCs w:val="16"/>
                <w:lang w:val="es-ES"/>
              </w:rPr>
              <w:t xml:space="preserve">ADR-01</w:t>
            </w:r>
            <w:r>
              <w:rPr>
                <w:lang w:val="es-ES"/>
              </w:rPr>
            </w:r>
          </w:p>
        </w:tc>
        <w:tc>
          <w:tcPr>
            <w:shd w:val="clear" w:color="auto" w:fill="ffffff"/>
            <w:tcBorders/>
            <w:tcMar>
              <w:left w:w="90" w:type="dxa"/>
              <w:top w:w="60" w:type="dxa"/>
              <w:right w:w="90" w:type="dxa"/>
              <w:bottom w:w="60" w:type="dxa"/>
            </w:tcMar>
            <w:tcW w:w="2246" w:type="dxa"/>
            <w:vAlign w:val="center"/>
          </w:tcPr>
          <w:p>
            <w:pPr>
              <w:pBdr/>
              <w:spacing w:after="40" w:before="40" w:line="240" w:lineRule="auto"/>
              <w:ind/>
              <w:jc w:val="left"/>
              <w:rPr>
                <w:lang w:val="es-ES"/>
              </w:rPr>
            </w:pPr>
            <w:r>
              <w:rPr>
                <w:rFonts w:ascii="Calibri" w:hAnsi="Calibri" w:eastAsia="Calibri" w:cs="Calibri"/>
                <w:b w:val="0"/>
                <w:bCs w:val="0"/>
                <w:color w:val="000000"/>
                <w:sz w:val="16"/>
                <w:szCs w:val="16"/>
                <w:lang w:val="es-ES"/>
              </w:rPr>
              <w:t xml:space="preserve">Patrón de bandeja de salida transaccional (Outbox) para publicar eventos de dominio.</w:t>
            </w:r>
            <w:r>
              <w:rPr>
                <w:lang w:val="es-ES"/>
              </w:rPr>
            </w:r>
          </w:p>
        </w:tc>
        <w:tc>
          <w:tcPr>
            <w:shd w:val="clear" w:color="auto" w:fill="ffffff"/>
            <w:tcBorders/>
            <w:tcMar>
              <w:left w:w="90" w:type="dxa"/>
              <w:top w:w="60" w:type="dxa"/>
              <w:right w:w="90" w:type="dxa"/>
              <w:bottom w:w="60" w:type="dxa"/>
            </w:tcMar>
            <w:tcW w:w="1872" w:type="dxa"/>
            <w:vAlign w:val="center"/>
          </w:tcPr>
          <w:p>
            <w:pPr>
              <w:pBdr/>
              <w:spacing w:after="40" w:before="40" w:line="240" w:lineRule="auto"/>
              <w:ind/>
              <w:jc w:val="left"/>
              <w:rPr>
                <w:lang w:val="es-ES"/>
              </w:rPr>
            </w:pPr>
            <w:r>
              <w:rPr>
                <w:rFonts w:ascii="Calibri" w:hAnsi="Calibri" w:eastAsia="Calibri" w:cs="Calibri"/>
                <w:b w:val="0"/>
                <w:bCs w:val="0"/>
                <w:color w:val="000000"/>
                <w:sz w:val="16"/>
                <w:szCs w:val="16"/>
                <w:lang w:val="es-ES"/>
              </w:rPr>
              <w:t xml:space="preserve">Publicación directa a una cola desde el código de negocio.</w:t>
            </w:r>
            <w:r>
              <w:rPr>
                <w:lang w:val="es-ES"/>
              </w:rPr>
            </w:r>
          </w:p>
        </w:tc>
        <w:tc>
          <w:tcPr>
            <w:shd w:val="clear" w:color="auto" w:fill="ffffff"/>
            <w:tcBorders/>
            <w:tcMar>
              <w:left w:w="90" w:type="dxa"/>
              <w:top w:w="60" w:type="dxa"/>
              <w:right w:w="90" w:type="dxa"/>
              <w:bottom w:w="60" w:type="dxa"/>
            </w:tcMar>
            <w:tcW w:w="4493" w:type="dxa"/>
            <w:vAlign w:val="center"/>
          </w:tcPr>
          <w:p>
            <w:pPr>
              <w:pBdr/>
              <w:spacing w:after="40" w:before="40" w:line="240" w:lineRule="auto"/>
              <w:ind/>
              <w:jc w:val="left"/>
              <w:rPr>
                <w:lang w:val="es-ES"/>
              </w:rPr>
            </w:pPr>
            <w:r>
              <w:rPr>
                <w:rFonts w:ascii="Calibri" w:hAnsi="Calibri" w:eastAsia="Calibri" w:cs="Calibri"/>
                <w:b w:val="0"/>
                <w:bCs w:val="0"/>
                <w:color w:val="000000"/>
                <w:sz w:val="16"/>
                <w:szCs w:val="16"/>
                <w:lang w:val="es-ES"/>
              </w:rPr>
              <w:t xml:space="preserve">Garantiza que el evento se persista en la misma transacción que el cambio de estado, evitando notificaciones de cotizaciones inexistentes o cotizaciones sin notificar. Se acepta la latencia adicional del sondeo periódico de la tabla.</w:t>
            </w:r>
            <w:r>
              <w:rPr>
                <w:lang w:val="es-ES"/>
              </w:rPr>
            </w:r>
          </w:p>
        </w:tc>
      </w:tr>
      <w:tr>
        <w:trPr>
          <w:cantSplit w:val="false"/>
        </w:trPr>
        <w:tc>
          <w:tcPr>
            <w:shd w:val="clear" w:color="auto" w:fill="f2f5fa"/>
            <w:tcBorders/>
            <w:tcMar>
              <w:left w:w="90" w:type="dxa"/>
              <w:top w:w="60" w:type="dxa"/>
              <w:right w:w="90" w:type="dxa"/>
              <w:bottom w:w="60" w:type="dxa"/>
            </w:tcMar>
            <w:tcW w:w="749" w:type="dxa"/>
            <w:vAlign w:val="center"/>
          </w:tcPr>
          <w:p>
            <w:pPr>
              <w:pBdr/>
              <w:spacing w:after="40" w:before="40" w:line="240" w:lineRule="auto"/>
              <w:ind/>
              <w:jc w:val="left"/>
              <w:rPr>
                <w:lang w:val="es-ES"/>
              </w:rPr>
            </w:pPr>
            <w:r>
              <w:rPr>
                <w:rFonts w:ascii="Calibri" w:hAnsi="Calibri" w:eastAsia="Calibri" w:cs="Calibri"/>
                <w:b/>
                <w:bCs/>
                <w:color w:val="000000"/>
                <w:sz w:val="16"/>
                <w:szCs w:val="16"/>
                <w:lang w:val="es-ES"/>
              </w:rPr>
              <w:t xml:space="preserve">ADR-02</w:t>
            </w:r>
            <w:r>
              <w:rPr>
                <w:lang w:val="es-ES"/>
              </w:rPr>
            </w:r>
          </w:p>
        </w:tc>
        <w:tc>
          <w:tcPr>
            <w:shd w:val="clear" w:color="auto" w:fill="f2f5fa"/>
            <w:tcBorders/>
            <w:tcMar>
              <w:left w:w="90" w:type="dxa"/>
              <w:top w:w="60" w:type="dxa"/>
              <w:right w:w="90" w:type="dxa"/>
              <w:bottom w:w="60" w:type="dxa"/>
            </w:tcMar>
            <w:tcW w:w="2246" w:type="dxa"/>
            <w:vAlign w:val="center"/>
          </w:tcPr>
          <w:p>
            <w:pPr>
              <w:pBdr/>
              <w:spacing w:after="40" w:before="40" w:line="240" w:lineRule="auto"/>
              <w:ind/>
              <w:jc w:val="left"/>
              <w:rPr>
                <w:lang w:val="es-ES"/>
              </w:rPr>
            </w:pPr>
            <w:r>
              <w:rPr>
                <w:rFonts w:ascii="Calibri" w:hAnsi="Calibri" w:eastAsia="Calibri" w:cs="Calibri"/>
                <w:b w:val="0"/>
                <w:bCs w:val="0"/>
                <w:color w:val="000000"/>
                <w:sz w:val="16"/>
                <w:szCs w:val="16"/>
                <w:lang w:val="es-ES"/>
              </w:rPr>
              <w:t xml:space="preserve">Interruptor de circuito (Circuit Breaker) sobre la integración con WhatsApp Business API.</w:t>
            </w:r>
            <w:r>
              <w:rPr>
                <w:lang w:val="es-ES"/>
              </w:rPr>
            </w:r>
          </w:p>
        </w:tc>
        <w:tc>
          <w:tcPr>
            <w:shd w:val="clear" w:color="auto" w:fill="f2f5fa"/>
            <w:tcBorders/>
            <w:tcMar>
              <w:left w:w="90" w:type="dxa"/>
              <w:top w:w="60" w:type="dxa"/>
              <w:right w:w="90" w:type="dxa"/>
              <w:bottom w:w="60" w:type="dxa"/>
            </w:tcMar>
            <w:tcW w:w="1872" w:type="dxa"/>
            <w:vAlign w:val="center"/>
          </w:tcPr>
          <w:p>
            <w:pPr>
              <w:pBdr/>
              <w:spacing w:after="40" w:before="40" w:line="240" w:lineRule="auto"/>
              <w:ind/>
              <w:jc w:val="left"/>
              <w:rPr>
                <w:lang w:val="es-ES"/>
              </w:rPr>
            </w:pPr>
            <w:r>
              <w:rPr>
                <w:rFonts w:ascii="Calibri" w:hAnsi="Calibri" w:eastAsia="Calibri" w:cs="Calibri"/>
                <w:b w:val="0"/>
                <w:bCs w:val="0"/>
                <w:color w:val="000000"/>
                <w:sz w:val="16"/>
                <w:szCs w:val="16"/>
                <w:lang w:val="es-ES"/>
              </w:rPr>
              <w:t xml:space="preserve">Reintentos indefinidos sin límite.</w:t>
            </w:r>
            <w:r>
              <w:rPr>
                <w:lang w:val="es-ES"/>
              </w:rPr>
            </w:r>
          </w:p>
        </w:tc>
        <w:tc>
          <w:tcPr>
            <w:shd w:val="clear" w:color="auto" w:fill="f2f5fa"/>
            <w:tcBorders/>
            <w:tcMar>
              <w:left w:w="90" w:type="dxa"/>
              <w:top w:w="60" w:type="dxa"/>
              <w:right w:w="90" w:type="dxa"/>
              <w:bottom w:w="60" w:type="dxa"/>
            </w:tcMar>
            <w:tcW w:w="4493" w:type="dxa"/>
            <w:vAlign w:val="center"/>
          </w:tcPr>
          <w:p>
            <w:pPr>
              <w:pBdr/>
              <w:spacing w:after="40" w:before="40" w:line="240" w:lineRule="auto"/>
              <w:ind/>
              <w:jc w:val="left"/>
              <w:rPr>
                <w:lang w:val="es-ES"/>
              </w:rPr>
            </w:pPr>
            <w:r>
              <w:rPr>
                <w:rFonts w:ascii="Calibri" w:hAnsi="Calibri" w:eastAsia="Calibri" w:cs="Calibri"/>
                <w:b w:val="0"/>
                <w:bCs w:val="0"/>
                <w:color w:val="000000"/>
                <w:sz w:val="16"/>
                <w:szCs w:val="16"/>
                <w:lang w:val="es-ES"/>
              </w:rPr>
              <w:t xml:space="preserve">Un proveedor externo caído dejaría de consumir recursos del trabajador y de degradar en cascada al resto de tareas programadas. Se acepta que durante la apertura del circuito las notificaciones se acumulen y se entreguen con retraso.</w:t>
            </w:r>
            <w:r>
              <w:rPr>
                <w:lang w:val="es-ES"/>
              </w:rPr>
            </w:r>
          </w:p>
        </w:tc>
      </w:tr>
      <w:tr>
        <w:trPr>
          <w:cantSplit w:val="false"/>
        </w:trPr>
        <w:tc>
          <w:tcPr>
            <w:shd w:val="clear" w:color="auto" w:fill="ffffff"/>
            <w:tcBorders/>
            <w:tcMar>
              <w:left w:w="90" w:type="dxa"/>
              <w:top w:w="60" w:type="dxa"/>
              <w:right w:w="90" w:type="dxa"/>
              <w:bottom w:w="60" w:type="dxa"/>
            </w:tcMar>
            <w:tcW w:w="749" w:type="dxa"/>
            <w:vAlign w:val="center"/>
          </w:tcPr>
          <w:p>
            <w:pPr>
              <w:pBdr/>
              <w:spacing w:after="40" w:before="40" w:line="240" w:lineRule="auto"/>
              <w:ind/>
              <w:jc w:val="left"/>
              <w:rPr>
                <w:lang w:val="es-ES"/>
              </w:rPr>
            </w:pPr>
            <w:r>
              <w:rPr>
                <w:rFonts w:ascii="Calibri" w:hAnsi="Calibri" w:eastAsia="Calibri" w:cs="Calibri"/>
                <w:b/>
                <w:bCs/>
                <w:color w:val="000000"/>
                <w:sz w:val="16"/>
                <w:szCs w:val="16"/>
                <w:lang w:val="es-ES"/>
              </w:rPr>
              <w:t xml:space="preserve">ADR-03</w:t>
            </w:r>
            <w:r>
              <w:rPr>
                <w:lang w:val="es-ES"/>
              </w:rPr>
            </w:r>
          </w:p>
        </w:tc>
        <w:tc>
          <w:tcPr>
            <w:shd w:val="clear" w:color="auto" w:fill="ffffff"/>
            <w:tcBorders/>
            <w:tcMar>
              <w:left w:w="90" w:type="dxa"/>
              <w:top w:w="60" w:type="dxa"/>
              <w:right w:w="90" w:type="dxa"/>
              <w:bottom w:w="60" w:type="dxa"/>
            </w:tcMar>
            <w:tcW w:w="2246" w:type="dxa"/>
            <w:vAlign w:val="center"/>
          </w:tcPr>
          <w:p>
            <w:pPr>
              <w:pBdr/>
              <w:spacing w:after="40" w:before="40" w:line="240" w:lineRule="auto"/>
              <w:ind/>
              <w:jc w:val="left"/>
              <w:rPr>
                <w:lang w:val="es-ES"/>
              </w:rPr>
            </w:pPr>
            <w:r>
              <w:rPr>
                <w:rFonts w:ascii="Calibri" w:hAnsi="Calibri" w:eastAsia="Calibri" w:cs="Calibri"/>
                <w:b w:val="0"/>
                <w:bCs w:val="0"/>
                <w:color w:val="000000"/>
                <w:sz w:val="16"/>
                <w:szCs w:val="16"/>
                <w:lang w:val="es-ES"/>
              </w:rPr>
              <w:t xml:space="preserve">Réplica de lectura dedicada para el motor de búsqueda y el tablero administrativo.</w:t>
            </w:r>
            <w:r>
              <w:rPr>
                <w:lang w:val="es-ES"/>
              </w:rPr>
            </w:r>
          </w:p>
        </w:tc>
        <w:tc>
          <w:tcPr>
            <w:shd w:val="clear" w:color="auto" w:fill="ffffff"/>
            <w:tcBorders/>
            <w:tcMar>
              <w:left w:w="90" w:type="dxa"/>
              <w:top w:w="60" w:type="dxa"/>
              <w:right w:w="90" w:type="dxa"/>
              <w:bottom w:w="60" w:type="dxa"/>
            </w:tcMar>
            <w:tcW w:w="1872" w:type="dxa"/>
            <w:vAlign w:val="center"/>
          </w:tcPr>
          <w:p>
            <w:pPr>
              <w:pBdr/>
              <w:spacing w:after="40" w:before="40" w:line="240" w:lineRule="auto"/>
              <w:ind/>
              <w:jc w:val="left"/>
              <w:rPr>
                <w:lang w:val="es-ES"/>
              </w:rPr>
            </w:pPr>
            <w:r>
              <w:rPr>
                <w:rFonts w:ascii="Calibri" w:hAnsi="Calibri" w:eastAsia="Calibri" w:cs="Calibri"/>
                <w:b w:val="0"/>
                <w:bCs w:val="0"/>
                <w:color w:val="000000"/>
                <w:sz w:val="16"/>
                <w:szCs w:val="16"/>
                <w:lang w:val="es-ES"/>
              </w:rPr>
              <w:t xml:space="preserve">Consultar siempre el nodo primario.</w:t>
            </w:r>
            <w:r>
              <w:rPr>
                <w:lang w:val="es-ES"/>
              </w:rPr>
            </w:r>
          </w:p>
        </w:tc>
        <w:tc>
          <w:tcPr>
            <w:shd w:val="clear" w:color="auto" w:fill="ffffff"/>
            <w:tcBorders/>
            <w:tcMar>
              <w:left w:w="90" w:type="dxa"/>
              <w:top w:w="60" w:type="dxa"/>
              <w:right w:w="90" w:type="dxa"/>
              <w:bottom w:w="60" w:type="dxa"/>
            </w:tcMar>
            <w:tcW w:w="4493" w:type="dxa"/>
            <w:vAlign w:val="center"/>
          </w:tcPr>
          <w:p>
            <w:pPr>
              <w:pBdr/>
              <w:spacing w:after="40" w:before="40" w:line="240" w:lineRule="auto"/>
              <w:ind/>
              <w:jc w:val="left"/>
              <w:rPr>
                <w:lang w:val="es-ES"/>
              </w:rPr>
            </w:pPr>
            <w:r>
              <w:rPr>
                <w:rFonts w:ascii="Calibri" w:hAnsi="Calibri" w:eastAsia="Calibri" w:cs="Calibri"/>
                <w:b w:val="0"/>
                <w:bCs w:val="0"/>
                <w:color w:val="000000"/>
                <w:sz w:val="16"/>
                <w:szCs w:val="16"/>
                <w:lang w:val="es-ES"/>
              </w:rPr>
              <w:t xml:space="preserve">Aísla las consultas de filtrado multicriterio de RF-03 y las agregaciones del tablero de SYS-FN-33, protegiendo el rendimiento de escritura. Se acepta un retardo de replicación de pocos segundos, tolerable en búsquedas e indicadores.</w:t>
            </w:r>
            <w:r>
              <w:rPr>
                <w:lang w:val="es-ES"/>
              </w:rPr>
            </w:r>
          </w:p>
        </w:tc>
      </w:tr>
      <w:tr>
        <w:trPr>
          <w:cantSplit w:val="false"/>
        </w:trPr>
        <w:tc>
          <w:tcPr>
            <w:shd w:val="clear" w:color="auto" w:fill="f2f5fa"/>
            <w:tcBorders/>
            <w:tcMar>
              <w:left w:w="90" w:type="dxa"/>
              <w:top w:w="60" w:type="dxa"/>
              <w:right w:w="90" w:type="dxa"/>
              <w:bottom w:w="60" w:type="dxa"/>
            </w:tcMar>
            <w:tcW w:w="749" w:type="dxa"/>
            <w:vAlign w:val="center"/>
          </w:tcPr>
          <w:p>
            <w:pPr>
              <w:pBdr/>
              <w:spacing w:after="40" w:before="40" w:line="240" w:lineRule="auto"/>
              <w:ind/>
              <w:jc w:val="left"/>
              <w:rPr>
                <w:lang w:val="es-ES"/>
              </w:rPr>
            </w:pPr>
            <w:r>
              <w:rPr>
                <w:rFonts w:ascii="Calibri" w:hAnsi="Calibri" w:eastAsia="Calibri" w:cs="Calibri"/>
                <w:b/>
                <w:bCs/>
                <w:color w:val="000000"/>
                <w:sz w:val="16"/>
                <w:szCs w:val="16"/>
                <w:lang w:val="es-ES"/>
              </w:rPr>
              <w:t xml:space="preserve">ADR-04</w:t>
            </w:r>
            <w:r>
              <w:rPr>
                <w:lang w:val="es-ES"/>
              </w:rPr>
            </w:r>
          </w:p>
        </w:tc>
        <w:tc>
          <w:tcPr>
            <w:shd w:val="clear" w:color="auto" w:fill="f2f5fa"/>
            <w:tcBorders/>
            <w:tcMar>
              <w:left w:w="90" w:type="dxa"/>
              <w:top w:w="60" w:type="dxa"/>
              <w:right w:w="90" w:type="dxa"/>
              <w:bottom w:w="60" w:type="dxa"/>
            </w:tcMar>
            <w:tcW w:w="2246" w:type="dxa"/>
            <w:vAlign w:val="center"/>
          </w:tcPr>
          <w:p>
            <w:pPr>
              <w:pBdr/>
              <w:spacing w:after="40" w:before="40" w:line="240" w:lineRule="auto"/>
              <w:ind/>
              <w:jc w:val="left"/>
              <w:rPr>
                <w:lang w:val="es-ES"/>
              </w:rPr>
            </w:pPr>
            <w:r>
              <w:rPr>
                <w:rFonts w:ascii="Calibri" w:hAnsi="Calibri" w:eastAsia="Calibri" w:cs="Calibri"/>
                <w:b w:val="0"/>
                <w:bCs w:val="0"/>
                <w:color w:val="000000"/>
                <w:sz w:val="16"/>
                <w:szCs w:val="16"/>
                <w:lang w:val="es-ES"/>
              </w:rPr>
              <w:t xml:space="preserve">Autenticación sin estado mediante credenciales firmadas de vida corta y credencial de renovación.</w:t>
            </w:r>
            <w:r>
              <w:rPr>
                <w:lang w:val="es-ES"/>
              </w:rPr>
            </w:r>
          </w:p>
        </w:tc>
        <w:tc>
          <w:tcPr>
            <w:shd w:val="clear" w:color="auto" w:fill="f2f5fa"/>
            <w:tcBorders/>
            <w:tcMar>
              <w:left w:w="90" w:type="dxa"/>
              <w:top w:w="60" w:type="dxa"/>
              <w:right w:w="90" w:type="dxa"/>
              <w:bottom w:w="60" w:type="dxa"/>
            </w:tcMar>
            <w:tcW w:w="1872" w:type="dxa"/>
            <w:vAlign w:val="center"/>
          </w:tcPr>
          <w:p>
            <w:pPr>
              <w:pBdr/>
              <w:spacing w:after="40" w:before="40" w:line="240" w:lineRule="auto"/>
              <w:ind/>
              <w:jc w:val="left"/>
              <w:rPr>
                <w:lang w:val="es-ES"/>
              </w:rPr>
            </w:pPr>
            <w:r>
              <w:rPr>
                <w:rFonts w:ascii="Calibri" w:hAnsi="Calibri" w:eastAsia="Calibri" w:cs="Calibri"/>
                <w:b w:val="0"/>
                <w:bCs w:val="0"/>
                <w:color w:val="000000"/>
                <w:sz w:val="16"/>
                <w:szCs w:val="16"/>
                <w:lang w:val="es-ES"/>
              </w:rPr>
              <w:t xml:space="preserve">Sesiones en memoria del servidor.</w:t>
            </w:r>
            <w:r>
              <w:rPr>
                <w:lang w:val="es-ES"/>
              </w:rPr>
            </w:r>
          </w:p>
        </w:tc>
        <w:tc>
          <w:tcPr>
            <w:shd w:val="clear" w:color="auto" w:fill="f2f5fa"/>
            <w:tcBorders/>
            <w:tcMar>
              <w:left w:w="90" w:type="dxa"/>
              <w:top w:w="60" w:type="dxa"/>
              <w:right w:w="90" w:type="dxa"/>
              <w:bottom w:w="60" w:type="dxa"/>
            </w:tcMar>
            <w:tcW w:w="4493" w:type="dxa"/>
            <w:vAlign w:val="center"/>
          </w:tcPr>
          <w:p>
            <w:pPr>
              <w:pBdr/>
              <w:spacing w:after="40" w:before="40" w:line="240" w:lineRule="auto"/>
              <w:ind/>
              <w:jc w:val="left"/>
              <w:rPr>
                <w:lang w:val="es-ES"/>
              </w:rPr>
            </w:pPr>
            <w:r>
              <w:rPr>
                <w:rFonts w:ascii="Calibri" w:hAnsi="Calibri" w:eastAsia="Calibri" w:cs="Calibri"/>
                <w:b w:val="0"/>
                <w:bCs w:val="0"/>
                <w:color w:val="000000"/>
                <w:sz w:val="16"/>
                <w:szCs w:val="16"/>
                <w:lang w:val="es-ES"/>
              </w:rPr>
              <w:t xml:space="preserve">Es condición necesaria para que las instancias de aplicación sean intercambiables y el escalamiento horizontal de RNF-05 funcione sin sesiones fijadas a un nodo. Se acepta la complejidad de gestionar la revocación y el límite de dos dispositivos de SYS-FN-08.</w:t>
            </w:r>
            <w:r>
              <w:rPr>
                <w:lang w:val="es-ES"/>
              </w:rPr>
            </w:r>
          </w:p>
        </w:tc>
      </w:tr>
      <w:tr>
        <w:trPr>
          <w:cantSplit w:val="false"/>
        </w:trPr>
        <w:tc>
          <w:tcPr>
            <w:shd w:val="clear" w:color="auto" w:fill="ffffff"/>
            <w:tcBorders/>
            <w:tcMar>
              <w:left w:w="90" w:type="dxa"/>
              <w:top w:w="60" w:type="dxa"/>
              <w:right w:w="90" w:type="dxa"/>
              <w:bottom w:w="60" w:type="dxa"/>
            </w:tcMar>
            <w:tcW w:w="749" w:type="dxa"/>
            <w:vAlign w:val="center"/>
          </w:tcPr>
          <w:p>
            <w:pPr>
              <w:pBdr/>
              <w:spacing w:after="40" w:before="40" w:line="240" w:lineRule="auto"/>
              <w:ind/>
              <w:jc w:val="left"/>
              <w:rPr>
                <w:lang w:val="es-ES"/>
              </w:rPr>
            </w:pPr>
            <w:r>
              <w:rPr>
                <w:rFonts w:ascii="Calibri" w:hAnsi="Calibri" w:eastAsia="Calibri" w:cs="Calibri"/>
                <w:b/>
                <w:bCs/>
                <w:color w:val="000000"/>
                <w:sz w:val="16"/>
                <w:szCs w:val="16"/>
                <w:lang w:val="es-ES"/>
              </w:rPr>
              <w:t xml:space="preserve">ADR-05</w:t>
            </w:r>
            <w:r>
              <w:rPr>
                <w:lang w:val="es-ES"/>
              </w:rPr>
            </w:r>
          </w:p>
        </w:tc>
        <w:tc>
          <w:tcPr>
            <w:shd w:val="clear" w:color="auto" w:fill="ffffff"/>
            <w:tcBorders/>
            <w:tcMar>
              <w:left w:w="90" w:type="dxa"/>
              <w:top w:w="60" w:type="dxa"/>
              <w:right w:w="90" w:type="dxa"/>
              <w:bottom w:w="60" w:type="dxa"/>
            </w:tcMar>
            <w:tcW w:w="2246" w:type="dxa"/>
            <w:vAlign w:val="center"/>
          </w:tcPr>
          <w:p>
            <w:pPr>
              <w:pBdr/>
              <w:spacing w:after="40" w:before="40" w:line="240" w:lineRule="auto"/>
              <w:ind/>
              <w:jc w:val="left"/>
              <w:rPr>
                <w:lang w:val="es-ES"/>
              </w:rPr>
            </w:pPr>
            <w:r>
              <w:rPr>
                <w:rFonts w:ascii="Calibri" w:hAnsi="Calibri" w:eastAsia="Calibri" w:cs="Calibri"/>
                <w:b w:val="0"/>
                <w:bCs w:val="0"/>
                <w:color w:val="000000"/>
                <w:sz w:val="16"/>
                <w:szCs w:val="16"/>
                <w:lang w:val="es-ES"/>
              </w:rPr>
              <w:t xml:space="preserve">Tabla de auditoría de solo adición, con permisos de actualización y borrado revocados a nivel del gestor de base de datos.</w:t>
            </w:r>
            <w:r>
              <w:rPr>
                <w:lang w:val="es-ES"/>
              </w:rPr>
            </w:r>
          </w:p>
        </w:tc>
        <w:tc>
          <w:tcPr>
            <w:shd w:val="clear" w:color="auto" w:fill="ffffff"/>
            <w:tcBorders/>
            <w:tcMar>
              <w:left w:w="90" w:type="dxa"/>
              <w:top w:w="60" w:type="dxa"/>
              <w:right w:w="90" w:type="dxa"/>
              <w:bottom w:w="60" w:type="dxa"/>
            </w:tcMar>
            <w:tcW w:w="1872" w:type="dxa"/>
            <w:vAlign w:val="center"/>
          </w:tcPr>
          <w:p>
            <w:pPr>
              <w:pBdr/>
              <w:spacing w:after="40" w:before="40" w:line="240" w:lineRule="auto"/>
              <w:ind/>
              <w:jc w:val="left"/>
              <w:rPr>
                <w:lang w:val="es-ES"/>
              </w:rPr>
            </w:pPr>
            <w:r>
              <w:rPr>
                <w:rFonts w:ascii="Calibri" w:hAnsi="Calibri" w:eastAsia="Calibri" w:cs="Calibri"/>
                <w:b w:val="0"/>
                <w:bCs w:val="0"/>
                <w:color w:val="000000"/>
                <w:sz w:val="16"/>
                <w:szCs w:val="16"/>
                <w:lang w:val="es-ES"/>
              </w:rPr>
              <w:t xml:space="preserve">Control de inmutabilidad implementado en el código de la aplicación.</w:t>
            </w:r>
            <w:r>
              <w:rPr>
                <w:lang w:val="es-ES"/>
              </w:rPr>
            </w:r>
          </w:p>
        </w:tc>
        <w:tc>
          <w:tcPr>
            <w:shd w:val="clear" w:color="auto" w:fill="ffffff"/>
            <w:tcBorders/>
            <w:tcMar>
              <w:left w:w="90" w:type="dxa"/>
              <w:top w:w="60" w:type="dxa"/>
              <w:right w:w="90" w:type="dxa"/>
              <w:bottom w:w="60" w:type="dxa"/>
            </w:tcMar>
            <w:tcW w:w="4493" w:type="dxa"/>
            <w:vAlign w:val="center"/>
          </w:tcPr>
          <w:p>
            <w:pPr>
              <w:pBdr/>
              <w:spacing w:after="40" w:before="40" w:line="240" w:lineRule="auto"/>
              <w:ind/>
              <w:jc w:val="left"/>
              <w:rPr>
                <w:lang w:val="es-ES"/>
              </w:rPr>
            </w:pPr>
            <w:r>
              <w:rPr>
                <w:rFonts w:ascii="Calibri" w:hAnsi="Calibri" w:eastAsia="Calibri" w:cs="Calibri"/>
                <w:b w:val="0"/>
                <w:bCs w:val="0"/>
                <w:color w:val="000000"/>
                <w:sz w:val="16"/>
                <w:szCs w:val="16"/>
                <w:lang w:val="es-ES"/>
              </w:rPr>
              <w:t xml:space="preserve">RF-10 exige inmutabilidad verificable por inspección; un control situado en el código puede eludirse por error o por una ruta no prevista. Se acepta que las correcciones deban registrarse como asientos compensatorios y nunca como modificaciones.</w:t>
            </w:r>
            <w:r>
              <w:rPr>
                <w:lang w:val="es-ES"/>
              </w:rPr>
            </w:r>
          </w:p>
        </w:tc>
      </w:tr>
      <w:tr>
        <w:trPr>
          <w:cantSplit w:val="false"/>
        </w:trPr>
        <w:tc>
          <w:tcPr>
            <w:shd w:val="clear" w:color="auto" w:fill="f2f5fa"/>
            <w:tcBorders/>
            <w:tcMar>
              <w:left w:w="90" w:type="dxa"/>
              <w:top w:w="60" w:type="dxa"/>
              <w:right w:w="90" w:type="dxa"/>
              <w:bottom w:w="60" w:type="dxa"/>
            </w:tcMar>
            <w:tcW w:w="749" w:type="dxa"/>
            <w:vAlign w:val="center"/>
          </w:tcPr>
          <w:p>
            <w:pPr>
              <w:pBdr/>
              <w:spacing w:after="40" w:before="40" w:line="240" w:lineRule="auto"/>
              <w:ind/>
              <w:jc w:val="left"/>
              <w:rPr>
                <w:lang w:val="es-ES"/>
              </w:rPr>
            </w:pPr>
            <w:r>
              <w:rPr>
                <w:rFonts w:ascii="Calibri" w:hAnsi="Calibri" w:eastAsia="Calibri" w:cs="Calibri"/>
                <w:b/>
                <w:bCs/>
                <w:color w:val="000000"/>
                <w:sz w:val="16"/>
                <w:szCs w:val="16"/>
                <w:lang w:val="es-ES"/>
              </w:rPr>
              <w:t xml:space="preserve">ADR-06</w:t>
            </w:r>
            <w:r>
              <w:rPr>
                <w:lang w:val="es-ES"/>
              </w:rPr>
            </w:r>
          </w:p>
        </w:tc>
        <w:tc>
          <w:tcPr>
            <w:shd w:val="clear" w:color="auto" w:fill="f2f5fa"/>
            <w:tcBorders/>
            <w:tcMar>
              <w:left w:w="90" w:type="dxa"/>
              <w:top w:w="60" w:type="dxa"/>
              <w:right w:w="90" w:type="dxa"/>
              <w:bottom w:w="60" w:type="dxa"/>
            </w:tcMar>
            <w:tcW w:w="2246" w:type="dxa"/>
            <w:vAlign w:val="center"/>
          </w:tcPr>
          <w:p>
            <w:pPr>
              <w:pBdr/>
              <w:spacing w:after="40" w:before="40" w:line="240" w:lineRule="auto"/>
              <w:ind/>
              <w:jc w:val="left"/>
              <w:rPr>
                <w:lang w:val="es-ES"/>
              </w:rPr>
            </w:pPr>
            <w:r>
              <w:rPr>
                <w:rFonts w:ascii="Calibri" w:hAnsi="Calibri" w:eastAsia="Calibri" w:cs="Calibri"/>
                <w:b w:val="0"/>
                <w:bCs w:val="0"/>
                <w:color w:val="000000"/>
                <w:sz w:val="16"/>
                <w:szCs w:val="16"/>
                <w:lang w:val="es-ES"/>
              </w:rPr>
              <w:t xml:space="preserve">Interfaz cliente responsiva desacoplada que consume la API REST, con entrega de activos por red de distribución de contenido.</w:t>
            </w:r>
            <w:r>
              <w:rPr>
                <w:lang w:val="es-ES"/>
              </w:rPr>
            </w:r>
          </w:p>
        </w:tc>
        <w:tc>
          <w:tcPr>
            <w:shd w:val="clear" w:color="auto" w:fill="f2f5fa"/>
            <w:tcBorders/>
            <w:tcMar>
              <w:left w:w="90" w:type="dxa"/>
              <w:top w:w="60" w:type="dxa"/>
              <w:right w:w="90" w:type="dxa"/>
              <w:bottom w:w="60" w:type="dxa"/>
            </w:tcMar>
            <w:tcW w:w="1872" w:type="dxa"/>
            <w:vAlign w:val="center"/>
          </w:tcPr>
          <w:p>
            <w:pPr>
              <w:pBdr/>
              <w:spacing w:after="40" w:before="40" w:line="240" w:lineRule="auto"/>
              <w:ind/>
              <w:jc w:val="left"/>
              <w:rPr>
                <w:lang w:val="es-ES"/>
              </w:rPr>
            </w:pPr>
            <w:r>
              <w:rPr>
                <w:rFonts w:ascii="Calibri" w:hAnsi="Calibri" w:eastAsia="Calibri" w:cs="Calibri"/>
                <w:b w:val="0"/>
                <w:bCs w:val="0"/>
                <w:color w:val="000000"/>
                <w:sz w:val="16"/>
                <w:szCs w:val="16"/>
                <w:lang w:val="es-ES"/>
              </w:rPr>
              <w:t xml:space="preserve">Renderizado íntegro en el servidor.</w:t>
            </w:r>
            <w:r>
              <w:rPr>
                <w:lang w:val="es-ES"/>
              </w:rPr>
            </w:r>
          </w:p>
        </w:tc>
        <w:tc>
          <w:tcPr>
            <w:shd w:val="clear" w:color="auto" w:fill="f2f5fa"/>
            <w:tcBorders/>
            <w:tcMar>
              <w:left w:w="90" w:type="dxa"/>
              <w:top w:w="60" w:type="dxa"/>
              <w:right w:w="90" w:type="dxa"/>
              <w:bottom w:w="60" w:type="dxa"/>
            </w:tcMar>
            <w:tcW w:w="4493" w:type="dxa"/>
            <w:vAlign w:val="center"/>
          </w:tcPr>
          <w:p>
            <w:pPr>
              <w:pBdr/>
              <w:spacing w:after="40" w:before="40" w:line="240" w:lineRule="auto"/>
              <w:ind/>
              <w:jc w:val="left"/>
              <w:rPr>
                <w:lang w:val="es-ES"/>
              </w:rPr>
            </w:pPr>
            <w:r>
              <w:rPr>
                <w:rFonts w:ascii="Calibri" w:hAnsi="Calibri" w:eastAsia="Calibri" w:cs="Calibri"/>
                <w:b w:val="0"/>
                <w:bCs w:val="0"/>
                <w:color w:val="000000"/>
                <w:sz w:val="16"/>
                <w:szCs w:val="16"/>
                <w:lang w:val="es-ES"/>
              </w:rPr>
              <w:t xml:space="preserve">Permite cumplir el presupuesto de 2,5 MB y los umbrales sobre 3G de RNF-01 y P-08, y habilita reutilizar la misma API si en el futuro se construyen clientes nativos. Se acepta mayor complejidad inicial en el desarrollo de la interfaz.</w:t>
            </w:r>
            <w:r>
              <w:rPr>
                <w:lang w:val="es-ES"/>
              </w:rPr>
            </w:r>
          </w:p>
        </w:tc>
      </w:tr>
    </w:tbl>
    <w:p>
      <w:pPr>
        <w:pBdr/>
        <w:spacing w:after="160"/>
        <w:ind/>
        <w:rPr>
          <w:lang w:val="es-ES"/>
        </w:rPr>
      </w:pPr>
      <w:r>
        <w:rPr>
          <w:lang w:val="es-ES" w:bidi="es-ES"/>
        </w:rPr>
      </w:r>
      <w:r>
        <w:rPr>
          <w:lang w:val="es-ES"/>
        </w:rPr>
      </w:r>
    </w:p>
    <w:p>
      <w:pPr>
        <w:pStyle w:val="905"/>
        <w:keepNext w:val="true"/>
        <w:pBdr/>
        <w:spacing w:after="120" w:before="220"/>
        <w:ind/>
        <w:rPr>
          <w:color w:val="000000" w:themeColor="text1"/>
        </w:rPr>
      </w:pPr>
      <w:r/>
      <w:bookmarkStart w:id="29" w:name="_Toc29"/>
      <w:r>
        <w:rPr>
          <w:rFonts w:ascii="Calibri" w:hAnsi="Calibri" w:eastAsia="Calibri" w:cs="Calibri"/>
          <w:b/>
          <w:bCs/>
          <w:color w:val="000000" w:themeColor="text1"/>
          <w:sz w:val="22"/>
          <w:szCs w:val="22"/>
          <w:lang w:val="es-ES"/>
        </w:rPr>
        <w:t xml:space="preserve">2.7.3 Riesgos aceptados y deuda técnica arquitectónica</w:t>
      </w:r>
      <w:r/>
      <w:bookmarkEnd w:id="29"/>
      <w:r/>
      <w:r>
        <w:rPr>
          <w:color w:val="000000" w:themeColor="text1"/>
        </w:rPr>
      </w:r>
    </w:p>
    <w:p>
      <w:pPr>
        <w:pBdr/>
        <w:spacing w:after="140" w:line="276" w:lineRule="auto"/>
        <w:ind/>
        <w:jc w:val="both"/>
        <w:rPr>
          <w:color w:val="000000" w:themeColor="text1"/>
        </w:rPr>
      </w:pPr>
      <w:r>
        <w:rPr>
          <w:rFonts w:ascii="Calibri" w:hAnsi="Calibri" w:eastAsia="Calibri" w:cs="Calibri"/>
          <w:color w:val="000000" w:themeColor="text1"/>
          <w:sz w:val="21"/>
          <w:szCs w:val="21"/>
          <w:lang w:val="es-ES"/>
        </w:rPr>
        <w:t xml:space="preserve">El SWEBOK formaliza el concepto de deuda técnica arquitectónica como las decisiones de hoy con consecuencias significativas mañana, y advierte que suele pagarla quien no la contrajo. Hacerla visible y explícita es la única forma de gestionarla.</w:t>
      </w:r>
      <w:r>
        <w:rPr>
          <w:color w:val="000000" w:themeColor="text1"/>
        </w:rPr>
      </w:r>
    </w:p>
    <w:tbl>
      <w:tblPr>
        <w:tblW w:w="9360" w:type="dxa"/>
        <w:tblBorders>
          <w:top w:val="single" w:color="8ea9db" w:sz="4" w:space="0"/>
          <w:left w:val="single" w:color="8ea9db" w:sz="4" w:space="0"/>
          <w:bottom w:val="single" w:color="8ea9db" w:sz="4" w:space="0"/>
          <w:right w:val="single" w:color="8ea9db" w:sz="4" w:space="0"/>
          <w:insideH w:val="single" w:color="b4c6e7" w:sz="2" w:space="0"/>
          <w:insideV w:val="single" w:color="b4c6e7" w:sz="2" w:space="0"/>
        </w:tblBorders>
        <w:tblLook w:val="04A0" w:firstRow="1" w:lastRow="0" w:firstColumn="1" w:lastColumn="0" w:noHBand="0" w:noVBand="1"/>
      </w:tblPr>
      <w:tblGrid>
        <w:gridCol w:w="655"/>
        <w:gridCol w:w="2246"/>
        <w:gridCol w:w="2059"/>
        <w:gridCol w:w="2808"/>
        <w:gridCol w:w="1591"/>
      </w:tblGrid>
      <w:tr>
        <w:trPr>
          <w:cantSplit w:val="false"/>
          <w:tblHeader/>
        </w:trPr>
        <w:tc>
          <w:tcPr>
            <w:shd w:val="clear" w:color="auto" w:fill="d9e2f3"/>
            <w:tcBorders/>
            <w:tcMar>
              <w:left w:w="90" w:type="dxa"/>
              <w:top w:w="60" w:type="dxa"/>
              <w:right w:w="90" w:type="dxa"/>
              <w:bottom w:w="60" w:type="dxa"/>
            </w:tcMar>
            <w:tcW w:w="655"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w:t>
            </w:r>
            <w:r>
              <w:rPr>
                <w:color w:val="000000" w:themeColor="text1"/>
              </w:rPr>
            </w:r>
          </w:p>
        </w:tc>
        <w:tc>
          <w:tcPr>
            <w:shd w:val="clear" w:color="auto" w:fill="d9e2f3"/>
            <w:tcBorders/>
            <w:tcMar>
              <w:left w:w="90" w:type="dxa"/>
              <w:top w:w="60" w:type="dxa"/>
              <w:right w:w="90" w:type="dxa"/>
              <w:bottom w:w="60" w:type="dxa"/>
            </w:tcMar>
            <w:tcW w:w="2246"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Riesgo aceptado</w:t>
            </w:r>
            <w:r>
              <w:rPr>
                <w:color w:val="000000" w:themeColor="text1"/>
              </w:rPr>
            </w:r>
          </w:p>
        </w:tc>
        <w:tc>
          <w:tcPr>
            <w:shd w:val="clear" w:color="auto" w:fill="d9e2f3"/>
            <w:tcBorders/>
            <w:tcMar>
              <w:left w:w="90" w:type="dxa"/>
              <w:top w:w="60" w:type="dxa"/>
              <w:right w:w="90" w:type="dxa"/>
              <w:bottom w:w="60" w:type="dxa"/>
            </w:tcMar>
            <w:tcW w:w="2059"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Consecuencia si se materializa</w:t>
            </w:r>
            <w:r>
              <w:rPr>
                <w:color w:val="000000" w:themeColor="text1"/>
              </w:rPr>
            </w:r>
          </w:p>
        </w:tc>
        <w:tc>
          <w:tcPr>
            <w:shd w:val="clear" w:color="auto" w:fill="d9e2f3"/>
            <w:tcBorders/>
            <w:tcMar>
              <w:left w:w="90" w:type="dxa"/>
              <w:top w:w="60" w:type="dxa"/>
              <w:right w:w="90" w:type="dxa"/>
              <w:bottom w:w="60" w:type="dxa"/>
            </w:tcMar>
            <w:tcW w:w="2808"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Mitigación adoptada</w:t>
            </w:r>
            <w:r>
              <w:rPr>
                <w:color w:val="000000" w:themeColor="text1"/>
              </w:rPr>
            </w:r>
          </w:p>
        </w:tc>
        <w:tc>
          <w:tcPr>
            <w:shd w:val="clear" w:color="auto" w:fill="d9e2f3"/>
            <w:tcBorders/>
            <w:tcMar>
              <w:left w:w="90" w:type="dxa"/>
              <w:top w:w="60" w:type="dxa"/>
              <w:right w:w="90" w:type="dxa"/>
              <w:bottom w:w="60" w:type="dxa"/>
            </w:tcMar>
            <w:tcW w:w="1591"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Indicador de alerta</w:t>
            </w:r>
            <w:r>
              <w:rPr>
                <w:color w:val="000000" w:themeColor="text1"/>
              </w:rPr>
            </w:r>
          </w:p>
        </w:tc>
      </w:tr>
      <w:tr>
        <w:trPr>
          <w:cantSplit w:val="false"/>
        </w:trPr>
        <w:tc>
          <w:tcPr>
            <w:shd w:val="clear" w:color="auto" w:fill="ffffff"/>
            <w:tcBorders/>
            <w:tcMar>
              <w:left w:w="90" w:type="dxa"/>
              <w:top w:w="60" w:type="dxa"/>
              <w:right w:w="90" w:type="dxa"/>
              <w:bottom w:w="60" w:type="dxa"/>
            </w:tcMar>
            <w:tcW w:w="655"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R-01</w:t>
            </w:r>
            <w:r>
              <w:rPr>
                <w:color w:val="000000" w:themeColor="text1"/>
              </w:rPr>
            </w:r>
          </w:p>
        </w:tc>
        <w:tc>
          <w:tcPr>
            <w:shd w:val="clear" w:color="auto" w:fill="ffffff"/>
            <w:tcBorders/>
            <w:tcMar>
              <w:left w:w="90" w:type="dxa"/>
              <w:top w:w="60" w:type="dxa"/>
              <w:right w:w="90" w:type="dxa"/>
              <w:bottom w:w="60" w:type="dxa"/>
            </w:tcMar>
            <w:tcW w:w="2246"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Erosión de las fronteras modulares: un módulo consulta directamente las tablas de otro.</w:t>
            </w:r>
            <w:r>
              <w:rPr>
                <w:color w:val="000000" w:themeColor="text1"/>
              </w:rPr>
            </w:r>
          </w:p>
        </w:tc>
        <w:tc>
          <w:tcPr>
            <w:shd w:val="clear" w:color="auto" w:fill="ffffff"/>
            <w:tcBorders/>
            <w:tcMar>
              <w:left w:w="90" w:type="dxa"/>
              <w:top w:w="60" w:type="dxa"/>
              <w:right w:w="90" w:type="dxa"/>
              <w:bottom w:w="60" w:type="dxa"/>
            </w:tcMar>
            <w:tcW w:w="2059"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El monolito modular degenera en monolito enmarañado y se pierde el camino de migración futura.</w:t>
            </w:r>
            <w:r>
              <w:rPr>
                <w:color w:val="000000" w:themeColor="text1"/>
              </w:rPr>
            </w:r>
          </w:p>
        </w:tc>
        <w:tc>
          <w:tcPr>
            <w:shd w:val="clear" w:color="auto" w:fill="ffffff"/>
            <w:tcBorders/>
            <w:tcMar>
              <w:left w:w="90" w:type="dxa"/>
              <w:top w:w="60" w:type="dxa"/>
              <w:right w:w="90" w:type="dxa"/>
              <w:bottom w:w="60" w:type="dxa"/>
            </w:tcMar>
            <w:tcW w:w="2808"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Esquemas de base de datos separados por módulo; regla de revisión de código que prohíbe referencias cruzadas; verificación automática de dependencias en la integración continua.</w:t>
            </w:r>
            <w:r>
              <w:rPr>
                <w:color w:val="000000" w:themeColor="text1"/>
              </w:rPr>
            </w:r>
          </w:p>
        </w:tc>
        <w:tc>
          <w:tcPr>
            <w:shd w:val="clear" w:color="auto" w:fill="ffffff"/>
            <w:tcBorders/>
            <w:tcMar>
              <w:left w:w="90" w:type="dxa"/>
              <w:top w:w="60" w:type="dxa"/>
              <w:right w:w="90" w:type="dxa"/>
              <w:bottom w:w="60" w:type="dxa"/>
            </w:tcMar>
            <w:tcW w:w="1591"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Aparición de consultas que cruzan esquemas en la revisión de código.</w:t>
            </w:r>
            <w:r>
              <w:rPr>
                <w:color w:val="000000" w:themeColor="text1"/>
              </w:rPr>
            </w:r>
          </w:p>
        </w:tc>
      </w:tr>
      <w:tr>
        <w:trPr>
          <w:cantSplit w:val="false"/>
        </w:trPr>
        <w:tc>
          <w:tcPr>
            <w:shd w:val="clear" w:color="auto" w:fill="f2f5fa"/>
            <w:tcBorders/>
            <w:tcMar>
              <w:left w:w="90" w:type="dxa"/>
              <w:top w:w="60" w:type="dxa"/>
              <w:right w:w="90" w:type="dxa"/>
              <w:bottom w:w="60" w:type="dxa"/>
            </w:tcMar>
            <w:tcW w:w="655"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R-02</w:t>
            </w:r>
            <w:r>
              <w:rPr>
                <w:color w:val="000000" w:themeColor="text1"/>
              </w:rPr>
            </w:r>
          </w:p>
        </w:tc>
        <w:tc>
          <w:tcPr>
            <w:shd w:val="clear" w:color="auto" w:fill="f2f5fa"/>
            <w:tcBorders/>
            <w:tcMar>
              <w:left w:w="90" w:type="dxa"/>
              <w:top w:w="60" w:type="dxa"/>
              <w:right w:w="90" w:type="dxa"/>
              <w:bottom w:w="60" w:type="dxa"/>
            </w:tcMar>
            <w:tcW w:w="2246"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Consistencia eventual en notificaciones y liberaciones de inventario.</w:t>
            </w:r>
            <w:r>
              <w:rPr>
                <w:color w:val="000000" w:themeColor="text1"/>
              </w:rPr>
            </w:r>
          </w:p>
        </w:tc>
        <w:tc>
          <w:tcPr>
            <w:shd w:val="clear" w:color="auto" w:fill="f2f5fa"/>
            <w:tcBorders/>
            <w:tcMar>
              <w:left w:w="90" w:type="dxa"/>
              <w:top w:w="60" w:type="dxa"/>
              <w:right w:w="90" w:type="dxa"/>
              <w:bottom w:w="60" w:type="dxa"/>
            </w:tcMar>
            <w:tcW w:w="2059"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El usuario percibe estados desactualizados durante segundos y desconfía del sistema.</w:t>
            </w:r>
            <w:r>
              <w:rPr>
                <w:color w:val="000000" w:themeColor="text1"/>
              </w:rPr>
            </w:r>
          </w:p>
        </w:tc>
        <w:tc>
          <w:tcPr>
            <w:shd w:val="clear" w:color="auto" w:fill="f2f5fa"/>
            <w:tcBorders/>
            <w:tcMar>
              <w:left w:w="90" w:type="dxa"/>
              <w:top w:w="60" w:type="dxa"/>
              <w:right w:w="90" w:type="dxa"/>
              <w:bottom w:w="60" w:type="dxa"/>
            </w:tcMar>
            <w:tcW w:w="2808"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Umbral explícito de 60 segundos en SYS-FN-25; indicación visible del estado de envío en la interfaz; pruebas que verifican el retardo máximo.</w:t>
            </w:r>
            <w:r>
              <w:rPr>
                <w:color w:val="000000" w:themeColor="text1"/>
              </w:rPr>
            </w:r>
          </w:p>
        </w:tc>
        <w:tc>
          <w:tcPr>
            <w:shd w:val="clear" w:color="auto" w:fill="f2f5fa"/>
            <w:tcBorders/>
            <w:tcMar>
              <w:left w:w="90" w:type="dxa"/>
              <w:top w:w="60" w:type="dxa"/>
              <w:right w:w="90" w:type="dxa"/>
              <w:bottom w:w="60" w:type="dxa"/>
            </w:tcMar>
            <w:tcW w:w="1591"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Retardo medio de publicación de eventos superior a 30 segundos.</w:t>
            </w:r>
            <w:r>
              <w:rPr>
                <w:color w:val="000000" w:themeColor="text1"/>
              </w:rPr>
            </w:r>
          </w:p>
        </w:tc>
      </w:tr>
      <w:tr>
        <w:trPr>
          <w:cantSplit w:val="false"/>
        </w:trPr>
        <w:tc>
          <w:tcPr>
            <w:shd w:val="clear" w:color="auto" w:fill="ffffff"/>
            <w:tcBorders/>
            <w:tcMar>
              <w:left w:w="90" w:type="dxa"/>
              <w:top w:w="60" w:type="dxa"/>
              <w:right w:w="90" w:type="dxa"/>
              <w:bottom w:w="60" w:type="dxa"/>
            </w:tcMar>
            <w:tcW w:w="655" w:type="dxa"/>
            <w:vAlign w:val="center"/>
          </w:tcPr>
          <w:p>
            <w:pPr>
              <w:pBdr/>
              <w:spacing w:after="40" w:before="40" w:line="240" w:lineRule="auto"/>
              <w:ind/>
              <w:jc w:val="left"/>
              <w:rPr>
                <w:lang w:val="es-ES"/>
              </w:rPr>
            </w:pPr>
            <w:r>
              <w:rPr>
                <w:rFonts w:ascii="Calibri" w:hAnsi="Calibri" w:eastAsia="Calibri" w:cs="Calibri"/>
                <w:b/>
                <w:bCs/>
                <w:color w:val="000000"/>
                <w:sz w:val="16"/>
                <w:szCs w:val="16"/>
                <w:lang w:val="es-ES"/>
              </w:rPr>
              <w:t xml:space="preserve">R-03</w:t>
            </w:r>
            <w:r>
              <w:rPr>
                <w:lang w:val="es-ES"/>
              </w:rPr>
            </w:r>
          </w:p>
        </w:tc>
        <w:tc>
          <w:tcPr>
            <w:shd w:val="clear" w:color="auto" w:fill="ffffff"/>
            <w:tcBorders/>
            <w:tcMar>
              <w:left w:w="90" w:type="dxa"/>
              <w:top w:w="60" w:type="dxa"/>
              <w:right w:w="90" w:type="dxa"/>
              <w:bottom w:w="60" w:type="dxa"/>
            </w:tcMar>
            <w:tcW w:w="2246" w:type="dxa"/>
            <w:vAlign w:val="center"/>
          </w:tcPr>
          <w:p>
            <w:pPr>
              <w:pBdr/>
              <w:spacing w:after="40" w:before="40" w:line="240" w:lineRule="auto"/>
              <w:ind/>
              <w:jc w:val="left"/>
              <w:rPr>
                <w:lang w:val="es-ES"/>
              </w:rPr>
            </w:pPr>
            <w:r>
              <w:rPr>
                <w:rFonts w:ascii="Calibri" w:hAnsi="Calibri" w:eastAsia="Calibri" w:cs="Calibri"/>
                <w:b w:val="0"/>
                <w:bCs w:val="0"/>
                <w:color w:val="000000"/>
                <w:sz w:val="16"/>
                <w:szCs w:val="16"/>
                <w:lang w:val="es-ES"/>
              </w:rPr>
              <w:t xml:space="preserve">Punto único de fallo del proceso de aplicación: un defecto grave en un módulo afecta al conjunto.</w:t>
            </w:r>
            <w:r>
              <w:rPr>
                <w:lang w:val="es-ES"/>
              </w:rPr>
            </w:r>
          </w:p>
        </w:tc>
        <w:tc>
          <w:tcPr>
            <w:shd w:val="clear" w:color="auto" w:fill="ffffff"/>
            <w:tcBorders/>
            <w:tcMar>
              <w:left w:w="90" w:type="dxa"/>
              <w:top w:w="60" w:type="dxa"/>
              <w:right w:w="90" w:type="dxa"/>
              <w:bottom w:w="60" w:type="dxa"/>
            </w:tcMar>
            <w:tcW w:w="2059" w:type="dxa"/>
            <w:vAlign w:val="center"/>
          </w:tcPr>
          <w:p>
            <w:pPr>
              <w:pBdr/>
              <w:spacing w:after="40" w:before="40" w:line="240" w:lineRule="auto"/>
              <w:ind/>
              <w:jc w:val="left"/>
              <w:rPr>
                <w:lang w:val="es-ES"/>
              </w:rPr>
            </w:pPr>
            <w:r>
              <w:rPr>
                <w:rFonts w:ascii="Calibri" w:hAnsi="Calibri" w:eastAsia="Calibri" w:cs="Calibri"/>
                <w:b w:val="0"/>
                <w:bCs w:val="0"/>
                <w:color w:val="000000"/>
                <w:sz w:val="16"/>
                <w:szCs w:val="16"/>
                <w:lang w:val="es-ES"/>
              </w:rPr>
              <w:t xml:space="preserve">Caída total del servicio e incumplimiento del 99,0 % de RNF-02.</w:t>
            </w:r>
            <w:r>
              <w:rPr>
                <w:lang w:val="es-ES"/>
              </w:rPr>
            </w:r>
          </w:p>
        </w:tc>
        <w:tc>
          <w:tcPr>
            <w:shd w:val="clear" w:color="auto" w:fill="ffffff"/>
            <w:tcBorders/>
            <w:tcMar>
              <w:left w:w="90" w:type="dxa"/>
              <w:top w:w="60" w:type="dxa"/>
              <w:right w:w="90" w:type="dxa"/>
              <w:bottom w:w="60" w:type="dxa"/>
            </w:tcMar>
            <w:tcW w:w="2808" w:type="dxa"/>
            <w:vAlign w:val="center"/>
          </w:tcPr>
          <w:p>
            <w:pPr>
              <w:pBdr/>
              <w:spacing w:after="40" w:before="40" w:line="240" w:lineRule="auto"/>
              <w:ind/>
              <w:jc w:val="left"/>
              <w:rPr>
                <w:lang w:val="es-ES"/>
              </w:rPr>
            </w:pPr>
            <w:r>
              <w:rPr>
                <w:rFonts w:ascii="Calibri" w:hAnsi="Calibri" w:eastAsia="Calibri" w:cs="Calibri"/>
                <w:b w:val="0"/>
                <w:bCs w:val="0"/>
                <w:color w:val="000000"/>
                <w:sz w:val="16"/>
                <w:szCs w:val="16"/>
                <w:lang w:val="es-ES"/>
              </w:rPr>
              <w:t xml:space="preserve">Al menos dos instancias tras el balanceador desde el primer despliegue; sondas de vitalidad; reinicio automático; monitoreo continuo.</w:t>
            </w:r>
            <w:r>
              <w:rPr>
                <w:lang w:val="es-ES"/>
              </w:rPr>
            </w:r>
          </w:p>
        </w:tc>
        <w:tc>
          <w:tcPr>
            <w:shd w:val="clear" w:color="auto" w:fill="ffffff"/>
            <w:tcBorders/>
            <w:tcMar>
              <w:left w:w="90" w:type="dxa"/>
              <w:top w:w="60" w:type="dxa"/>
              <w:right w:w="90" w:type="dxa"/>
              <w:bottom w:w="60" w:type="dxa"/>
            </w:tcMar>
            <w:tcW w:w="1591" w:type="dxa"/>
            <w:vAlign w:val="center"/>
          </w:tcPr>
          <w:p>
            <w:pPr>
              <w:pBdr/>
              <w:spacing w:after="40" w:before="40" w:line="240" w:lineRule="auto"/>
              <w:ind/>
              <w:jc w:val="left"/>
              <w:rPr>
                <w:lang w:val="es-ES"/>
              </w:rPr>
            </w:pPr>
            <w:r>
              <w:rPr>
                <w:rFonts w:ascii="Calibri" w:hAnsi="Calibri" w:eastAsia="Calibri" w:cs="Calibri"/>
                <w:b w:val="0"/>
                <w:bCs w:val="0"/>
                <w:color w:val="000000"/>
                <w:sz w:val="16"/>
                <w:szCs w:val="16"/>
                <w:lang w:val="es-ES"/>
              </w:rPr>
              <w:t xml:space="preserve">Más de un reinicio no planificado por semana.</w:t>
            </w:r>
            <w:r>
              <w:rPr>
                <w:lang w:val="es-ES"/>
              </w:rPr>
            </w:r>
          </w:p>
        </w:tc>
      </w:tr>
      <w:tr>
        <w:trPr>
          <w:cantSplit w:val="false"/>
        </w:trPr>
        <w:tc>
          <w:tcPr>
            <w:shd w:val="clear" w:color="auto" w:fill="f2f5fa"/>
            <w:tcBorders/>
            <w:tcMar>
              <w:left w:w="90" w:type="dxa"/>
              <w:top w:w="60" w:type="dxa"/>
              <w:right w:w="90" w:type="dxa"/>
              <w:bottom w:w="60" w:type="dxa"/>
            </w:tcMar>
            <w:tcW w:w="655" w:type="dxa"/>
            <w:vAlign w:val="center"/>
          </w:tcPr>
          <w:p>
            <w:pPr>
              <w:pBdr/>
              <w:spacing w:after="40" w:before="40" w:line="240" w:lineRule="auto"/>
              <w:ind/>
              <w:jc w:val="left"/>
              <w:rPr>
                <w:lang w:val="es-ES"/>
              </w:rPr>
            </w:pPr>
            <w:r>
              <w:rPr>
                <w:rFonts w:ascii="Calibri" w:hAnsi="Calibri" w:eastAsia="Calibri" w:cs="Calibri"/>
                <w:b/>
                <w:bCs/>
                <w:color w:val="000000"/>
                <w:sz w:val="16"/>
                <w:szCs w:val="16"/>
                <w:lang w:val="es-ES"/>
              </w:rPr>
              <w:t xml:space="preserve">R-04</w:t>
            </w:r>
            <w:r>
              <w:rPr>
                <w:lang w:val="es-ES"/>
              </w:rPr>
            </w:r>
          </w:p>
        </w:tc>
        <w:tc>
          <w:tcPr>
            <w:shd w:val="clear" w:color="auto" w:fill="f2f5fa"/>
            <w:tcBorders/>
            <w:tcMar>
              <w:left w:w="90" w:type="dxa"/>
              <w:top w:w="60" w:type="dxa"/>
              <w:right w:w="90" w:type="dxa"/>
              <w:bottom w:w="60" w:type="dxa"/>
            </w:tcMar>
            <w:tcW w:w="2246" w:type="dxa"/>
            <w:vAlign w:val="center"/>
          </w:tcPr>
          <w:p>
            <w:pPr>
              <w:pBdr/>
              <w:spacing w:after="40" w:before="40" w:line="240" w:lineRule="auto"/>
              <w:ind/>
              <w:jc w:val="left"/>
              <w:rPr>
                <w:lang w:val="es-ES"/>
              </w:rPr>
            </w:pPr>
            <w:r>
              <w:rPr>
                <w:rFonts w:ascii="Calibri" w:hAnsi="Calibri" w:eastAsia="Calibri" w:cs="Calibri"/>
                <w:b w:val="0"/>
                <w:bCs w:val="0"/>
                <w:color w:val="000000"/>
                <w:sz w:val="16"/>
                <w:szCs w:val="16"/>
                <w:lang w:val="es-ES"/>
              </w:rPr>
              <w:t xml:space="preserve">Sobrecoste de indirección: puertos y adaptadores en módulos que solo hacen operaciones básicas.</w:t>
            </w:r>
            <w:r>
              <w:rPr>
                <w:lang w:val="es-ES"/>
              </w:rPr>
            </w:r>
          </w:p>
        </w:tc>
        <w:tc>
          <w:tcPr>
            <w:shd w:val="clear" w:color="auto" w:fill="f2f5fa"/>
            <w:tcBorders/>
            <w:tcMar>
              <w:left w:w="90" w:type="dxa"/>
              <w:top w:w="60" w:type="dxa"/>
              <w:right w:w="90" w:type="dxa"/>
              <w:bottom w:w="60" w:type="dxa"/>
            </w:tcMar>
            <w:tcW w:w="2059" w:type="dxa"/>
            <w:vAlign w:val="center"/>
          </w:tcPr>
          <w:p>
            <w:pPr>
              <w:pBdr/>
              <w:spacing w:after="40" w:before="40" w:line="240" w:lineRule="auto"/>
              <w:ind/>
              <w:jc w:val="left"/>
              <w:rPr>
                <w:lang w:val="es-ES"/>
              </w:rPr>
            </w:pPr>
            <w:r>
              <w:rPr>
                <w:rFonts w:ascii="Calibri" w:hAnsi="Calibri" w:eastAsia="Calibri" w:cs="Calibri"/>
                <w:b w:val="0"/>
                <w:bCs w:val="0"/>
                <w:color w:val="000000"/>
                <w:sz w:val="16"/>
                <w:szCs w:val="16"/>
                <w:lang w:val="es-ES"/>
              </w:rPr>
              <w:t xml:space="preserve">Se escribe más código del necesario y el equipo pierde velocidad.</w:t>
            </w:r>
            <w:r>
              <w:rPr>
                <w:lang w:val="es-ES"/>
              </w:rPr>
            </w:r>
          </w:p>
        </w:tc>
        <w:tc>
          <w:tcPr>
            <w:shd w:val="clear" w:color="auto" w:fill="f2f5fa"/>
            <w:tcBorders/>
            <w:tcMar>
              <w:left w:w="90" w:type="dxa"/>
              <w:top w:w="60" w:type="dxa"/>
              <w:right w:w="90" w:type="dxa"/>
              <w:bottom w:w="60" w:type="dxa"/>
            </w:tcMar>
            <w:tcW w:w="2808" w:type="dxa"/>
            <w:vAlign w:val="center"/>
          </w:tcPr>
          <w:p>
            <w:pPr>
              <w:pBdr/>
              <w:spacing w:after="40" w:before="40" w:line="240" w:lineRule="auto"/>
              <w:ind/>
              <w:jc w:val="left"/>
              <w:rPr>
                <w:lang w:val="es-ES"/>
              </w:rPr>
            </w:pPr>
            <w:r>
              <w:rPr>
                <w:rFonts w:ascii="Calibri" w:hAnsi="Calibri" w:eastAsia="Calibri" w:cs="Calibri"/>
                <w:b w:val="0"/>
                <w:bCs w:val="0"/>
                <w:color w:val="000000"/>
                <w:sz w:val="16"/>
                <w:szCs w:val="16"/>
                <w:lang w:val="es-ES"/>
              </w:rPr>
              <w:t xml:space="preserve">Aplicación completa del patrón únicamente en los módulos con lógica de dominio real (M3, M4, M6, M8); acceso directo permitido en módulos de consulta simple.</w:t>
            </w:r>
            <w:r>
              <w:rPr>
                <w:lang w:val="es-ES"/>
              </w:rPr>
            </w:r>
          </w:p>
        </w:tc>
        <w:tc>
          <w:tcPr>
            <w:shd w:val="clear" w:color="auto" w:fill="f2f5fa"/>
            <w:tcBorders/>
            <w:tcMar>
              <w:left w:w="90" w:type="dxa"/>
              <w:top w:w="60" w:type="dxa"/>
              <w:right w:w="90" w:type="dxa"/>
              <w:bottom w:w="60" w:type="dxa"/>
            </w:tcMar>
            <w:tcW w:w="1591" w:type="dxa"/>
            <w:vAlign w:val="center"/>
          </w:tcPr>
          <w:p>
            <w:pPr>
              <w:pBdr/>
              <w:spacing w:after="40" w:before="40" w:line="240" w:lineRule="auto"/>
              <w:ind/>
              <w:jc w:val="left"/>
              <w:rPr>
                <w:lang w:val="es-ES"/>
              </w:rPr>
            </w:pPr>
            <w:r>
              <w:rPr>
                <w:rFonts w:ascii="Calibri" w:hAnsi="Calibri" w:eastAsia="Calibri" w:cs="Calibri"/>
                <w:b w:val="0"/>
                <w:bCs w:val="0"/>
                <w:color w:val="000000"/>
                <w:sz w:val="16"/>
                <w:szCs w:val="16"/>
                <w:lang w:val="es-ES"/>
              </w:rPr>
              <w:t xml:space="preserve">Módulos con más código de adaptación que de negocio.</w:t>
            </w:r>
            <w:r>
              <w:rPr>
                <w:lang w:val="es-ES"/>
              </w:rPr>
            </w:r>
          </w:p>
        </w:tc>
      </w:tr>
      <w:tr>
        <w:trPr>
          <w:cantSplit w:val="false"/>
        </w:trPr>
        <w:tc>
          <w:tcPr>
            <w:shd w:val="clear" w:color="auto" w:fill="ffffff"/>
            <w:tcBorders/>
            <w:tcMar>
              <w:left w:w="90" w:type="dxa"/>
              <w:top w:w="60" w:type="dxa"/>
              <w:right w:w="90" w:type="dxa"/>
              <w:bottom w:w="60" w:type="dxa"/>
            </w:tcMar>
            <w:tcW w:w="655" w:type="dxa"/>
            <w:vAlign w:val="center"/>
          </w:tcPr>
          <w:p>
            <w:pPr>
              <w:pBdr/>
              <w:spacing w:after="40" w:before="40" w:line="240" w:lineRule="auto"/>
              <w:ind/>
              <w:jc w:val="left"/>
              <w:rPr>
                <w:lang w:val="es-ES"/>
              </w:rPr>
            </w:pPr>
            <w:r>
              <w:rPr>
                <w:rFonts w:ascii="Calibri" w:hAnsi="Calibri" w:eastAsia="Calibri" w:cs="Calibri"/>
                <w:b/>
                <w:bCs/>
                <w:color w:val="000000"/>
                <w:sz w:val="16"/>
                <w:szCs w:val="16"/>
                <w:lang w:val="es-ES"/>
              </w:rPr>
              <w:t xml:space="preserve">R-05</w:t>
            </w:r>
            <w:r>
              <w:rPr>
                <w:lang w:val="es-ES"/>
              </w:rPr>
            </w:r>
          </w:p>
        </w:tc>
        <w:tc>
          <w:tcPr>
            <w:shd w:val="clear" w:color="auto" w:fill="ffffff"/>
            <w:tcBorders/>
            <w:tcMar>
              <w:left w:w="90" w:type="dxa"/>
              <w:top w:w="60" w:type="dxa"/>
              <w:right w:w="90" w:type="dxa"/>
              <w:bottom w:w="60" w:type="dxa"/>
            </w:tcMar>
            <w:tcW w:w="2246" w:type="dxa"/>
            <w:vAlign w:val="center"/>
          </w:tcPr>
          <w:p>
            <w:pPr>
              <w:pBdr/>
              <w:spacing w:after="40" w:before="40" w:line="240" w:lineRule="auto"/>
              <w:ind/>
              <w:jc w:val="left"/>
              <w:rPr>
                <w:lang w:val="es-ES"/>
              </w:rPr>
            </w:pPr>
            <w:r>
              <w:rPr>
                <w:rFonts w:ascii="Calibri" w:hAnsi="Calibri" w:eastAsia="Calibri" w:cs="Calibri"/>
                <w:b w:val="0"/>
                <w:bCs w:val="0"/>
                <w:color w:val="000000"/>
                <w:sz w:val="16"/>
                <w:szCs w:val="16"/>
                <w:lang w:val="es-ES"/>
              </w:rPr>
              <w:t xml:space="preserve">Dependencia de un proveedor externo de mensajería sobre el que no se tiene control.</w:t>
            </w:r>
            <w:r>
              <w:rPr>
                <w:lang w:val="es-ES"/>
              </w:rPr>
            </w:r>
          </w:p>
        </w:tc>
        <w:tc>
          <w:tcPr>
            <w:shd w:val="clear" w:color="auto" w:fill="ffffff"/>
            <w:tcBorders/>
            <w:tcMar>
              <w:left w:w="90" w:type="dxa"/>
              <w:top w:w="60" w:type="dxa"/>
              <w:right w:w="90" w:type="dxa"/>
              <w:bottom w:w="60" w:type="dxa"/>
            </w:tcMar>
            <w:tcW w:w="2059" w:type="dxa"/>
            <w:vAlign w:val="center"/>
          </w:tcPr>
          <w:p>
            <w:pPr>
              <w:pBdr/>
              <w:spacing w:after="40" w:before="40" w:line="240" w:lineRule="auto"/>
              <w:ind/>
              <w:jc w:val="left"/>
              <w:rPr>
                <w:lang w:val="es-ES"/>
              </w:rPr>
            </w:pPr>
            <w:r>
              <w:rPr>
                <w:rFonts w:ascii="Calibri" w:hAnsi="Calibri" w:eastAsia="Calibri" w:cs="Calibri"/>
                <w:b w:val="0"/>
                <w:bCs w:val="0"/>
                <w:color w:val="000000"/>
                <w:sz w:val="16"/>
                <w:szCs w:val="16"/>
                <w:lang w:val="es-ES"/>
              </w:rPr>
              <w:t xml:space="preserve">Incumplimiento de RF-07 por causa ajena al sistema.</w:t>
            </w:r>
            <w:r>
              <w:rPr>
                <w:lang w:val="es-ES"/>
              </w:rPr>
            </w:r>
          </w:p>
        </w:tc>
        <w:tc>
          <w:tcPr>
            <w:shd w:val="clear" w:color="auto" w:fill="ffffff"/>
            <w:tcBorders/>
            <w:tcMar>
              <w:left w:w="90" w:type="dxa"/>
              <w:top w:w="60" w:type="dxa"/>
              <w:right w:w="90" w:type="dxa"/>
              <w:bottom w:w="60" w:type="dxa"/>
            </w:tcMar>
            <w:tcW w:w="2808" w:type="dxa"/>
            <w:vAlign w:val="center"/>
          </w:tcPr>
          <w:p>
            <w:pPr>
              <w:pBdr/>
              <w:spacing w:after="40" w:before="40" w:line="240" w:lineRule="auto"/>
              <w:ind/>
              <w:jc w:val="left"/>
              <w:rPr>
                <w:lang w:val="es-ES"/>
              </w:rPr>
            </w:pPr>
            <w:r>
              <w:rPr>
                <w:rFonts w:ascii="Calibri" w:hAnsi="Calibri" w:eastAsia="Calibri" w:cs="Calibri"/>
                <w:b w:val="0"/>
                <w:bCs w:val="0"/>
                <w:color w:val="000000"/>
                <w:sz w:val="16"/>
                <w:szCs w:val="16"/>
                <w:lang w:val="es-ES"/>
              </w:rPr>
              <w:t xml:space="preserve">ADR-02 aísla el fallo; el puerto de notificación es abstracto, de modo que sustituir el proveedor afecta a un solo adaptador; correo electrónico como canal de reserva.</w:t>
            </w:r>
            <w:r>
              <w:rPr>
                <w:lang w:val="es-ES"/>
              </w:rPr>
            </w:r>
          </w:p>
        </w:tc>
        <w:tc>
          <w:tcPr>
            <w:shd w:val="clear" w:color="auto" w:fill="ffffff"/>
            <w:tcBorders/>
            <w:tcMar>
              <w:left w:w="90" w:type="dxa"/>
              <w:top w:w="60" w:type="dxa"/>
              <w:right w:w="90" w:type="dxa"/>
              <w:bottom w:w="60" w:type="dxa"/>
            </w:tcMar>
            <w:tcW w:w="1591" w:type="dxa"/>
            <w:vAlign w:val="center"/>
          </w:tcPr>
          <w:p>
            <w:pPr>
              <w:pBdr/>
              <w:spacing w:after="40" w:before="40" w:line="240" w:lineRule="auto"/>
              <w:ind/>
              <w:jc w:val="left"/>
              <w:rPr>
                <w:lang w:val="es-ES"/>
              </w:rPr>
            </w:pPr>
            <w:r>
              <w:rPr>
                <w:rFonts w:ascii="Calibri" w:hAnsi="Calibri" w:eastAsia="Calibri" w:cs="Calibri"/>
                <w:b w:val="0"/>
                <w:bCs w:val="0"/>
                <w:color w:val="000000"/>
                <w:sz w:val="16"/>
                <w:szCs w:val="16"/>
                <w:lang w:val="es-ES"/>
              </w:rPr>
              <w:t xml:space="preserve">Tasa de fallo de entrega superior al 5 % semanal.</w:t>
            </w:r>
            <w:r>
              <w:rPr>
                <w:lang w:val="es-ES"/>
              </w:rPr>
            </w:r>
          </w:p>
        </w:tc>
      </w:tr>
    </w:tbl>
    <w:p>
      <w:pPr>
        <w:pBdr/>
        <w:spacing w:after="160"/>
        <w:ind/>
        <w:rPr>
          <w:lang w:val="es-ES"/>
        </w:rPr>
      </w:pPr>
      <w:r>
        <w:rPr>
          <w:lang w:val="es-ES" w:bidi="es-ES"/>
        </w:rPr>
      </w:r>
      <w:r>
        <w:rPr>
          <w:lang w:val="es-ES"/>
        </w:rPr>
      </w:r>
    </w:p>
    <w:p>
      <w:pPr>
        <w:pStyle w:val="905"/>
        <w:keepNext w:val="true"/>
        <w:pBdr/>
        <w:spacing w:after="120" w:before="220"/>
        <w:ind/>
        <w:rPr>
          <w:color w:val="000000" w:themeColor="text1"/>
        </w:rPr>
      </w:pPr>
      <w:r/>
      <w:bookmarkStart w:id="30" w:name="_Toc30"/>
      <w:r>
        <w:rPr>
          <w:rFonts w:ascii="Calibri" w:hAnsi="Calibri" w:eastAsia="Calibri" w:cs="Calibri"/>
          <w:b/>
          <w:bCs/>
          <w:color w:val="000000" w:themeColor="text1"/>
          <w:sz w:val="22"/>
          <w:szCs w:val="22"/>
          <w:lang w:val="es-ES"/>
        </w:rPr>
        <w:t xml:space="preserve">2.7.4 Principios arquitectónicos fundamentales</w:t>
      </w:r>
      <w:r/>
      <w:bookmarkEnd w:id="30"/>
      <w:r/>
      <w:r>
        <w:rPr>
          <w:color w:val="000000" w:themeColor="text1"/>
        </w:rPr>
      </w:r>
    </w:p>
    <w:p>
      <w:pPr>
        <w:pBdr/>
        <w:spacing w:after="140" w:line="276" w:lineRule="auto"/>
        <w:ind/>
        <w:jc w:val="both"/>
        <w:rPr>
          <w:color w:val="000000" w:themeColor="text1"/>
        </w:rPr>
      </w:pPr>
      <w:r>
        <w:rPr>
          <w:rFonts w:ascii="Calibri" w:hAnsi="Calibri" w:eastAsia="Calibri" w:cs="Calibri"/>
          <w:color w:val="000000" w:themeColor="text1"/>
          <w:sz w:val="21"/>
          <w:szCs w:val="21"/>
          <w:lang w:val="es-ES"/>
        </w:rPr>
        <w:t xml:space="preserve">Los principios siguientes gobiernan la realización y la evolución de la arquitectura. Tienen carácter vinculante: cualquier propuesta de cambio que los contradiga exige una decisión arquitectónica explícita que los revise, no una excepción puntual.</w:t>
      </w:r>
      <w:r>
        <w:rPr>
          <w:color w:val="000000" w:themeColor="text1"/>
        </w:rPr>
      </w:r>
    </w:p>
    <w:tbl>
      <w:tblPr>
        <w:tblW w:w="9360" w:type="dxa"/>
        <w:tblBorders>
          <w:top w:val="single" w:color="8ea9db" w:sz="4" w:space="0"/>
          <w:left w:val="single" w:color="8ea9db" w:sz="4" w:space="0"/>
          <w:bottom w:val="single" w:color="8ea9db" w:sz="4" w:space="0"/>
          <w:right w:val="single" w:color="8ea9db" w:sz="4" w:space="0"/>
          <w:insideH w:val="single" w:color="b4c6e7" w:sz="2" w:space="0"/>
          <w:insideV w:val="single" w:color="b4c6e7" w:sz="2" w:space="0"/>
        </w:tblBorders>
        <w:tblLook w:val="04A0" w:firstRow="1" w:lastRow="0" w:firstColumn="1" w:lastColumn="0" w:noHBand="0" w:noVBand="1"/>
      </w:tblPr>
      <w:tblGrid>
        <w:gridCol w:w="749"/>
        <w:gridCol w:w="2808"/>
        <w:gridCol w:w="5803"/>
      </w:tblGrid>
      <w:tr>
        <w:trPr>
          <w:cantSplit w:val="false"/>
          <w:tblHeader/>
        </w:trPr>
        <w:tc>
          <w:tcPr>
            <w:shd w:val="clear" w:color="auto" w:fill="d9e2f3"/>
            <w:tcBorders/>
            <w:tcMar>
              <w:left w:w="90" w:type="dxa"/>
              <w:top w:w="60" w:type="dxa"/>
              <w:right w:w="90" w:type="dxa"/>
              <w:bottom w:w="60" w:type="dxa"/>
            </w:tcMar>
            <w:tcW w:w="749"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7"/>
                <w:szCs w:val="17"/>
                <w:lang w:val="es-ES"/>
              </w:rPr>
              <w:t xml:space="preserve">#</w:t>
            </w:r>
            <w:r>
              <w:rPr>
                <w:color w:val="000000" w:themeColor="text1"/>
              </w:rPr>
            </w:r>
          </w:p>
        </w:tc>
        <w:tc>
          <w:tcPr>
            <w:shd w:val="clear" w:color="auto" w:fill="d9e2f3"/>
            <w:tcBorders/>
            <w:tcMar>
              <w:left w:w="90" w:type="dxa"/>
              <w:top w:w="60" w:type="dxa"/>
              <w:right w:w="90" w:type="dxa"/>
              <w:bottom w:w="60" w:type="dxa"/>
            </w:tcMar>
            <w:tcW w:w="2808"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7"/>
                <w:szCs w:val="17"/>
                <w:lang w:val="es-ES"/>
              </w:rPr>
              <w:t xml:space="preserve">Principio</w:t>
            </w:r>
            <w:r>
              <w:rPr>
                <w:color w:val="000000" w:themeColor="text1"/>
              </w:rPr>
            </w:r>
          </w:p>
        </w:tc>
        <w:tc>
          <w:tcPr>
            <w:shd w:val="clear" w:color="auto" w:fill="d9e2f3"/>
            <w:tcBorders/>
            <w:tcMar>
              <w:left w:w="90" w:type="dxa"/>
              <w:top w:w="60" w:type="dxa"/>
              <w:right w:w="90" w:type="dxa"/>
              <w:bottom w:w="60" w:type="dxa"/>
            </w:tcMar>
            <w:tcW w:w="5803"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7"/>
                <w:szCs w:val="17"/>
                <w:lang w:val="es-ES"/>
              </w:rPr>
              <w:t xml:space="preserve">Explicación</w:t>
            </w:r>
            <w:r>
              <w:rPr>
                <w:color w:val="000000" w:themeColor="text1"/>
              </w:rPr>
            </w:r>
          </w:p>
        </w:tc>
      </w:tr>
      <w:tr>
        <w:trPr>
          <w:cantSplit w:val="false"/>
        </w:trPr>
        <w:tc>
          <w:tcPr>
            <w:shd w:val="clear" w:color="auto" w:fill="ffffff"/>
            <w:tcBorders/>
            <w:tcMar>
              <w:left w:w="90" w:type="dxa"/>
              <w:top w:w="60" w:type="dxa"/>
              <w:right w:w="90" w:type="dxa"/>
              <w:bottom w:w="60" w:type="dxa"/>
            </w:tcMar>
            <w:tcW w:w="749"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7"/>
                <w:szCs w:val="17"/>
                <w:lang w:val="es-ES"/>
              </w:rPr>
              <w:t xml:space="preserve">PA-01</w:t>
            </w:r>
            <w:r>
              <w:rPr>
                <w:color w:val="000000" w:themeColor="text1"/>
              </w:rPr>
            </w:r>
          </w:p>
        </w:tc>
        <w:tc>
          <w:tcPr>
            <w:shd w:val="clear" w:color="auto" w:fill="ffffff"/>
            <w:tcBorders/>
            <w:tcMar>
              <w:left w:w="90" w:type="dxa"/>
              <w:top w:w="60" w:type="dxa"/>
              <w:right w:w="90" w:type="dxa"/>
              <w:bottom w:w="60" w:type="dxa"/>
            </w:tcMar>
            <w:tcW w:w="2808"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7"/>
                <w:szCs w:val="17"/>
                <w:lang w:val="es-ES"/>
              </w:rPr>
              <w:t xml:space="preserve">Las dependencias apuntan siempre hacia el dominio.</w:t>
            </w:r>
            <w:r>
              <w:rPr>
                <w:color w:val="000000" w:themeColor="text1"/>
              </w:rPr>
            </w:r>
          </w:p>
        </w:tc>
        <w:tc>
          <w:tcPr>
            <w:shd w:val="clear" w:color="auto" w:fill="ffffff"/>
            <w:tcBorders/>
            <w:tcMar>
              <w:left w:w="90" w:type="dxa"/>
              <w:top w:w="60" w:type="dxa"/>
              <w:right w:w="90" w:type="dxa"/>
              <w:bottom w:w="60" w:type="dxa"/>
            </w:tcMar>
            <w:tcW w:w="5803"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7"/>
                <w:szCs w:val="17"/>
                <w:lang w:val="es-ES"/>
              </w:rPr>
              <w:t xml:space="preserve">Ninguna clase del núcleo de dominio puede importar código de infraestructura, del marco web ni del gestor de base de datos. La comunicación hacia el exterior ocurre exclusivamente a través de puertos. Es la condición que hace posible probar las reglas de negocio sin levantar infraestructura.</w:t>
            </w:r>
            <w:r>
              <w:rPr>
                <w:color w:val="000000" w:themeColor="text1"/>
              </w:rPr>
            </w:r>
          </w:p>
        </w:tc>
      </w:tr>
      <w:tr>
        <w:trPr>
          <w:cantSplit w:val="false"/>
        </w:trPr>
        <w:tc>
          <w:tcPr>
            <w:shd w:val="clear" w:color="auto" w:fill="f2f5fa"/>
            <w:tcBorders/>
            <w:tcMar>
              <w:left w:w="90" w:type="dxa"/>
              <w:top w:w="60" w:type="dxa"/>
              <w:right w:w="90" w:type="dxa"/>
              <w:bottom w:w="60" w:type="dxa"/>
            </w:tcMar>
            <w:tcW w:w="749"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7"/>
                <w:szCs w:val="17"/>
                <w:lang w:val="es-ES"/>
              </w:rPr>
              <w:t xml:space="preserve">PA-02</w:t>
            </w:r>
            <w:r>
              <w:rPr>
                <w:color w:val="000000" w:themeColor="text1"/>
              </w:rPr>
            </w:r>
          </w:p>
        </w:tc>
        <w:tc>
          <w:tcPr>
            <w:shd w:val="clear" w:color="auto" w:fill="f2f5fa"/>
            <w:tcBorders/>
            <w:tcMar>
              <w:left w:w="90" w:type="dxa"/>
              <w:top w:w="60" w:type="dxa"/>
              <w:right w:w="90" w:type="dxa"/>
              <w:bottom w:w="60" w:type="dxa"/>
            </w:tcMar>
            <w:tcW w:w="2808"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7"/>
                <w:szCs w:val="17"/>
                <w:lang w:val="es-ES"/>
              </w:rPr>
              <w:t xml:space="preserve">Cada módulo posee sus datos.</w:t>
            </w:r>
            <w:r>
              <w:rPr>
                <w:color w:val="000000" w:themeColor="text1"/>
              </w:rPr>
            </w:r>
          </w:p>
        </w:tc>
        <w:tc>
          <w:tcPr>
            <w:shd w:val="clear" w:color="auto" w:fill="f2f5fa"/>
            <w:tcBorders/>
            <w:tcMar>
              <w:left w:w="90" w:type="dxa"/>
              <w:top w:w="60" w:type="dxa"/>
              <w:right w:w="90" w:type="dxa"/>
              <w:bottom w:w="60" w:type="dxa"/>
            </w:tcMar>
            <w:tcW w:w="5803"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7"/>
                <w:szCs w:val="17"/>
                <w:lang w:val="es-ES"/>
              </w:rPr>
              <w:t xml:space="preserve">Un módulo accede únicamente a su propio esquema. Cuando necesita información de otro, la solicita a través de la interfaz pública de ese módulo o reacciona a sus eventos, nunca consultando sus tablas.</w:t>
            </w:r>
            <w:r>
              <w:rPr>
                <w:color w:val="000000" w:themeColor="text1"/>
              </w:rPr>
            </w:r>
          </w:p>
        </w:tc>
      </w:tr>
      <w:tr>
        <w:trPr>
          <w:cantSplit w:val="false"/>
        </w:trPr>
        <w:tc>
          <w:tcPr>
            <w:shd w:val="clear" w:color="auto" w:fill="ffffff"/>
            <w:tcBorders/>
            <w:tcMar>
              <w:left w:w="90" w:type="dxa"/>
              <w:top w:w="60" w:type="dxa"/>
              <w:right w:w="90" w:type="dxa"/>
              <w:bottom w:w="60" w:type="dxa"/>
            </w:tcMar>
            <w:tcW w:w="749"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7"/>
                <w:szCs w:val="17"/>
                <w:lang w:val="es-ES"/>
              </w:rPr>
              <w:t xml:space="preserve">PA-03</w:t>
            </w:r>
            <w:r>
              <w:rPr>
                <w:color w:val="000000" w:themeColor="text1"/>
              </w:rPr>
            </w:r>
          </w:p>
        </w:tc>
        <w:tc>
          <w:tcPr>
            <w:shd w:val="clear" w:color="auto" w:fill="ffffff"/>
            <w:tcBorders/>
            <w:tcMar>
              <w:left w:w="90" w:type="dxa"/>
              <w:top w:w="60" w:type="dxa"/>
              <w:right w:w="90" w:type="dxa"/>
              <w:bottom w:w="60" w:type="dxa"/>
            </w:tcMar>
            <w:tcW w:w="2808"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7"/>
                <w:szCs w:val="17"/>
                <w:lang w:val="es-ES"/>
              </w:rPr>
              <w:t xml:space="preserve">Lo que el usuario no necesita esperar, no lo espera.</w:t>
            </w:r>
            <w:r>
              <w:rPr>
                <w:color w:val="000000" w:themeColor="text1"/>
              </w:rPr>
            </w:r>
          </w:p>
        </w:tc>
        <w:tc>
          <w:tcPr>
            <w:shd w:val="clear" w:color="auto" w:fill="ffffff"/>
            <w:tcBorders/>
            <w:tcMar>
              <w:left w:w="90" w:type="dxa"/>
              <w:top w:w="60" w:type="dxa"/>
              <w:right w:w="90" w:type="dxa"/>
              <w:bottom w:w="60" w:type="dxa"/>
            </w:tcMar>
            <w:tcW w:w="5803"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7"/>
                <w:szCs w:val="17"/>
                <w:lang w:val="es-ES"/>
              </w:rPr>
              <w:t xml:space="preserve">Todo efecto que no forme parte de la respuesta que el usuario aguarda —notificaciones, cálculo de reputación, escrituras de auditoría secundarias— se publica como evento y se procesa fuera del ciclo de petición y respuesta.</w:t>
            </w:r>
            <w:r>
              <w:rPr>
                <w:color w:val="000000" w:themeColor="text1"/>
              </w:rPr>
            </w:r>
          </w:p>
        </w:tc>
      </w:tr>
      <w:tr>
        <w:trPr>
          <w:cantSplit w:val="false"/>
        </w:trPr>
        <w:tc>
          <w:tcPr>
            <w:shd w:val="clear" w:color="auto" w:fill="f2f5fa"/>
            <w:tcBorders/>
            <w:tcMar>
              <w:left w:w="90" w:type="dxa"/>
              <w:top w:w="60" w:type="dxa"/>
              <w:right w:w="90" w:type="dxa"/>
              <w:bottom w:w="60" w:type="dxa"/>
            </w:tcMar>
            <w:tcW w:w="749"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7"/>
                <w:szCs w:val="17"/>
                <w:lang w:val="es-ES"/>
              </w:rPr>
              <w:t xml:space="preserve">PA-04</w:t>
            </w:r>
            <w:r>
              <w:rPr>
                <w:color w:val="000000" w:themeColor="text1"/>
              </w:rPr>
            </w:r>
          </w:p>
        </w:tc>
        <w:tc>
          <w:tcPr>
            <w:shd w:val="clear" w:color="auto" w:fill="f2f5fa"/>
            <w:tcBorders/>
            <w:tcMar>
              <w:left w:w="90" w:type="dxa"/>
              <w:top w:w="60" w:type="dxa"/>
              <w:right w:w="90" w:type="dxa"/>
              <w:bottom w:w="60" w:type="dxa"/>
            </w:tcMar>
            <w:tcW w:w="2808"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7"/>
                <w:szCs w:val="17"/>
                <w:lang w:val="es-ES"/>
              </w:rPr>
              <w:t xml:space="preserve">La aplicación no guarda estado de sesión en memoria.</w:t>
            </w:r>
            <w:r>
              <w:rPr>
                <w:color w:val="000000" w:themeColor="text1"/>
              </w:rPr>
            </w:r>
          </w:p>
        </w:tc>
        <w:tc>
          <w:tcPr>
            <w:shd w:val="clear" w:color="auto" w:fill="f2f5fa"/>
            <w:tcBorders/>
            <w:tcMar>
              <w:left w:w="90" w:type="dxa"/>
              <w:top w:w="60" w:type="dxa"/>
              <w:right w:w="90" w:type="dxa"/>
              <w:bottom w:w="60" w:type="dxa"/>
            </w:tcMar>
            <w:tcW w:w="5803"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7"/>
                <w:szCs w:val="17"/>
                <w:lang w:val="es-ES"/>
              </w:rPr>
              <w:t xml:space="preserve">Cualquier instancia debe poder atender cualquier petición. El estado compartido reside en la base de datos o en la caché distribuida. Sin este principio, el escalamiento horizontal de RNF-05 no funciona.</w:t>
            </w:r>
            <w:r>
              <w:rPr>
                <w:color w:val="000000" w:themeColor="text1"/>
              </w:rPr>
            </w:r>
          </w:p>
        </w:tc>
      </w:tr>
      <w:tr>
        <w:trPr>
          <w:cantSplit w:val="false"/>
        </w:trPr>
        <w:tc>
          <w:tcPr>
            <w:shd w:val="clear" w:color="auto" w:fill="ffffff"/>
            <w:tcBorders/>
            <w:tcMar>
              <w:left w:w="90" w:type="dxa"/>
              <w:top w:w="60" w:type="dxa"/>
              <w:right w:w="90" w:type="dxa"/>
              <w:bottom w:w="60" w:type="dxa"/>
            </w:tcMar>
            <w:tcW w:w="749"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7"/>
                <w:szCs w:val="17"/>
                <w:lang w:val="es-ES"/>
              </w:rPr>
              <w:t xml:space="preserve">PA-05</w:t>
            </w:r>
            <w:r>
              <w:rPr>
                <w:color w:val="000000" w:themeColor="text1"/>
              </w:rPr>
            </w:r>
          </w:p>
        </w:tc>
        <w:tc>
          <w:tcPr>
            <w:shd w:val="clear" w:color="auto" w:fill="ffffff"/>
            <w:tcBorders/>
            <w:tcMar>
              <w:left w:w="90" w:type="dxa"/>
              <w:top w:w="60" w:type="dxa"/>
              <w:right w:w="90" w:type="dxa"/>
              <w:bottom w:w="60" w:type="dxa"/>
            </w:tcMar>
            <w:tcW w:w="2808"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7"/>
                <w:szCs w:val="17"/>
                <w:lang w:val="es-ES"/>
              </w:rPr>
              <w:t xml:space="preserve">La seguridad se aplica en la frontera y se verifica en el dominio.</w:t>
            </w:r>
            <w:r>
              <w:rPr>
                <w:color w:val="000000" w:themeColor="text1"/>
              </w:rPr>
            </w:r>
          </w:p>
        </w:tc>
        <w:tc>
          <w:tcPr>
            <w:shd w:val="clear" w:color="auto" w:fill="ffffff"/>
            <w:tcBorders/>
            <w:tcMar>
              <w:left w:w="90" w:type="dxa"/>
              <w:top w:w="60" w:type="dxa"/>
              <w:right w:w="90" w:type="dxa"/>
              <w:bottom w:w="60" w:type="dxa"/>
            </w:tcMar>
            <w:tcW w:w="5803"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7"/>
                <w:szCs w:val="17"/>
                <w:lang w:val="es-ES"/>
              </w:rPr>
              <w:t xml:space="preserve">La autenticación y el control de acceso por rol se resuelven en la capa de API; las invariantes de negocio que protegen la integridad comercial se validan además en el dominio, porque una capa de API puede evolucionar y dejar huecos.</w:t>
            </w:r>
            <w:r>
              <w:rPr>
                <w:color w:val="000000" w:themeColor="text1"/>
              </w:rPr>
            </w:r>
          </w:p>
        </w:tc>
      </w:tr>
      <w:tr>
        <w:trPr>
          <w:cantSplit w:val="false"/>
        </w:trPr>
        <w:tc>
          <w:tcPr>
            <w:shd w:val="clear" w:color="auto" w:fill="f2f5fa"/>
            <w:tcBorders/>
            <w:tcMar>
              <w:left w:w="90" w:type="dxa"/>
              <w:top w:w="60" w:type="dxa"/>
              <w:right w:w="90" w:type="dxa"/>
              <w:bottom w:w="60" w:type="dxa"/>
            </w:tcMar>
            <w:tcW w:w="749"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7"/>
                <w:szCs w:val="17"/>
                <w:lang w:val="es-ES"/>
              </w:rPr>
              <w:t xml:space="preserve">PA-06</w:t>
            </w:r>
            <w:r>
              <w:rPr>
                <w:color w:val="000000" w:themeColor="text1"/>
              </w:rPr>
            </w:r>
          </w:p>
        </w:tc>
        <w:tc>
          <w:tcPr>
            <w:shd w:val="clear" w:color="auto" w:fill="f2f5fa"/>
            <w:tcBorders/>
            <w:tcMar>
              <w:left w:w="90" w:type="dxa"/>
              <w:top w:w="60" w:type="dxa"/>
              <w:right w:w="90" w:type="dxa"/>
              <w:bottom w:w="60" w:type="dxa"/>
            </w:tcMar>
            <w:tcW w:w="2808"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7"/>
                <w:szCs w:val="17"/>
                <w:lang w:val="es-ES"/>
              </w:rPr>
              <w:t xml:space="preserve">La auditoría es de solo adición.</w:t>
            </w:r>
            <w:r>
              <w:rPr>
                <w:color w:val="000000" w:themeColor="text1"/>
              </w:rPr>
            </w:r>
          </w:p>
        </w:tc>
        <w:tc>
          <w:tcPr>
            <w:shd w:val="clear" w:color="auto" w:fill="f2f5fa"/>
            <w:tcBorders/>
            <w:tcMar>
              <w:left w:w="90" w:type="dxa"/>
              <w:top w:w="60" w:type="dxa"/>
              <w:right w:w="90" w:type="dxa"/>
              <w:bottom w:w="60" w:type="dxa"/>
            </w:tcMar>
            <w:tcW w:w="5803"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7"/>
                <w:szCs w:val="17"/>
                <w:lang w:val="es-ES"/>
              </w:rPr>
              <w:t xml:space="preserve">Ningún componente de la aplicación posee permiso de actualización o borrado sobre la bitácora. Las correcciones se expresan como nuevos asientos compensatorios.</w:t>
            </w:r>
            <w:r>
              <w:rPr>
                <w:color w:val="000000" w:themeColor="text1"/>
              </w:rPr>
            </w:r>
          </w:p>
        </w:tc>
      </w:tr>
      <w:tr>
        <w:trPr>
          <w:cantSplit w:val="false"/>
        </w:trPr>
        <w:tc>
          <w:tcPr>
            <w:shd w:val="clear" w:color="auto" w:fill="ffffff"/>
            <w:tcBorders/>
            <w:tcMar>
              <w:left w:w="90" w:type="dxa"/>
              <w:top w:w="60" w:type="dxa"/>
              <w:right w:w="90" w:type="dxa"/>
              <w:bottom w:w="60" w:type="dxa"/>
            </w:tcMar>
            <w:tcW w:w="749"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7"/>
                <w:szCs w:val="17"/>
                <w:lang w:val="es-ES"/>
              </w:rPr>
              <w:t xml:space="preserve">PA-07</w:t>
            </w:r>
            <w:r>
              <w:rPr>
                <w:color w:val="000000" w:themeColor="text1"/>
              </w:rPr>
            </w:r>
          </w:p>
        </w:tc>
        <w:tc>
          <w:tcPr>
            <w:shd w:val="clear" w:color="auto" w:fill="ffffff"/>
            <w:tcBorders/>
            <w:tcMar>
              <w:left w:w="90" w:type="dxa"/>
              <w:top w:w="60" w:type="dxa"/>
              <w:right w:w="90" w:type="dxa"/>
              <w:bottom w:w="60" w:type="dxa"/>
            </w:tcMar>
            <w:tcW w:w="2808"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7"/>
                <w:szCs w:val="17"/>
                <w:lang w:val="es-ES"/>
              </w:rPr>
              <w:t xml:space="preserve">Toda interfaz expuesta está documentada antes de estar implementada.</w:t>
            </w:r>
            <w:r>
              <w:rPr>
                <w:color w:val="000000" w:themeColor="text1"/>
              </w:rPr>
            </w:r>
          </w:p>
        </w:tc>
        <w:tc>
          <w:tcPr>
            <w:shd w:val="clear" w:color="auto" w:fill="ffffff"/>
            <w:tcBorders/>
            <w:tcMar>
              <w:left w:w="90" w:type="dxa"/>
              <w:top w:w="60" w:type="dxa"/>
              <w:right w:w="90" w:type="dxa"/>
              <w:bottom w:w="60" w:type="dxa"/>
            </w:tcMar>
            <w:tcW w:w="5803"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7"/>
                <w:szCs w:val="17"/>
                <w:lang w:val="es-ES"/>
              </w:rPr>
              <w:t xml:space="preserve">El contrato OpenAPI 3.0 exigido por RNF-06 se escribe primero y sirve de acuerdo entre la interfaz cliente y el servidor, permitiendo que ambos avancen en paralelo con un equipo de dos personas.</w:t>
            </w:r>
            <w:r>
              <w:rPr>
                <w:color w:val="000000" w:themeColor="text1"/>
              </w:rPr>
            </w:r>
          </w:p>
        </w:tc>
      </w:tr>
    </w:tbl>
    <w:p>
      <w:pPr>
        <w:pBdr/>
        <w:spacing w:after="160"/>
        <w:ind/>
        <w:rPr>
          <w:color w:val="000000" w:themeColor="text1"/>
        </w:rPr>
      </w:pPr>
      <w:r>
        <w:rPr>
          <w:color w:val="000000" w:themeColor="text1"/>
          <w:lang w:val="es-ES" w:bidi="es-ES"/>
        </w:rPr>
      </w:r>
      <w:r>
        <w:rPr>
          <w:color w:val="000000" w:themeColor="text1"/>
        </w:rPr>
      </w:r>
    </w:p>
    <w:p>
      <w:pPr>
        <w:pStyle w:val="904"/>
        <w:keepNext w:val="true"/>
        <w:pageBreakBefore w:val="true"/>
        <w:pBdr/>
        <w:spacing w:after="140" w:before="280"/>
        <w:ind/>
        <w:rPr>
          <w:color w:val="000000" w:themeColor="text1"/>
        </w:rPr>
      </w:pPr>
      <w:r/>
      <w:bookmarkStart w:id="31" w:name="_Toc31"/>
      <w:r>
        <w:rPr>
          <w:rFonts w:ascii="Calibri" w:hAnsi="Calibri" w:eastAsia="Calibri" w:cs="Calibri"/>
          <w:b/>
          <w:bCs/>
          <w:color w:val="000000" w:themeColor="text1"/>
          <w:sz w:val="25"/>
          <w:szCs w:val="25"/>
          <w:lang w:val="es-ES"/>
        </w:rPr>
        <w:t xml:space="preserve">2.8 Puntos de vista seleccionados</w:t>
      </w:r>
      <w:r/>
      <w:bookmarkEnd w:id="31"/>
      <w:r/>
      <w:r>
        <w:rPr>
          <w:color w:val="000000" w:themeColor="text1"/>
        </w:rPr>
      </w:r>
    </w:p>
    <w:p>
      <w:pPr>
        <w:pBdr/>
        <w:spacing w:after="140" w:line="276" w:lineRule="auto"/>
        <w:ind/>
        <w:jc w:val="both"/>
        <w:rPr>
          <w:color w:val="000000" w:themeColor="text1"/>
        </w:rPr>
      </w:pPr>
      <w:r>
        <w:rPr>
          <w:rFonts w:ascii="Calibri" w:hAnsi="Calibri" w:eastAsia="Calibri" w:cs="Calibri"/>
          <w:color w:val="000000" w:themeColor="text1"/>
          <w:sz w:val="21"/>
          <w:szCs w:val="21"/>
          <w:lang w:val="es-ES"/>
        </w:rPr>
        <w:t xml:space="preserve">Las Cláusulas 6.6 y 8 de la norma exigen declarar los puntos de vista empleados, entendidos como el conjunto de convenciones que rigen la creación, interpretación y uso de una vista. El SWEBOK ofrece la analogía precisa: si la vista es el plano de electricidad de un edificio, el punto de vista es la norma que establece qué símbolos se emplean y cómo debe leerse ese plano.</w:t>
      </w:r>
      <w:r>
        <w:rPr>
          <w:color w:val="000000" w:themeColor="text1"/>
        </w:rPr>
      </w:r>
    </w:p>
    <w:p>
      <w:pPr>
        <w:pBdr/>
        <w:spacing w:after="140" w:line="276" w:lineRule="auto"/>
        <w:ind/>
        <w:jc w:val="both"/>
        <w:rPr>
          <w:color w:val="000000" w:themeColor="text1"/>
        </w:rPr>
      </w:pPr>
      <w:r>
        <w:rPr>
          <w:rFonts w:ascii="Calibri" w:hAnsi="Calibri" w:eastAsia="Calibri" w:cs="Calibri"/>
          <w:color w:val="000000" w:themeColor="text1"/>
          <w:sz w:val="21"/>
          <w:szCs w:val="21"/>
          <w:lang w:val="es-ES"/>
        </w:rPr>
        <w:t xml:space="preserve">La selección se apoya en el modelo 4+1 de Kruchten, que el SWEBOK reconoce como organización clásica de las descripciones arquitectónicas, adaptado a las cuatro perspectivas y los cuatro aspectos ya identificados. El criterio rector fue el que la propia guía formula: no documentar por documentar, sino elegir cada vista en función de una audiencia y de unas preocupaciones concretas.</w:t>
      </w:r>
      <w:r>
        <w:rPr>
          <w:color w:val="000000" w:themeColor="text1"/>
        </w:rPr>
      </w:r>
    </w:p>
    <w:tbl>
      <w:tblPr>
        <w:tblW w:w="9360" w:type="dxa"/>
        <w:tblBorders>
          <w:top w:val="single" w:color="8ea9db" w:sz="4" w:space="0"/>
          <w:left w:val="single" w:color="8ea9db" w:sz="4" w:space="0"/>
          <w:bottom w:val="single" w:color="8ea9db" w:sz="4" w:space="0"/>
          <w:right w:val="single" w:color="8ea9db" w:sz="4" w:space="0"/>
          <w:insideH w:val="single" w:color="b4c6e7" w:sz="2" w:space="0"/>
          <w:insideV w:val="single" w:color="b4c6e7" w:sz="2" w:space="0"/>
        </w:tblBorders>
        <w:tblLook w:val="04A0" w:firstRow="1" w:lastRow="0" w:firstColumn="1" w:lastColumn="0" w:noHBand="0" w:noVBand="1"/>
      </w:tblPr>
      <w:tblGrid>
        <w:gridCol w:w="655"/>
        <w:gridCol w:w="1872"/>
        <w:gridCol w:w="1404"/>
        <w:gridCol w:w="1217"/>
        <w:gridCol w:w="1498"/>
        <w:gridCol w:w="2714"/>
      </w:tblGrid>
      <w:tr>
        <w:trPr>
          <w:cantSplit w:val="false"/>
          <w:tblHeader/>
        </w:trPr>
        <w:tc>
          <w:tcPr>
            <w:shd w:val="clear" w:color="auto" w:fill="d9e2f3"/>
            <w:tcBorders/>
            <w:tcMar>
              <w:left w:w="90" w:type="dxa"/>
              <w:top w:w="60" w:type="dxa"/>
              <w:right w:w="90" w:type="dxa"/>
              <w:bottom w:w="60" w:type="dxa"/>
            </w:tcMar>
            <w:tcW w:w="655"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w:t>
            </w:r>
            <w:r>
              <w:rPr>
                <w:color w:val="000000" w:themeColor="text1"/>
              </w:rPr>
            </w:r>
          </w:p>
        </w:tc>
        <w:tc>
          <w:tcPr>
            <w:shd w:val="clear" w:color="auto" w:fill="d9e2f3"/>
            <w:tcBorders/>
            <w:tcMar>
              <w:left w:w="90" w:type="dxa"/>
              <w:top w:w="60" w:type="dxa"/>
              <w:right w:w="90" w:type="dxa"/>
              <w:bottom w:w="60" w:type="dxa"/>
            </w:tcMar>
            <w:tcW w:w="1872"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Nombre del punto de vista</w:t>
            </w:r>
            <w:r>
              <w:rPr>
                <w:color w:val="000000" w:themeColor="text1"/>
              </w:rPr>
            </w:r>
          </w:p>
        </w:tc>
        <w:tc>
          <w:tcPr>
            <w:shd w:val="clear" w:color="auto" w:fill="d9e2f3"/>
            <w:tcBorders/>
            <w:tcMar>
              <w:left w:w="90" w:type="dxa"/>
              <w:top w:w="60" w:type="dxa"/>
              <w:right w:w="90" w:type="dxa"/>
              <w:bottom w:w="60" w:type="dxa"/>
            </w:tcMar>
            <w:tcW w:w="1404"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Perspectiva que cubre</w:t>
            </w:r>
            <w:r>
              <w:rPr>
                <w:color w:val="000000" w:themeColor="text1"/>
              </w:rPr>
            </w:r>
          </w:p>
        </w:tc>
        <w:tc>
          <w:tcPr>
            <w:shd w:val="clear" w:color="auto" w:fill="d9e2f3"/>
            <w:tcBorders/>
            <w:tcMar>
              <w:left w:w="90" w:type="dxa"/>
              <w:top w:w="60" w:type="dxa"/>
              <w:right w:w="90" w:type="dxa"/>
              <w:bottom w:w="60" w:type="dxa"/>
            </w:tcMar>
            <w:tcW w:w="1217"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Aspecto principal</w:t>
            </w:r>
            <w:r>
              <w:rPr>
                <w:color w:val="000000" w:themeColor="text1"/>
              </w:rPr>
            </w:r>
          </w:p>
        </w:tc>
        <w:tc>
          <w:tcPr>
            <w:shd w:val="clear" w:color="auto" w:fill="d9e2f3"/>
            <w:tcBorders/>
            <w:tcMar>
              <w:left w:w="90" w:type="dxa"/>
              <w:top w:w="60" w:type="dxa"/>
              <w:right w:w="90" w:type="dxa"/>
              <w:bottom w:w="60" w:type="dxa"/>
            </w:tcMar>
            <w:tcW w:w="1498"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Preocupaciones que aborda</w:t>
            </w:r>
            <w:r>
              <w:rPr>
                <w:color w:val="000000" w:themeColor="text1"/>
              </w:rPr>
            </w:r>
          </w:p>
        </w:tc>
        <w:tc>
          <w:tcPr>
            <w:shd w:val="clear" w:color="auto" w:fill="d9e2f3"/>
            <w:tcBorders/>
            <w:tcMar>
              <w:left w:w="90" w:type="dxa"/>
              <w:top w:w="60" w:type="dxa"/>
              <w:right w:w="90" w:type="dxa"/>
              <w:bottom w:w="60" w:type="dxa"/>
            </w:tcMar>
            <w:tcW w:w="2714"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Tipos de modelo y leyendas</w:t>
            </w:r>
            <w:r>
              <w:rPr>
                <w:color w:val="000000" w:themeColor="text1"/>
              </w:rPr>
            </w:r>
          </w:p>
        </w:tc>
      </w:tr>
      <w:tr>
        <w:trPr>
          <w:cantSplit w:val="false"/>
        </w:trPr>
        <w:tc>
          <w:tcPr>
            <w:shd w:val="clear" w:color="auto" w:fill="ffffff"/>
            <w:tcBorders/>
            <w:tcMar>
              <w:left w:w="90" w:type="dxa"/>
              <w:top w:w="60" w:type="dxa"/>
              <w:right w:w="90" w:type="dxa"/>
              <w:bottom w:w="60" w:type="dxa"/>
            </w:tcMar>
            <w:tcW w:w="655"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PV-01</w:t>
            </w:r>
            <w:r>
              <w:rPr>
                <w:color w:val="000000" w:themeColor="text1"/>
              </w:rPr>
            </w:r>
          </w:p>
        </w:tc>
        <w:tc>
          <w:tcPr>
            <w:shd w:val="clear" w:color="auto" w:fill="ffffff"/>
            <w:tcBorders/>
            <w:tcMar>
              <w:left w:w="90" w:type="dxa"/>
              <w:top w:w="60" w:type="dxa"/>
              <w:right w:w="90" w:type="dxa"/>
              <w:bottom w:w="60" w:type="dxa"/>
            </w:tcMar>
            <w:tcW w:w="1872"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Estructura y componentes</w:t>
            </w:r>
            <w:r>
              <w:rPr>
                <w:color w:val="000000" w:themeColor="text1"/>
              </w:rPr>
            </w:r>
          </w:p>
        </w:tc>
        <w:tc>
          <w:tcPr>
            <w:shd w:val="clear" w:color="auto" w:fill="ffffff"/>
            <w:tcBorders/>
            <w:tcMar>
              <w:left w:w="90" w:type="dxa"/>
              <w:top w:w="60" w:type="dxa"/>
              <w:right w:w="90" w:type="dxa"/>
              <w:bottom w:w="60" w:type="dxa"/>
            </w:tcMar>
            <w:tcW w:w="1404"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S-03 Técnica</w:t>
            </w:r>
            <w:r>
              <w:rPr>
                <w:color w:val="000000" w:themeColor="text1"/>
              </w:rPr>
            </w:r>
          </w:p>
        </w:tc>
        <w:tc>
          <w:tcPr>
            <w:shd w:val="clear" w:color="auto" w:fill="ffffff"/>
            <w:tcBorders/>
            <w:tcMar>
              <w:left w:w="90" w:type="dxa"/>
              <w:top w:w="60" w:type="dxa"/>
              <w:right w:w="90" w:type="dxa"/>
              <w:bottom w:w="60" w:type="dxa"/>
            </w:tcMar>
            <w:tcW w:w="1217"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A-01 Estructural</w:t>
            </w:r>
            <w:r>
              <w:rPr>
                <w:color w:val="000000" w:themeColor="text1"/>
              </w:rPr>
            </w:r>
          </w:p>
        </w:tc>
        <w:tc>
          <w:tcPr>
            <w:shd w:val="clear" w:color="auto" w:fill="ffffff"/>
            <w:tcBorders/>
            <w:tcMar>
              <w:left w:w="90" w:type="dxa"/>
              <w:top w:w="60" w:type="dxa"/>
              <w:right w:w="90" w:type="dxa"/>
              <w:bottom w:w="60" w:type="dxa"/>
            </w:tcMar>
            <w:tcW w:w="1498"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P-03, P-04, P-07</w:t>
            </w:r>
            <w:r>
              <w:rPr>
                <w:color w:val="000000" w:themeColor="text1"/>
              </w:rPr>
            </w:r>
          </w:p>
        </w:tc>
        <w:tc>
          <w:tcPr>
            <w:shd w:val="clear" w:color="auto" w:fill="ffffff"/>
            <w:tcBorders/>
            <w:tcMar>
              <w:left w:w="90" w:type="dxa"/>
              <w:top w:w="60" w:type="dxa"/>
              <w:right w:w="90" w:type="dxa"/>
              <w:bottom w:w="60" w:type="dxa"/>
            </w:tcMar>
            <w:tcW w:w="2714"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Diagrama de capas y diagrama de módulos. Leyenda: rectángulo = capa o módulo; flecha continua = dependencia permitida; flecha discontinua = dependencia por puerto abstracto.</w:t>
            </w:r>
            <w:r>
              <w:rPr>
                <w:color w:val="000000" w:themeColor="text1"/>
              </w:rPr>
            </w:r>
          </w:p>
        </w:tc>
      </w:tr>
      <w:tr>
        <w:trPr>
          <w:cantSplit w:val="false"/>
        </w:trPr>
        <w:tc>
          <w:tcPr>
            <w:shd w:val="clear" w:color="auto" w:fill="f2f5fa"/>
            <w:tcBorders/>
            <w:tcMar>
              <w:left w:w="90" w:type="dxa"/>
              <w:top w:w="60" w:type="dxa"/>
              <w:right w:w="90" w:type="dxa"/>
              <w:bottom w:w="60" w:type="dxa"/>
            </w:tcMar>
            <w:tcW w:w="655"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PV-02</w:t>
            </w:r>
            <w:r>
              <w:rPr>
                <w:color w:val="000000" w:themeColor="text1"/>
              </w:rPr>
            </w:r>
          </w:p>
        </w:tc>
        <w:tc>
          <w:tcPr>
            <w:shd w:val="clear" w:color="auto" w:fill="f2f5fa"/>
            <w:tcBorders/>
            <w:tcMar>
              <w:left w:w="90" w:type="dxa"/>
              <w:top w:w="60" w:type="dxa"/>
              <w:right w:w="90" w:type="dxa"/>
              <w:bottom w:w="60" w:type="dxa"/>
            </w:tcMar>
            <w:tcW w:w="1872"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Funcional y de servicios</w:t>
            </w:r>
            <w:r>
              <w:rPr>
                <w:color w:val="000000" w:themeColor="text1"/>
              </w:rPr>
            </w:r>
          </w:p>
        </w:tc>
        <w:tc>
          <w:tcPr>
            <w:shd w:val="clear" w:color="auto" w:fill="f2f5fa"/>
            <w:tcBorders/>
            <w:tcMar>
              <w:left w:w="90" w:type="dxa"/>
              <w:top w:w="60" w:type="dxa"/>
              <w:right w:w="90" w:type="dxa"/>
              <w:bottom w:w="60" w:type="dxa"/>
            </w:tcMar>
            <w:tcW w:w="1404"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S-02 Operativa y S-03 Técnica</w:t>
            </w:r>
            <w:r>
              <w:rPr>
                <w:color w:val="000000" w:themeColor="text1"/>
              </w:rPr>
            </w:r>
          </w:p>
        </w:tc>
        <w:tc>
          <w:tcPr>
            <w:shd w:val="clear" w:color="auto" w:fill="f2f5fa"/>
            <w:tcBorders/>
            <w:tcMar>
              <w:left w:w="90" w:type="dxa"/>
              <w:top w:w="60" w:type="dxa"/>
              <w:right w:w="90" w:type="dxa"/>
              <w:bottom w:w="60" w:type="dxa"/>
            </w:tcMar>
            <w:tcW w:w="1217"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A-02 Funcional</w:t>
            </w:r>
            <w:r>
              <w:rPr>
                <w:color w:val="000000" w:themeColor="text1"/>
              </w:rPr>
            </w:r>
          </w:p>
        </w:tc>
        <w:tc>
          <w:tcPr>
            <w:shd w:val="clear" w:color="auto" w:fill="f2f5fa"/>
            <w:tcBorders/>
            <w:tcMar>
              <w:left w:w="90" w:type="dxa"/>
              <w:top w:w="60" w:type="dxa"/>
              <w:right w:w="90" w:type="dxa"/>
              <w:bottom w:w="60" w:type="dxa"/>
            </w:tcMar>
            <w:tcW w:w="1498"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P-05, P-08</w:t>
            </w:r>
            <w:r>
              <w:rPr>
                <w:color w:val="000000" w:themeColor="text1"/>
              </w:rPr>
            </w:r>
          </w:p>
        </w:tc>
        <w:tc>
          <w:tcPr>
            <w:shd w:val="clear" w:color="auto" w:fill="f2f5fa"/>
            <w:tcBorders/>
            <w:tcMar>
              <w:left w:w="90" w:type="dxa"/>
              <w:top w:w="60" w:type="dxa"/>
              <w:right w:w="90" w:type="dxa"/>
              <w:bottom w:w="60" w:type="dxa"/>
            </w:tcMar>
            <w:tcW w:w="2714"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Catálogo de recursos REST y tabla de responsabilidades por módulo. Leyenda: verbo HTTP + ruta = operación expuesta.</w:t>
            </w:r>
            <w:r>
              <w:rPr>
                <w:color w:val="000000" w:themeColor="text1"/>
              </w:rPr>
            </w:r>
          </w:p>
        </w:tc>
      </w:tr>
      <w:tr>
        <w:trPr>
          <w:cantSplit w:val="false"/>
        </w:trPr>
        <w:tc>
          <w:tcPr>
            <w:shd w:val="clear" w:color="auto" w:fill="ffffff"/>
            <w:tcBorders/>
            <w:tcMar>
              <w:left w:w="90" w:type="dxa"/>
              <w:top w:w="60" w:type="dxa"/>
              <w:right w:w="90" w:type="dxa"/>
              <w:bottom w:w="60" w:type="dxa"/>
            </w:tcMar>
            <w:tcW w:w="655"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PV-03</w:t>
            </w:r>
            <w:r>
              <w:rPr>
                <w:color w:val="000000" w:themeColor="text1"/>
              </w:rPr>
            </w:r>
          </w:p>
        </w:tc>
        <w:tc>
          <w:tcPr>
            <w:shd w:val="clear" w:color="auto" w:fill="ffffff"/>
            <w:tcBorders/>
            <w:tcMar>
              <w:left w:w="90" w:type="dxa"/>
              <w:top w:w="60" w:type="dxa"/>
              <w:right w:w="90" w:type="dxa"/>
              <w:bottom w:w="60" w:type="dxa"/>
            </w:tcMar>
            <w:tcW w:w="1872"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Seguridad, información y cumplimiento</w:t>
            </w:r>
            <w:r>
              <w:rPr>
                <w:color w:val="000000" w:themeColor="text1"/>
              </w:rPr>
            </w:r>
          </w:p>
        </w:tc>
        <w:tc>
          <w:tcPr>
            <w:shd w:val="clear" w:color="auto" w:fill="ffffff"/>
            <w:tcBorders/>
            <w:tcMar>
              <w:left w:w="90" w:type="dxa"/>
              <w:top w:w="60" w:type="dxa"/>
              <w:right w:w="90" w:type="dxa"/>
              <w:bottom w:w="60" w:type="dxa"/>
            </w:tcMar>
            <w:tcW w:w="1404"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S-04 Legal y S-03 Técnica</w:t>
            </w:r>
            <w:r>
              <w:rPr>
                <w:color w:val="000000" w:themeColor="text1"/>
              </w:rPr>
            </w:r>
          </w:p>
        </w:tc>
        <w:tc>
          <w:tcPr>
            <w:shd w:val="clear" w:color="auto" w:fill="ffffff"/>
            <w:tcBorders/>
            <w:tcMar>
              <w:left w:w="90" w:type="dxa"/>
              <w:top w:w="60" w:type="dxa"/>
              <w:right w:w="90" w:type="dxa"/>
              <w:bottom w:w="60" w:type="dxa"/>
            </w:tcMar>
            <w:tcW w:w="1217"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A-03 Informacional</w:t>
            </w:r>
            <w:r>
              <w:rPr>
                <w:color w:val="000000" w:themeColor="text1"/>
              </w:rPr>
            </w:r>
          </w:p>
        </w:tc>
        <w:tc>
          <w:tcPr>
            <w:shd w:val="clear" w:color="auto" w:fill="ffffff"/>
            <w:tcBorders/>
            <w:tcMar>
              <w:left w:w="90" w:type="dxa"/>
              <w:top w:w="60" w:type="dxa"/>
              <w:right w:w="90" w:type="dxa"/>
              <w:bottom w:w="60" w:type="dxa"/>
            </w:tcMar>
            <w:tcW w:w="1498"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P-02</w:t>
            </w:r>
            <w:r>
              <w:rPr>
                <w:color w:val="000000" w:themeColor="text1"/>
              </w:rPr>
            </w:r>
          </w:p>
        </w:tc>
        <w:tc>
          <w:tcPr>
            <w:shd w:val="clear" w:color="auto" w:fill="ffffff"/>
            <w:tcBorders/>
            <w:tcMar>
              <w:left w:w="90" w:type="dxa"/>
              <w:top w:w="60" w:type="dxa"/>
              <w:right w:w="90" w:type="dxa"/>
              <w:bottom w:w="60" w:type="dxa"/>
            </w:tcMar>
            <w:tcW w:w="2714"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Matriz de clasificación de datos y matriz de control de accesos por rol. Leyenda: C = crear, L = leer, A = actualizar, B = borrar, — = sin acceso.</w:t>
            </w:r>
            <w:r>
              <w:rPr>
                <w:color w:val="000000" w:themeColor="text1"/>
              </w:rPr>
            </w:r>
          </w:p>
        </w:tc>
      </w:tr>
      <w:tr>
        <w:trPr>
          <w:cantSplit w:val="false"/>
        </w:trPr>
        <w:tc>
          <w:tcPr>
            <w:shd w:val="clear" w:color="auto" w:fill="f2f5fa"/>
            <w:tcBorders/>
            <w:tcMar>
              <w:left w:w="90" w:type="dxa"/>
              <w:top w:w="60" w:type="dxa"/>
              <w:right w:w="90" w:type="dxa"/>
              <w:bottom w:w="60" w:type="dxa"/>
            </w:tcMar>
            <w:tcW w:w="655"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PV-04</w:t>
            </w:r>
            <w:r>
              <w:rPr>
                <w:color w:val="000000" w:themeColor="text1"/>
              </w:rPr>
            </w:r>
          </w:p>
        </w:tc>
        <w:tc>
          <w:tcPr>
            <w:shd w:val="clear" w:color="auto" w:fill="f2f5fa"/>
            <w:tcBorders/>
            <w:tcMar>
              <w:left w:w="90" w:type="dxa"/>
              <w:top w:w="60" w:type="dxa"/>
              <w:right w:w="90" w:type="dxa"/>
              <w:bottom w:w="60" w:type="dxa"/>
            </w:tcMar>
            <w:tcW w:w="1872"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Despliegue e infraestructura</w:t>
            </w:r>
            <w:r>
              <w:rPr>
                <w:color w:val="000000" w:themeColor="text1"/>
              </w:rPr>
            </w:r>
          </w:p>
        </w:tc>
        <w:tc>
          <w:tcPr>
            <w:shd w:val="clear" w:color="auto" w:fill="f2f5fa"/>
            <w:tcBorders/>
            <w:tcMar>
              <w:left w:w="90" w:type="dxa"/>
              <w:top w:w="60" w:type="dxa"/>
              <w:right w:w="90" w:type="dxa"/>
              <w:bottom w:w="60" w:type="dxa"/>
            </w:tcMar>
            <w:tcW w:w="1404"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S-02 Operativa y S-01 Económica</w:t>
            </w:r>
            <w:r>
              <w:rPr>
                <w:color w:val="000000" w:themeColor="text1"/>
              </w:rPr>
            </w:r>
          </w:p>
        </w:tc>
        <w:tc>
          <w:tcPr>
            <w:shd w:val="clear" w:color="auto" w:fill="f2f5fa"/>
            <w:tcBorders/>
            <w:tcMar>
              <w:left w:w="90" w:type="dxa"/>
              <w:top w:w="60" w:type="dxa"/>
              <w:right w:w="90" w:type="dxa"/>
              <w:bottom w:w="60" w:type="dxa"/>
            </w:tcMar>
            <w:tcW w:w="1217"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A-04 Comportamental</w:t>
            </w:r>
            <w:r>
              <w:rPr>
                <w:color w:val="000000" w:themeColor="text1"/>
              </w:rPr>
            </w:r>
          </w:p>
        </w:tc>
        <w:tc>
          <w:tcPr>
            <w:shd w:val="clear" w:color="auto" w:fill="f2f5fa"/>
            <w:tcBorders/>
            <w:tcMar>
              <w:left w:w="90" w:type="dxa"/>
              <w:top w:w="60" w:type="dxa"/>
              <w:right w:w="90" w:type="dxa"/>
              <w:bottom w:w="60" w:type="dxa"/>
            </w:tcMar>
            <w:tcW w:w="1498"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P-01, P-04, P-06, P-08</w:t>
            </w:r>
            <w:r>
              <w:rPr>
                <w:color w:val="000000" w:themeColor="text1"/>
              </w:rPr>
            </w:r>
          </w:p>
        </w:tc>
        <w:tc>
          <w:tcPr>
            <w:shd w:val="clear" w:color="auto" w:fill="f2f5fa"/>
            <w:tcBorders/>
            <w:tcMar>
              <w:left w:w="90" w:type="dxa"/>
              <w:top w:w="60" w:type="dxa"/>
              <w:right w:w="90" w:type="dxa"/>
              <w:bottom w:w="60" w:type="dxa"/>
            </w:tcMar>
            <w:tcW w:w="2714"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Diagrama de despliegue con nodos y canales. Leyenda: rectángulo = nodo de ejecución; cilindro = almacenamiento persistente; línea discontinua = canal de solo lectura.</w:t>
            </w:r>
            <w:r>
              <w:rPr>
                <w:color w:val="000000" w:themeColor="text1"/>
              </w:rPr>
            </w:r>
          </w:p>
        </w:tc>
      </w:tr>
      <w:tr>
        <w:trPr>
          <w:cantSplit w:val="false"/>
        </w:trPr>
        <w:tc>
          <w:tcPr>
            <w:shd w:val="clear" w:color="auto" w:fill="ffffff"/>
            <w:tcBorders/>
            <w:tcMar>
              <w:left w:w="90" w:type="dxa"/>
              <w:top w:w="60" w:type="dxa"/>
              <w:right w:w="90" w:type="dxa"/>
              <w:bottom w:w="60" w:type="dxa"/>
            </w:tcMar>
            <w:tcW w:w="655"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PV-05</w:t>
            </w:r>
            <w:r>
              <w:rPr>
                <w:color w:val="000000" w:themeColor="text1"/>
              </w:rPr>
            </w:r>
          </w:p>
        </w:tc>
        <w:tc>
          <w:tcPr>
            <w:shd w:val="clear" w:color="auto" w:fill="ffffff"/>
            <w:tcBorders/>
            <w:tcMar>
              <w:left w:w="90" w:type="dxa"/>
              <w:top w:w="60" w:type="dxa"/>
              <w:right w:w="90" w:type="dxa"/>
              <w:bottom w:w="60" w:type="dxa"/>
            </w:tcMar>
            <w:tcW w:w="1872"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Escenarios de operación</w:t>
            </w:r>
            <w:r>
              <w:rPr>
                <w:color w:val="000000" w:themeColor="text1"/>
              </w:rPr>
            </w:r>
          </w:p>
        </w:tc>
        <w:tc>
          <w:tcPr>
            <w:shd w:val="clear" w:color="auto" w:fill="ffffff"/>
            <w:tcBorders/>
            <w:tcMar>
              <w:left w:w="90" w:type="dxa"/>
              <w:top w:w="60" w:type="dxa"/>
              <w:right w:w="90" w:type="dxa"/>
              <w:bottom w:w="60" w:type="dxa"/>
            </w:tcMar>
            <w:tcW w:w="1404"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S-02 Operativa y S-03 Técnica</w:t>
            </w:r>
            <w:r>
              <w:rPr>
                <w:color w:val="000000" w:themeColor="text1"/>
              </w:rPr>
            </w:r>
          </w:p>
        </w:tc>
        <w:tc>
          <w:tcPr>
            <w:shd w:val="clear" w:color="auto" w:fill="ffffff"/>
            <w:tcBorders/>
            <w:tcMar>
              <w:left w:w="90" w:type="dxa"/>
              <w:top w:w="60" w:type="dxa"/>
              <w:right w:w="90" w:type="dxa"/>
              <w:bottom w:w="60" w:type="dxa"/>
            </w:tcMar>
            <w:tcW w:w="1217"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A-02 y A-04</w:t>
            </w:r>
            <w:r>
              <w:rPr>
                <w:color w:val="000000" w:themeColor="text1"/>
              </w:rPr>
            </w:r>
          </w:p>
        </w:tc>
        <w:tc>
          <w:tcPr>
            <w:shd w:val="clear" w:color="auto" w:fill="ffffff"/>
            <w:tcBorders/>
            <w:tcMar>
              <w:left w:w="90" w:type="dxa"/>
              <w:top w:w="60" w:type="dxa"/>
              <w:right w:w="90" w:type="dxa"/>
              <w:bottom w:w="60" w:type="dxa"/>
            </w:tcMar>
            <w:tcW w:w="1498"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P-01, P-05</w:t>
            </w:r>
            <w:r>
              <w:rPr>
                <w:color w:val="000000" w:themeColor="text1"/>
              </w:rPr>
            </w:r>
          </w:p>
        </w:tc>
        <w:tc>
          <w:tcPr>
            <w:shd w:val="clear" w:color="auto" w:fill="ffffff"/>
            <w:tcBorders/>
            <w:tcMar>
              <w:left w:w="90" w:type="dxa"/>
              <w:top w:w="60" w:type="dxa"/>
              <w:right w:w="90" w:type="dxa"/>
              <w:bottom w:w="60" w:type="dxa"/>
            </w:tcMar>
            <w:tcW w:w="2714"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Diagrama de secuencia. Leyenda: línea vertical = línea de vida; rectángulo estrecho = activación; flecha discontinua = respuesta o retorno.</w:t>
            </w:r>
            <w:r>
              <w:rPr>
                <w:color w:val="000000" w:themeColor="text1"/>
              </w:rPr>
            </w:r>
          </w:p>
        </w:tc>
      </w:tr>
    </w:tbl>
    <w:p>
      <w:pPr>
        <w:pBdr/>
        <w:spacing w:after="160"/>
        <w:ind/>
        <w:rPr>
          <w:color w:val="000000" w:themeColor="text1"/>
        </w:rPr>
      </w:pPr>
      <w:r>
        <w:rPr>
          <w:color w:val="000000" w:themeColor="text1"/>
          <w:lang w:val="es-ES" w:bidi="es-ES"/>
        </w:rPr>
      </w:r>
      <w:r>
        <w:rPr>
          <w:color w:val="000000" w:themeColor="text1"/>
        </w:rPr>
      </w:r>
    </w:p>
    <w:p>
      <w:pPr>
        <w:pBdr/>
        <w:spacing w:after="140" w:line="276" w:lineRule="auto"/>
        <w:ind/>
        <w:jc w:val="both"/>
        <w:rPr>
          <w:color w:val="000000" w:themeColor="text1"/>
        </w:rPr>
      </w:pPr>
      <w:r>
        <w:rPr>
          <w:rFonts w:ascii="Calibri" w:hAnsi="Calibri" w:eastAsia="Calibri" w:cs="Calibri"/>
          <w:color w:val="000000" w:themeColor="text1"/>
          <w:sz w:val="21"/>
          <w:szCs w:val="21"/>
          <w:lang w:val="es-ES"/>
        </w:rPr>
        <w:t xml:space="preserve">PV-05 corresponde al «+1» del modelo de Kruchten y cumple la función de eje integrador: al recorrer un escenario completo se atraviesan de forma simultánea la estructura, los servicios, los datos y el despliegue, lo que permite detectar inconsistencias entre las cuatro vistas anteriores.</w:t>
      </w:r>
      <w:r>
        <w:rPr>
          <w:color w:val="000000" w:themeColor="text1"/>
        </w:rPr>
      </w:r>
    </w:p>
    <w:tbl>
      <w:tblPr>
        <w:tblW w:w="9360" w:type="dxa"/>
        <w:tblBorders>
          <w:top w:val="single" w:color="8ea9db" w:sz="4" w:space="0"/>
          <w:left w:val="single" w:color="8ea9db" w:sz="4" w:space="0"/>
          <w:bottom w:val="single" w:color="8ea9db" w:sz="4" w:space="0"/>
          <w:right w:val="single" w:color="8ea9db" w:sz="4" w:space="0"/>
          <w:insideH w:val="single" w:color="b4c6e7" w:sz="2" w:space="0"/>
          <w:insideV w:val="single" w:color="b4c6e7" w:sz="2" w:space="0"/>
        </w:tblBorders>
        <w:tblLook w:val="04A0" w:firstRow="1" w:lastRow="0" w:firstColumn="1" w:lastColumn="0" w:noHBand="0" w:noVBand="1"/>
      </w:tblPr>
      <w:tblGrid>
        <w:gridCol w:w="4306"/>
        <w:gridCol w:w="5054"/>
      </w:tblGrid>
      <w:tr>
        <w:trPr>
          <w:cantSplit w:val="false"/>
          <w:tblHeader/>
        </w:trPr>
        <w:tc>
          <w:tcPr>
            <w:shd w:val="clear" w:color="auto" w:fill="d9e2f3"/>
            <w:tcBorders/>
            <w:tcMar>
              <w:left w:w="90" w:type="dxa"/>
              <w:top w:w="60" w:type="dxa"/>
              <w:right w:w="90" w:type="dxa"/>
              <w:bottom w:w="60" w:type="dxa"/>
            </w:tcMar>
            <w:tcW w:w="4306"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7"/>
                <w:szCs w:val="17"/>
                <w:lang w:val="es-ES"/>
              </w:rPr>
              <w:t xml:space="preserve">Verificación de la Cláusula 6.6</w:t>
            </w:r>
            <w:r>
              <w:rPr>
                <w:color w:val="000000" w:themeColor="text1"/>
              </w:rPr>
            </w:r>
          </w:p>
        </w:tc>
        <w:tc>
          <w:tcPr>
            <w:shd w:val="clear" w:color="auto" w:fill="d9e2f3"/>
            <w:tcBorders/>
            <w:tcMar>
              <w:left w:w="90" w:type="dxa"/>
              <w:top w:w="60" w:type="dxa"/>
              <w:right w:w="90" w:type="dxa"/>
              <w:bottom w:w="60" w:type="dxa"/>
            </w:tcMar>
            <w:tcW w:w="5054"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7"/>
                <w:szCs w:val="17"/>
                <w:lang w:val="es-ES"/>
              </w:rPr>
              <w:t xml:space="preserve">Resultado</w:t>
            </w:r>
            <w:r>
              <w:rPr>
                <w:color w:val="000000" w:themeColor="text1"/>
              </w:rPr>
            </w:r>
          </w:p>
        </w:tc>
      </w:tr>
      <w:tr>
        <w:trPr>
          <w:cantSplit w:val="false"/>
        </w:trPr>
        <w:tc>
          <w:tcPr>
            <w:shd w:val="clear" w:color="auto" w:fill="ffffff"/>
            <w:tcBorders/>
            <w:tcMar>
              <w:left w:w="90" w:type="dxa"/>
              <w:top w:w="60" w:type="dxa"/>
              <w:right w:w="90" w:type="dxa"/>
              <w:bottom w:w="60" w:type="dxa"/>
            </w:tcMar>
            <w:tcW w:w="4306" w:type="dxa"/>
            <w:vAlign w:val="center"/>
          </w:tcPr>
          <w:p>
            <w:pPr>
              <w:pBdr/>
              <w:spacing w:after="40" w:before="40" w:line="240" w:lineRule="auto"/>
              <w:ind/>
              <w:jc w:val="left"/>
              <w:rPr>
                <w:color w:val="000000" w:themeColor="text1"/>
              </w:rPr>
            </w:pPr>
            <w:r>
              <w:rPr>
                <w:rFonts w:ascii="Calibri" w:hAnsi="Calibri" w:eastAsia="Calibri" w:cs="Calibri"/>
                <w:color w:val="000000" w:themeColor="text1"/>
                <w:sz w:val="17"/>
                <w:szCs w:val="17"/>
                <w:lang w:val="es-ES"/>
              </w:rPr>
              <w:t xml:space="preserve">Cada perspectiva (S-01 a S-04) está representada por al menos un punto de vista.</w:t>
            </w:r>
            <w:r>
              <w:rPr>
                <w:color w:val="000000" w:themeColor="text1"/>
              </w:rPr>
            </w:r>
          </w:p>
        </w:tc>
        <w:tc>
          <w:tcPr>
            <w:shd w:val="clear" w:color="auto" w:fill="ffffff"/>
            <w:tcBorders/>
            <w:tcMar>
              <w:left w:w="90" w:type="dxa"/>
              <w:top w:w="60" w:type="dxa"/>
              <w:right w:w="90" w:type="dxa"/>
              <w:bottom w:w="60" w:type="dxa"/>
            </w:tcMar>
            <w:tcW w:w="5054" w:type="dxa"/>
            <w:vAlign w:val="center"/>
          </w:tcPr>
          <w:p>
            <w:pPr>
              <w:pBdr/>
              <w:spacing w:after="40" w:before="40" w:line="240" w:lineRule="auto"/>
              <w:ind/>
              <w:jc w:val="left"/>
              <w:rPr>
                <w:color w:val="000000" w:themeColor="text1"/>
              </w:rPr>
            </w:pPr>
            <w:r>
              <w:rPr>
                <w:rFonts w:ascii="Calibri" w:hAnsi="Calibri" w:eastAsia="Calibri" w:cs="Calibri"/>
                <w:color w:val="000000" w:themeColor="text1"/>
                <w:sz w:val="17"/>
                <w:szCs w:val="17"/>
                <w:lang w:val="es-ES"/>
              </w:rPr>
              <w:t xml:space="preserve">Cumplido: S-01 en PV-04; S-02 en PV-02, PV-04 y PV-05; S-03 en PV-01, PV-02, PV-03 y PV-05; S-04 en PV-03.</w:t>
            </w:r>
            <w:r>
              <w:rPr>
                <w:color w:val="000000" w:themeColor="text1"/>
              </w:rPr>
            </w:r>
          </w:p>
        </w:tc>
      </w:tr>
      <w:tr>
        <w:trPr>
          <w:cantSplit w:val="false"/>
        </w:trPr>
        <w:tc>
          <w:tcPr>
            <w:shd w:val="clear" w:color="auto" w:fill="f2f5fa"/>
            <w:tcBorders/>
            <w:tcMar>
              <w:left w:w="90" w:type="dxa"/>
              <w:top w:w="60" w:type="dxa"/>
              <w:right w:w="90" w:type="dxa"/>
              <w:bottom w:w="60" w:type="dxa"/>
            </w:tcMar>
            <w:tcW w:w="4306" w:type="dxa"/>
            <w:vAlign w:val="center"/>
          </w:tcPr>
          <w:p>
            <w:pPr>
              <w:pBdr/>
              <w:spacing w:after="40" w:before="40" w:line="240" w:lineRule="auto"/>
              <w:ind/>
              <w:jc w:val="left"/>
              <w:rPr>
                <w:color w:val="000000" w:themeColor="text1"/>
              </w:rPr>
            </w:pPr>
            <w:r>
              <w:rPr>
                <w:rFonts w:ascii="Calibri" w:hAnsi="Calibri" w:eastAsia="Calibri" w:cs="Calibri"/>
                <w:color w:val="000000" w:themeColor="text1"/>
                <w:sz w:val="17"/>
                <w:szCs w:val="17"/>
                <w:lang w:val="es-ES"/>
              </w:rPr>
              <w:t xml:space="preserve">Cada aspecto (A-01 a A-04) está cubierto por al menos un punto de vista.</w:t>
            </w:r>
            <w:r>
              <w:rPr>
                <w:color w:val="000000" w:themeColor="text1"/>
              </w:rPr>
            </w:r>
          </w:p>
        </w:tc>
        <w:tc>
          <w:tcPr>
            <w:shd w:val="clear" w:color="auto" w:fill="f2f5fa"/>
            <w:tcBorders/>
            <w:tcMar>
              <w:left w:w="90" w:type="dxa"/>
              <w:top w:w="60" w:type="dxa"/>
              <w:right w:w="90" w:type="dxa"/>
              <w:bottom w:w="60" w:type="dxa"/>
            </w:tcMar>
            <w:tcW w:w="5054" w:type="dxa"/>
            <w:vAlign w:val="center"/>
          </w:tcPr>
          <w:p>
            <w:pPr>
              <w:pBdr/>
              <w:spacing w:after="40" w:before="40" w:line="240" w:lineRule="auto"/>
              <w:ind/>
              <w:jc w:val="left"/>
              <w:rPr>
                <w:color w:val="000000" w:themeColor="text1"/>
              </w:rPr>
            </w:pPr>
            <w:r>
              <w:rPr>
                <w:rFonts w:ascii="Calibri" w:hAnsi="Calibri" w:eastAsia="Calibri" w:cs="Calibri"/>
                <w:color w:val="000000" w:themeColor="text1"/>
                <w:sz w:val="17"/>
                <w:szCs w:val="17"/>
                <w:lang w:val="es-ES"/>
              </w:rPr>
              <w:t xml:space="preserve">Cumplido: A-01 en PV-01; A-02 en PV-02 y PV-05; A-03 en PV-03; A-04 en PV-04 y PV-05.</w:t>
            </w:r>
            <w:r>
              <w:rPr>
                <w:color w:val="000000" w:themeColor="text1"/>
              </w:rPr>
            </w:r>
          </w:p>
        </w:tc>
      </w:tr>
      <w:tr>
        <w:trPr>
          <w:cantSplit w:val="false"/>
        </w:trPr>
        <w:tc>
          <w:tcPr>
            <w:shd w:val="clear" w:color="auto" w:fill="ffffff"/>
            <w:tcBorders/>
            <w:tcMar>
              <w:left w:w="90" w:type="dxa"/>
              <w:top w:w="60" w:type="dxa"/>
              <w:right w:w="90" w:type="dxa"/>
              <w:bottom w:w="60" w:type="dxa"/>
            </w:tcMar>
            <w:tcW w:w="4306" w:type="dxa"/>
            <w:vAlign w:val="center"/>
          </w:tcPr>
          <w:p>
            <w:pPr>
              <w:pBdr/>
              <w:spacing w:after="40" w:before="40" w:line="240" w:lineRule="auto"/>
              <w:ind/>
              <w:jc w:val="left"/>
              <w:rPr>
                <w:color w:val="000000" w:themeColor="text1"/>
              </w:rPr>
            </w:pPr>
            <w:r>
              <w:rPr>
                <w:rFonts w:ascii="Calibri" w:hAnsi="Calibri" w:eastAsia="Calibri" w:cs="Calibri"/>
                <w:color w:val="000000" w:themeColor="text1"/>
                <w:sz w:val="17"/>
                <w:szCs w:val="17"/>
                <w:lang w:val="es-ES"/>
              </w:rPr>
              <w:t xml:space="preserve">Cada preocupación (P-01 a P-08) está asignada al menos a un punto de vista.</w:t>
            </w:r>
            <w:r>
              <w:rPr>
                <w:color w:val="000000" w:themeColor="text1"/>
              </w:rPr>
            </w:r>
          </w:p>
        </w:tc>
        <w:tc>
          <w:tcPr>
            <w:shd w:val="clear" w:color="auto" w:fill="ffffff"/>
            <w:tcBorders/>
            <w:tcMar>
              <w:left w:w="90" w:type="dxa"/>
              <w:top w:w="60" w:type="dxa"/>
              <w:right w:w="90" w:type="dxa"/>
              <w:bottom w:w="60" w:type="dxa"/>
            </w:tcMar>
            <w:tcW w:w="5054" w:type="dxa"/>
            <w:vAlign w:val="center"/>
          </w:tcPr>
          <w:p>
            <w:pPr>
              <w:pBdr/>
              <w:spacing w:after="40" w:before="40" w:line="240" w:lineRule="auto"/>
              <w:ind/>
              <w:jc w:val="left"/>
              <w:rPr>
                <w:color w:val="000000" w:themeColor="text1"/>
              </w:rPr>
            </w:pPr>
            <w:r>
              <w:rPr>
                <w:rFonts w:ascii="Calibri" w:hAnsi="Calibri" w:eastAsia="Calibri" w:cs="Calibri"/>
                <w:color w:val="000000" w:themeColor="text1"/>
                <w:sz w:val="17"/>
                <w:szCs w:val="17"/>
                <w:lang w:val="es-ES"/>
              </w:rPr>
              <w:t xml:space="preserve">Cumplido: P-01 en PV-04 y PV-05; P-02 en PV-03; P-03 en PV-01; P-04 en PV-01 y PV-04; P-05 en PV-02 y PV-05; P-06 en PV-04; P-07 en PV-01; P-08 en PV-02 y PV-04.</w:t>
            </w:r>
            <w:r>
              <w:rPr>
                <w:color w:val="000000" w:themeColor="text1"/>
              </w:rPr>
            </w:r>
          </w:p>
        </w:tc>
      </w:tr>
    </w:tbl>
    <w:p>
      <w:pPr>
        <w:pBdr/>
        <w:spacing w:after="160"/>
        <w:ind/>
        <w:rPr>
          <w:color w:val="000000" w:themeColor="text1"/>
        </w:rPr>
      </w:pPr>
      <w:r>
        <w:rPr>
          <w:color w:val="000000" w:themeColor="text1"/>
          <w:lang w:val="es-ES" w:bidi="es-ES"/>
        </w:rPr>
      </w:r>
      <w:r>
        <w:rPr>
          <w:color w:val="000000" w:themeColor="text1"/>
        </w:rPr>
      </w:r>
    </w:p>
    <w:p>
      <w:pPr>
        <w:pStyle w:val="904"/>
        <w:keepNext w:val="true"/>
        <w:pBdr/>
        <w:spacing w:after="140" w:before="280"/>
        <w:ind/>
        <w:rPr>
          <w:color w:val="000000" w:themeColor="text1"/>
        </w:rPr>
      </w:pPr>
      <w:r/>
      <w:bookmarkStart w:id="32" w:name="_Toc32"/>
      <w:r>
        <w:rPr>
          <w:rFonts w:ascii="Calibri" w:hAnsi="Calibri" w:eastAsia="Calibri" w:cs="Calibri"/>
          <w:b/>
          <w:bCs/>
          <w:color w:val="000000" w:themeColor="text1"/>
          <w:sz w:val="25"/>
          <w:szCs w:val="25"/>
          <w:lang w:val="es-ES"/>
        </w:rPr>
        <w:t xml:space="preserve">2.9 Vistas de arquitectura definidas</w:t>
      </w:r>
      <w:r/>
      <w:bookmarkEnd w:id="32"/>
      <w:r/>
      <w:r>
        <w:rPr>
          <w:color w:val="000000" w:themeColor="text1"/>
        </w:rPr>
      </w:r>
    </w:p>
    <w:p>
      <w:pPr>
        <w:pBdr/>
        <w:spacing w:after="140" w:line="276" w:lineRule="auto"/>
        <w:ind/>
        <w:jc w:val="both"/>
        <w:rPr>
          <w:color w:val="000000" w:themeColor="text1"/>
        </w:rPr>
      </w:pPr>
      <w:r>
        <w:rPr>
          <w:rFonts w:ascii="Calibri" w:hAnsi="Calibri" w:eastAsia="Calibri" w:cs="Calibri"/>
          <w:color w:val="000000" w:themeColor="text1"/>
          <w:sz w:val="21"/>
          <w:szCs w:val="21"/>
          <w:lang w:val="es-ES"/>
        </w:rPr>
        <w:t xml:space="preserve">La Cláusula 6.7 exige que cada vista se rija por un punto de vista declarado y que exprese la arquitectura respecto de las preocupaciones que aquel identifica. Las cinco vistas siguientes se resumen en la tabla y se desarrollan a continuación; sus representaciones gráficas se recogen en los anexos A a D.</w:t>
      </w:r>
      <w:r>
        <w:rPr>
          <w:color w:val="000000" w:themeColor="text1"/>
        </w:rPr>
      </w:r>
    </w:p>
    <w:tbl>
      <w:tblPr>
        <w:tblW w:w="9360" w:type="dxa"/>
        <w:tblBorders>
          <w:top w:val="single" w:color="8ea9db" w:sz="4" w:space="0"/>
          <w:left w:val="single" w:color="8ea9db" w:sz="4" w:space="0"/>
          <w:bottom w:val="single" w:color="8ea9db" w:sz="4" w:space="0"/>
          <w:right w:val="single" w:color="8ea9db" w:sz="4" w:space="0"/>
          <w:insideH w:val="single" w:color="b4c6e7" w:sz="2" w:space="0"/>
          <w:insideV w:val="single" w:color="b4c6e7" w:sz="2" w:space="0"/>
        </w:tblBorders>
        <w:tblLook w:val="04A0" w:firstRow="1" w:lastRow="0" w:firstColumn="1" w:lastColumn="0" w:noHBand="0" w:noVBand="1"/>
      </w:tblPr>
      <w:tblGrid>
        <w:gridCol w:w="655"/>
        <w:gridCol w:w="1778"/>
        <w:gridCol w:w="842"/>
        <w:gridCol w:w="2434"/>
        <w:gridCol w:w="2059"/>
        <w:gridCol w:w="1591"/>
      </w:tblGrid>
      <w:tr>
        <w:trPr>
          <w:cantSplit w:val="false"/>
          <w:tblHeader/>
        </w:trPr>
        <w:tc>
          <w:tcPr>
            <w:shd w:val="clear" w:color="auto" w:fill="d9e2f3"/>
            <w:tcBorders/>
            <w:tcMar>
              <w:left w:w="90" w:type="dxa"/>
              <w:top w:w="60" w:type="dxa"/>
              <w:right w:w="90" w:type="dxa"/>
              <w:bottom w:w="60" w:type="dxa"/>
            </w:tcMar>
            <w:tcW w:w="655"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w:t>
            </w:r>
            <w:r>
              <w:rPr>
                <w:color w:val="000000" w:themeColor="text1"/>
              </w:rPr>
            </w:r>
          </w:p>
        </w:tc>
        <w:tc>
          <w:tcPr>
            <w:shd w:val="clear" w:color="auto" w:fill="d9e2f3"/>
            <w:tcBorders/>
            <w:tcMar>
              <w:left w:w="90" w:type="dxa"/>
              <w:top w:w="60" w:type="dxa"/>
              <w:right w:w="90" w:type="dxa"/>
              <w:bottom w:w="60" w:type="dxa"/>
            </w:tcMar>
            <w:tcW w:w="1778"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Nombre de la vista</w:t>
            </w:r>
            <w:r>
              <w:rPr>
                <w:color w:val="000000" w:themeColor="text1"/>
              </w:rPr>
            </w:r>
          </w:p>
        </w:tc>
        <w:tc>
          <w:tcPr>
            <w:shd w:val="clear" w:color="auto" w:fill="d9e2f3"/>
            <w:tcBorders/>
            <w:tcMar>
              <w:left w:w="90" w:type="dxa"/>
              <w:top w:w="60" w:type="dxa"/>
              <w:right w:w="90" w:type="dxa"/>
              <w:bottom w:w="60" w:type="dxa"/>
            </w:tcMar>
            <w:tcW w:w="842"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PV rector</w:t>
            </w:r>
            <w:r>
              <w:rPr>
                <w:color w:val="000000" w:themeColor="text1"/>
              </w:rPr>
            </w:r>
          </w:p>
        </w:tc>
        <w:tc>
          <w:tcPr>
            <w:shd w:val="clear" w:color="auto" w:fill="d9e2f3"/>
            <w:tcBorders/>
            <w:tcMar>
              <w:left w:w="90" w:type="dxa"/>
              <w:top w:w="60" w:type="dxa"/>
              <w:right w:w="90" w:type="dxa"/>
              <w:bottom w:w="60" w:type="dxa"/>
            </w:tcMar>
            <w:tcW w:w="2434"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Componentes de vista incluidos</w:t>
            </w:r>
            <w:r>
              <w:rPr>
                <w:color w:val="000000" w:themeColor="text1"/>
              </w:rPr>
            </w:r>
          </w:p>
        </w:tc>
        <w:tc>
          <w:tcPr>
            <w:shd w:val="clear" w:color="auto" w:fill="d9e2f3"/>
            <w:tcBorders/>
            <w:tcMar>
              <w:left w:w="90" w:type="dxa"/>
              <w:top w:w="60" w:type="dxa"/>
              <w:right w:w="90" w:type="dxa"/>
              <w:bottom w:w="60" w:type="dxa"/>
            </w:tcMar>
            <w:tcW w:w="2059"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Propósito</w:t>
            </w:r>
            <w:r>
              <w:rPr>
                <w:color w:val="000000" w:themeColor="text1"/>
              </w:rPr>
            </w:r>
          </w:p>
        </w:tc>
        <w:tc>
          <w:tcPr>
            <w:shd w:val="clear" w:color="auto" w:fill="d9e2f3"/>
            <w:tcBorders/>
            <w:tcMar>
              <w:left w:w="90" w:type="dxa"/>
              <w:top w:w="60" w:type="dxa"/>
              <w:right w:w="90" w:type="dxa"/>
              <w:bottom w:w="60" w:type="dxa"/>
            </w:tcMar>
            <w:tcW w:w="1591"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¿Problemas conocidos?</w:t>
            </w:r>
            <w:r>
              <w:rPr>
                <w:color w:val="000000" w:themeColor="text1"/>
              </w:rPr>
            </w:r>
          </w:p>
        </w:tc>
      </w:tr>
      <w:tr>
        <w:trPr>
          <w:cantSplit w:val="false"/>
        </w:trPr>
        <w:tc>
          <w:tcPr>
            <w:shd w:val="clear" w:color="auto" w:fill="ffffff"/>
            <w:tcBorders/>
            <w:tcMar>
              <w:left w:w="90" w:type="dxa"/>
              <w:top w:w="60" w:type="dxa"/>
              <w:right w:w="90" w:type="dxa"/>
              <w:bottom w:w="60" w:type="dxa"/>
            </w:tcMar>
            <w:tcW w:w="655"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V-01</w:t>
            </w:r>
            <w:r>
              <w:rPr>
                <w:color w:val="000000" w:themeColor="text1"/>
              </w:rPr>
            </w:r>
          </w:p>
        </w:tc>
        <w:tc>
          <w:tcPr>
            <w:shd w:val="clear" w:color="auto" w:fill="ffffff"/>
            <w:tcBorders/>
            <w:tcMar>
              <w:left w:w="90" w:type="dxa"/>
              <w:top w:w="60" w:type="dxa"/>
              <w:right w:w="90" w:type="dxa"/>
              <w:bottom w:w="60" w:type="dxa"/>
            </w:tcMar>
            <w:tcW w:w="1778"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Capas y responsabilidades</w:t>
            </w:r>
            <w:r>
              <w:rPr>
                <w:color w:val="000000" w:themeColor="text1"/>
              </w:rPr>
            </w:r>
          </w:p>
        </w:tc>
        <w:tc>
          <w:tcPr>
            <w:shd w:val="clear" w:color="auto" w:fill="ffffff"/>
            <w:tcBorders/>
            <w:tcMar>
              <w:left w:w="90" w:type="dxa"/>
              <w:top w:w="60" w:type="dxa"/>
              <w:right w:w="90" w:type="dxa"/>
              <w:bottom w:w="60" w:type="dxa"/>
            </w:tcMar>
            <w:tcW w:w="842"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PV-01</w:t>
            </w:r>
            <w:r>
              <w:rPr>
                <w:color w:val="000000" w:themeColor="text1"/>
              </w:rPr>
            </w:r>
          </w:p>
        </w:tc>
        <w:tc>
          <w:tcPr>
            <w:shd w:val="clear" w:color="auto" w:fill="ffffff"/>
            <w:tcBorders/>
            <w:tcMar>
              <w:left w:w="90" w:type="dxa"/>
              <w:top w:w="60" w:type="dxa"/>
              <w:right w:w="90" w:type="dxa"/>
              <w:bottom w:w="60" w:type="dxa"/>
            </w:tcMar>
            <w:tcW w:w="2434"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Diagrama de capas (Anexo A) y tabla de reglas de dependencia.</w:t>
            </w:r>
            <w:r>
              <w:rPr>
                <w:color w:val="000000" w:themeColor="text1"/>
              </w:rPr>
            </w:r>
          </w:p>
        </w:tc>
        <w:tc>
          <w:tcPr>
            <w:shd w:val="clear" w:color="auto" w:fill="ffffff"/>
            <w:tcBorders/>
            <w:tcMar>
              <w:left w:w="90" w:type="dxa"/>
              <w:top w:w="60" w:type="dxa"/>
              <w:right w:w="90" w:type="dxa"/>
              <w:bottom w:w="60" w:type="dxa"/>
            </w:tcMar>
            <w:tcW w:w="2059"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Mostrar la organización interna y la dirección obligatoria de las dependencias.</w:t>
            </w:r>
            <w:r>
              <w:rPr>
                <w:color w:val="000000" w:themeColor="text1"/>
              </w:rPr>
            </w:r>
          </w:p>
        </w:tc>
        <w:tc>
          <w:tcPr>
            <w:shd w:val="clear" w:color="auto" w:fill="ffffff"/>
            <w:tcBorders/>
            <w:tcMar>
              <w:left w:w="90" w:type="dxa"/>
              <w:top w:w="60" w:type="dxa"/>
              <w:right w:w="90" w:type="dxa"/>
              <w:bottom w:w="60" w:type="dxa"/>
            </w:tcMar>
            <w:tcW w:w="1591"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Ninguno.</w:t>
            </w:r>
            <w:r>
              <w:rPr>
                <w:color w:val="000000" w:themeColor="text1"/>
              </w:rPr>
            </w:r>
          </w:p>
        </w:tc>
      </w:tr>
      <w:tr>
        <w:trPr>
          <w:cantSplit w:val="false"/>
        </w:trPr>
        <w:tc>
          <w:tcPr>
            <w:shd w:val="clear" w:color="auto" w:fill="f2f5fa"/>
            <w:tcBorders/>
            <w:tcMar>
              <w:left w:w="90" w:type="dxa"/>
              <w:top w:w="60" w:type="dxa"/>
              <w:right w:w="90" w:type="dxa"/>
              <w:bottom w:w="60" w:type="dxa"/>
            </w:tcMar>
            <w:tcW w:w="655"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V-02</w:t>
            </w:r>
            <w:r>
              <w:rPr>
                <w:color w:val="000000" w:themeColor="text1"/>
              </w:rPr>
            </w:r>
          </w:p>
        </w:tc>
        <w:tc>
          <w:tcPr>
            <w:shd w:val="clear" w:color="auto" w:fill="f2f5fa"/>
            <w:tcBorders/>
            <w:tcMar>
              <w:left w:w="90" w:type="dxa"/>
              <w:top w:w="60" w:type="dxa"/>
              <w:right w:w="90" w:type="dxa"/>
              <w:bottom w:w="60" w:type="dxa"/>
            </w:tcMar>
            <w:tcW w:w="1778"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Módulos, servicios y flujos</w:t>
            </w:r>
            <w:r>
              <w:rPr>
                <w:color w:val="000000" w:themeColor="text1"/>
              </w:rPr>
            </w:r>
          </w:p>
        </w:tc>
        <w:tc>
          <w:tcPr>
            <w:shd w:val="clear" w:color="auto" w:fill="f2f5fa"/>
            <w:tcBorders/>
            <w:tcMar>
              <w:left w:w="90" w:type="dxa"/>
              <w:top w:w="60" w:type="dxa"/>
              <w:right w:w="90" w:type="dxa"/>
              <w:bottom w:w="60" w:type="dxa"/>
            </w:tcMar>
            <w:tcW w:w="842"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PV-02</w:t>
            </w:r>
            <w:r>
              <w:rPr>
                <w:color w:val="000000" w:themeColor="text1"/>
              </w:rPr>
            </w:r>
          </w:p>
        </w:tc>
        <w:tc>
          <w:tcPr>
            <w:shd w:val="clear" w:color="auto" w:fill="f2f5fa"/>
            <w:tcBorders/>
            <w:tcMar>
              <w:left w:w="90" w:type="dxa"/>
              <w:top w:w="60" w:type="dxa"/>
              <w:right w:w="90" w:type="dxa"/>
              <w:bottom w:w="60" w:type="dxa"/>
            </w:tcMar>
            <w:tcW w:w="2434"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Diagrama de módulos (Anexo B), tabla de responsabilidades y catálogo de recursos REST.</w:t>
            </w:r>
            <w:r>
              <w:rPr>
                <w:color w:val="000000" w:themeColor="text1"/>
              </w:rPr>
            </w:r>
          </w:p>
        </w:tc>
        <w:tc>
          <w:tcPr>
            <w:shd w:val="clear" w:color="auto" w:fill="f2f5fa"/>
            <w:tcBorders/>
            <w:tcMar>
              <w:left w:w="90" w:type="dxa"/>
              <w:top w:w="60" w:type="dxa"/>
              <w:right w:w="90" w:type="dxa"/>
              <w:bottom w:w="60" w:type="dxa"/>
            </w:tcMar>
            <w:tcW w:w="2059"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Definir las capacidades del sistema y las fronteras entre módulos de dominio.</w:t>
            </w:r>
            <w:r>
              <w:rPr>
                <w:color w:val="000000" w:themeColor="text1"/>
              </w:rPr>
            </w:r>
          </w:p>
        </w:tc>
        <w:tc>
          <w:tcPr>
            <w:shd w:val="clear" w:color="auto" w:fill="f2f5fa"/>
            <w:tcBorders/>
            <w:tcMar>
              <w:left w:w="90" w:type="dxa"/>
              <w:top w:w="60" w:type="dxa"/>
              <w:right w:w="90" w:type="dxa"/>
              <w:bottom w:w="60" w:type="dxa"/>
            </w:tcMar>
            <w:tcW w:w="1591"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La frontera entre M5 Búsqueda y los módulos que consulta es de solo lectura y no está impuesta técnicamente.</w:t>
            </w:r>
            <w:r>
              <w:rPr>
                <w:color w:val="000000" w:themeColor="text1"/>
              </w:rPr>
            </w:r>
          </w:p>
        </w:tc>
      </w:tr>
      <w:tr>
        <w:trPr>
          <w:cantSplit w:val="false"/>
        </w:trPr>
        <w:tc>
          <w:tcPr>
            <w:shd w:val="clear" w:color="auto" w:fill="ffffff"/>
            <w:tcBorders/>
            <w:tcMar>
              <w:left w:w="90" w:type="dxa"/>
              <w:top w:w="60" w:type="dxa"/>
              <w:right w:w="90" w:type="dxa"/>
              <w:bottom w:w="60" w:type="dxa"/>
            </w:tcMar>
            <w:tcW w:w="655"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V-03</w:t>
            </w:r>
            <w:r>
              <w:rPr>
                <w:color w:val="000000" w:themeColor="text1"/>
              </w:rPr>
            </w:r>
          </w:p>
        </w:tc>
        <w:tc>
          <w:tcPr>
            <w:shd w:val="clear" w:color="auto" w:fill="ffffff"/>
            <w:tcBorders/>
            <w:tcMar>
              <w:left w:w="90" w:type="dxa"/>
              <w:top w:w="60" w:type="dxa"/>
              <w:right w:w="90" w:type="dxa"/>
              <w:bottom w:w="60" w:type="dxa"/>
            </w:tcMar>
            <w:tcW w:w="1778"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Información y controles de seguridad</w:t>
            </w:r>
            <w:r>
              <w:rPr>
                <w:color w:val="000000" w:themeColor="text1"/>
              </w:rPr>
            </w:r>
          </w:p>
        </w:tc>
        <w:tc>
          <w:tcPr>
            <w:shd w:val="clear" w:color="auto" w:fill="ffffff"/>
            <w:tcBorders/>
            <w:tcMar>
              <w:left w:w="90" w:type="dxa"/>
              <w:top w:w="60" w:type="dxa"/>
              <w:right w:w="90" w:type="dxa"/>
              <w:bottom w:w="60" w:type="dxa"/>
            </w:tcMar>
            <w:tcW w:w="842"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PV-03</w:t>
            </w:r>
            <w:r>
              <w:rPr>
                <w:color w:val="000000" w:themeColor="text1"/>
              </w:rPr>
            </w:r>
          </w:p>
        </w:tc>
        <w:tc>
          <w:tcPr>
            <w:shd w:val="clear" w:color="auto" w:fill="ffffff"/>
            <w:tcBorders/>
            <w:tcMar>
              <w:left w:w="90" w:type="dxa"/>
              <w:top w:w="60" w:type="dxa"/>
              <w:right w:w="90" w:type="dxa"/>
              <w:bottom w:w="60" w:type="dxa"/>
            </w:tcMar>
            <w:tcW w:w="2434"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Matriz de clasificación de datos y matriz de control de accesos por rol.</w:t>
            </w:r>
            <w:r>
              <w:rPr>
                <w:color w:val="000000" w:themeColor="text1"/>
              </w:rPr>
            </w:r>
          </w:p>
        </w:tc>
        <w:tc>
          <w:tcPr>
            <w:shd w:val="clear" w:color="auto" w:fill="ffffff"/>
            <w:tcBorders/>
            <w:tcMar>
              <w:left w:w="90" w:type="dxa"/>
              <w:top w:w="60" w:type="dxa"/>
              <w:right w:w="90" w:type="dxa"/>
              <w:bottom w:w="60" w:type="dxa"/>
            </w:tcMar>
            <w:tcW w:w="2059"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Demostrar la protección de los datos y el cumplimiento de la Ley No. 787.</w:t>
            </w:r>
            <w:r>
              <w:rPr>
                <w:color w:val="000000" w:themeColor="text1"/>
              </w:rPr>
            </w:r>
          </w:p>
        </w:tc>
        <w:tc>
          <w:tcPr>
            <w:shd w:val="clear" w:color="auto" w:fill="ffffff"/>
            <w:tcBorders/>
            <w:tcMar>
              <w:left w:w="90" w:type="dxa"/>
              <w:top w:w="60" w:type="dxa"/>
              <w:right w:w="90" w:type="dxa"/>
              <w:bottom w:w="60" w:type="dxa"/>
            </w:tcMar>
            <w:tcW w:w="1591"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La retención de siete años en archivo depende de una política externa al código.</w:t>
            </w:r>
            <w:r>
              <w:rPr>
                <w:color w:val="000000" w:themeColor="text1"/>
              </w:rPr>
            </w:r>
          </w:p>
        </w:tc>
      </w:tr>
      <w:tr>
        <w:trPr>
          <w:cantSplit w:val="false"/>
        </w:trPr>
        <w:tc>
          <w:tcPr>
            <w:shd w:val="clear" w:color="auto" w:fill="f2f5fa"/>
            <w:tcBorders/>
            <w:tcMar>
              <w:left w:w="90" w:type="dxa"/>
              <w:top w:w="60" w:type="dxa"/>
              <w:right w:w="90" w:type="dxa"/>
              <w:bottom w:w="60" w:type="dxa"/>
            </w:tcMar>
            <w:tcW w:w="655"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V-04</w:t>
            </w:r>
            <w:r>
              <w:rPr>
                <w:color w:val="000000" w:themeColor="text1"/>
              </w:rPr>
            </w:r>
          </w:p>
        </w:tc>
        <w:tc>
          <w:tcPr>
            <w:shd w:val="clear" w:color="auto" w:fill="f2f5fa"/>
            <w:tcBorders/>
            <w:tcMar>
              <w:left w:w="90" w:type="dxa"/>
              <w:top w:w="60" w:type="dxa"/>
              <w:right w:w="90" w:type="dxa"/>
              <w:bottom w:w="60" w:type="dxa"/>
            </w:tcMar>
            <w:tcW w:w="1778"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Despliegue e infraestructura</w:t>
            </w:r>
            <w:r>
              <w:rPr>
                <w:color w:val="000000" w:themeColor="text1"/>
              </w:rPr>
            </w:r>
          </w:p>
        </w:tc>
        <w:tc>
          <w:tcPr>
            <w:shd w:val="clear" w:color="auto" w:fill="f2f5fa"/>
            <w:tcBorders/>
            <w:tcMar>
              <w:left w:w="90" w:type="dxa"/>
              <w:top w:w="60" w:type="dxa"/>
              <w:right w:w="90" w:type="dxa"/>
              <w:bottom w:w="60" w:type="dxa"/>
            </w:tcMar>
            <w:tcW w:w="842"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PV-04</w:t>
            </w:r>
            <w:r>
              <w:rPr>
                <w:color w:val="000000" w:themeColor="text1"/>
              </w:rPr>
            </w:r>
          </w:p>
        </w:tc>
        <w:tc>
          <w:tcPr>
            <w:shd w:val="clear" w:color="auto" w:fill="f2f5fa"/>
            <w:tcBorders/>
            <w:tcMar>
              <w:left w:w="90" w:type="dxa"/>
              <w:top w:w="60" w:type="dxa"/>
              <w:right w:w="90" w:type="dxa"/>
              <w:bottom w:w="60" w:type="dxa"/>
            </w:tcMar>
            <w:tcW w:w="2434"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Diagrama de despliegue (Anexo C) y tabla de estrategias por atributo de calidad.</w:t>
            </w:r>
            <w:r>
              <w:rPr>
                <w:color w:val="000000" w:themeColor="text1"/>
              </w:rPr>
            </w:r>
          </w:p>
        </w:tc>
        <w:tc>
          <w:tcPr>
            <w:shd w:val="clear" w:color="auto" w:fill="f2f5fa"/>
            <w:tcBorders/>
            <w:tcMar>
              <w:left w:w="90" w:type="dxa"/>
              <w:top w:w="60" w:type="dxa"/>
              <w:right w:w="90" w:type="dxa"/>
              <w:bottom w:w="60" w:type="dxa"/>
            </w:tcMar>
            <w:tcW w:w="2059"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Definir el entorno de ejecución, la disponibilidad, el escalamiento y el costo.</w:t>
            </w:r>
            <w:r>
              <w:rPr>
                <w:color w:val="000000" w:themeColor="text1"/>
              </w:rPr>
            </w:r>
          </w:p>
        </w:tc>
        <w:tc>
          <w:tcPr>
            <w:shd w:val="clear" w:color="auto" w:fill="f2f5fa"/>
            <w:tcBorders/>
            <w:tcMar>
              <w:left w:w="90" w:type="dxa"/>
              <w:top w:w="60" w:type="dxa"/>
              <w:right w:w="90" w:type="dxa"/>
              <w:bottom w:w="60" w:type="dxa"/>
            </w:tcMar>
            <w:tcW w:w="1591"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El dimensionamiento exacto de nodos requiere una prueba de carga aún no ejecutada.</w:t>
            </w:r>
            <w:r>
              <w:rPr>
                <w:color w:val="000000" w:themeColor="text1"/>
              </w:rPr>
            </w:r>
          </w:p>
        </w:tc>
      </w:tr>
      <w:tr>
        <w:trPr>
          <w:cantSplit w:val="false"/>
        </w:trPr>
        <w:tc>
          <w:tcPr>
            <w:shd w:val="clear" w:color="auto" w:fill="ffffff"/>
            <w:tcBorders/>
            <w:tcMar>
              <w:left w:w="90" w:type="dxa"/>
              <w:top w:w="60" w:type="dxa"/>
              <w:right w:w="90" w:type="dxa"/>
              <w:bottom w:w="60" w:type="dxa"/>
            </w:tcMar>
            <w:tcW w:w="655"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V-05</w:t>
            </w:r>
            <w:r>
              <w:rPr>
                <w:color w:val="000000" w:themeColor="text1"/>
              </w:rPr>
            </w:r>
          </w:p>
        </w:tc>
        <w:tc>
          <w:tcPr>
            <w:shd w:val="clear" w:color="auto" w:fill="ffffff"/>
            <w:tcBorders/>
            <w:tcMar>
              <w:left w:w="90" w:type="dxa"/>
              <w:top w:w="60" w:type="dxa"/>
              <w:right w:w="90" w:type="dxa"/>
              <w:bottom w:w="60" w:type="dxa"/>
            </w:tcMar>
            <w:tcW w:w="1778"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Escenarios de operación</w:t>
            </w:r>
            <w:r>
              <w:rPr>
                <w:color w:val="000000" w:themeColor="text1"/>
              </w:rPr>
            </w:r>
          </w:p>
        </w:tc>
        <w:tc>
          <w:tcPr>
            <w:shd w:val="clear" w:color="auto" w:fill="ffffff"/>
            <w:tcBorders/>
            <w:tcMar>
              <w:left w:w="90" w:type="dxa"/>
              <w:top w:w="60" w:type="dxa"/>
              <w:right w:w="90" w:type="dxa"/>
              <w:bottom w:w="60" w:type="dxa"/>
            </w:tcMar>
            <w:tcW w:w="842"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PV-05</w:t>
            </w:r>
            <w:r>
              <w:rPr>
                <w:color w:val="000000" w:themeColor="text1"/>
              </w:rPr>
            </w:r>
          </w:p>
        </w:tc>
        <w:tc>
          <w:tcPr>
            <w:shd w:val="clear" w:color="auto" w:fill="ffffff"/>
            <w:tcBorders/>
            <w:tcMar>
              <w:left w:w="90" w:type="dxa"/>
              <w:top w:w="60" w:type="dxa"/>
              <w:right w:w="90" w:type="dxa"/>
              <w:bottom w:w="60" w:type="dxa"/>
            </w:tcMar>
            <w:tcW w:w="2434"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Diagrama de secuencia de emisión de cotización (Anexo D).</w:t>
            </w:r>
            <w:r>
              <w:rPr>
                <w:color w:val="000000" w:themeColor="text1"/>
              </w:rPr>
            </w:r>
          </w:p>
        </w:tc>
        <w:tc>
          <w:tcPr>
            <w:shd w:val="clear" w:color="auto" w:fill="ffffff"/>
            <w:tcBorders/>
            <w:tcMar>
              <w:left w:w="90" w:type="dxa"/>
              <w:top w:w="60" w:type="dxa"/>
              <w:right w:w="90" w:type="dxa"/>
              <w:bottom w:w="60" w:type="dxa"/>
            </w:tcMar>
            <w:tcW w:w="2059"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Verificar la coherencia entre las vistas anteriores recorriendo un flujo completo.</w:t>
            </w:r>
            <w:r>
              <w:rPr>
                <w:color w:val="000000" w:themeColor="text1"/>
              </w:rPr>
            </w:r>
          </w:p>
        </w:tc>
        <w:tc>
          <w:tcPr>
            <w:shd w:val="clear" w:color="auto" w:fill="ffffff"/>
            <w:tcBorders/>
            <w:tcMar>
              <w:left w:w="90" w:type="dxa"/>
              <w:top w:w="60" w:type="dxa"/>
              <w:right w:w="90" w:type="dxa"/>
              <w:bottom w:w="60" w:type="dxa"/>
            </w:tcMar>
            <w:tcW w:w="1591"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Ninguno.</w:t>
            </w:r>
            <w:r>
              <w:rPr>
                <w:color w:val="000000" w:themeColor="text1"/>
              </w:rPr>
            </w:r>
          </w:p>
        </w:tc>
      </w:tr>
    </w:tbl>
    <w:p>
      <w:pPr>
        <w:pBdr/>
        <w:spacing w:after="160"/>
        <w:ind/>
        <w:rPr>
          <w:color w:val="000000" w:themeColor="text1"/>
        </w:rPr>
      </w:pPr>
      <w:r>
        <w:rPr>
          <w:color w:val="000000" w:themeColor="text1"/>
          <w:lang w:val="es-ES" w:bidi="es-ES"/>
        </w:rPr>
      </w:r>
      <w:r>
        <w:rPr>
          <w:color w:val="000000" w:themeColor="text1"/>
        </w:rPr>
      </w:r>
    </w:p>
    <w:p>
      <w:pPr>
        <w:pStyle w:val="905"/>
        <w:keepNext w:val="true"/>
        <w:pBdr/>
        <w:spacing w:after="120" w:before="220"/>
        <w:ind/>
        <w:rPr>
          <w:color w:val="000000" w:themeColor="text1"/>
        </w:rPr>
      </w:pPr>
      <w:r/>
      <w:bookmarkStart w:id="33" w:name="_Toc33"/>
      <w:r>
        <w:rPr>
          <w:rFonts w:ascii="Calibri" w:hAnsi="Calibri" w:eastAsia="Calibri" w:cs="Calibri"/>
          <w:b/>
          <w:bCs/>
          <w:color w:val="000000" w:themeColor="text1"/>
          <w:sz w:val="22"/>
          <w:szCs w:val="22"/>
          <w:lang w:val="es-ES"/>
        </w:rPr>
        <w:t xml:space="preserve">2.9.1 V-01 — Vista de capas y responsabilidades</w:t>
      </w:r>
      <w:r/>
      <w:bookmarkEnd w:id="33"/>
      <w:r/>
      <w:r>
        <w:rPr>
          <w:color w:val="000000" w:themeColor="text1"/>
        </w:rPr>
      </w:r>
    </w:p>
    <w:p>
      <w:pPr>
        <w:pBdr/>
        <w:spacing w:after="140" w:line="276" w:lineRule="auto"/>
        <w:ind/>
        <w:jc w:val="both"/>
        <w:rPr>
          <w:color w:val="000000" w:themeColor="text1"/>
        </w:rPr>
      </w:pPr>
      <w:r>
        <w:rPr>
          <w:rFonts w:ascii="Calibri" w:hAnsi="Calibri" w:eastAsia="Calibri" w:cs="Calibri"/>
          <w:color w:val="000000" w:themeColor="text1"/>
          <w:sz w:val="21"/>
          <w:szCs w:val="21"/>
          <w:lang w:val="es-ES"/>
        </w:rPr>
        <w:t xml:space="preserve">La arquitectura se organiza en cuatro capas. Las tres primeras corresponden a la estructura de capas clásica que el SWEBOK clasifica dentro de las estructuras generales; la cuarta materializa los adaptadores secundarios del patrón hexagonal. La particularidad decisiva se encuentra en la relación entre la tercera y la cuarta: la dependencia se invierte, de modo que el dominio no depende de la infraestructura sino que ambos dependen de las interfaces que el dominio define. El diagrama completo figura en el Anexo A.</w:t>
      </w:r>
      <w:r>
        <w:rPr>
          <w:color w:val="000000" w:themeColor="text1"/>
        </w:rPr>
      </w:r>
    </w:p>
    <w:tbl>
      <w:tblPr>
        <w:tblW w:w="9360" w:type="dxa"/>
        <w:tblBorders>
          <w:top w:val="single" w:color="8ea9db" w:sz="4" w:space="0"/>
          <w:left w:val="single" w:color="8ea9db" w:sz="4" w:space="0"/>
          <w:bottom w:val="single" w:color="8ea9db" w:sz="4" w:space="0"/>
          <w:right w:val="single" w:color="8ea9db" w:sz="4" w:space="0"/>
          <w:insideH w:val="single" w:color="b4c6e7" w:sz="2" w:space="0"/>
          <w:insideV w:val="single" w:color="b4c6e7" w:sz="2" w:space="0"/>
        </w:tblBorders>
        <w:tblLook w:val="04A0" w:firstRow="1" w:lastRow="0" w:firstColumn="1" w:lastColumn="0" w:noHBand="0" w:noVBand="1"/>
      </w:tblPr>
      <w:tblGrid>
        <w:gridCol w:w="1310"/>
        <w:gridCol w:w="3557"/>
        <w:gridCol w:w="2246"/>
        <w:gridCol w:w="2246"/>
      </w:tblGrid>
      <w:tr>
        <w:trPr>
          <w:cantSplit w:val="false"/>
          <w:tblHeader/>
        </w:trPr>
        <w:tc>
          <w:tcPr>
            <w:shd w:val="clear" w:color="auto" w:fill="d9e2f3"/>
            <w:tcBorders/>
            <w:tcMar>
              <w:left w:w="90" w:type="dxa"/>
              <w:top w:w="60" w:type="dxa"/>
              <w:right w:w="90" w:type="dxa"/>
              <w:bottom w:w="60" w:type="dxa"/>
            </w:tcMar>
            <w:tcW w:w="1310"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Capa</w:t>
            </w:r>
            <w:r>
              <w:rPr>
                <w:color w:val="000000" w:themeColor="text1"/>
              </w:rPr>
            </w:r>
          </w:p>
        </w:tc>
        <w:tc>
          <w:tcPr>
            <w:shd w:val="clear" w:color="auto" w:fill="d9e2f3"/>
            <w:tcBorders/>
            <w:tcMar>
              <w:left w:w="90" w:type="dxa"/>
              <w:top w:w="60" w:type="dxa"/>
              <w:right w:w="90" w:type="dxa"/>
              <w:bottom w:w="60" w:type="dxa"/>
            </w:tcMar>
            <w:tcW w:w="3557"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Responsabilidad</w:t>
            </w:r>
            <w:r>
              <w:rPr>
                <w:color w:val="000000" w:themeColor="text1"/>
              </w:rPr>
            </w:r>
          </w:p>
        </w:tc>
        <w:tc>
          <w:tcPr>
            <w:shd w:val="clear" w:color="auto" w:fill="d9e2f3"/>
            <w:tcBorders/>
            <w:tcMar>
              <w:left w:w="90" w:type="dxa"/>
              <w:top w:w="60" w:type="dxa"/>
              <w:right w:w="90" w:type="dxa"/>
              <w:bottom w:w="60" w:type="dxa"/>
            </w:tcMar>
            <w:tcW w:w="2246"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Puede depender de</w:t>
            </w:r>
            <w:r>
              <w:rPr>
                <w:color w:val="000000" w:themeColor="text1"/>
              </w:rPr>
            </w:r>
          </w:p>
        </w:tc>
        <w:tc>
          <w:tcPr>
            <w:shd w:val="clear" w:color="auto" w:fill="d9e2f3"/>
            <w:tcBorders/>
            <w:tcMar>
              <w:left w:w="90" w:type="dxa"/>
              <w:top w:w="60" w:type="dxa"/>
              <w:right w:w="90" w:type="dxa"/>
              <w:bottom w:w="60" w:type="dxa"/>
            </w:tcMar>
            <w:tcW w:w="2246"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Nunca puede depender de</w:t>
            </w:r>
            <w:r>
              <w:rPr>
                <w:color w:val="000000" w:themeColor="text1"/>
              </w:rPr>
            </w:r>
          </w:p>
        </w:tc>
      </w:tr>
      <w:tr>
        <w:trPr>
          <w:cantSplit w:val="false"/>
        </w:trPr>
        <w:tc>
          <w:tcPr>
            <w:shd w:val="clear" w:color="auto" w:fill="ffffff"/>
            <w:tcBorders/>
            <w:tcMar>
              <w:left w:w="90" w:type="dxa"/>
              <w:top w:w="60" w:type="dxa"/>
              <w:right w:w="90" w:type="dxa"/>
              <w:bottom w:w="60" w:type="dxa"/>
            </w:tcMar>
            <w:tcW w:w="1310"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1. Presentación</w:t>
            </w:r>
            <w:r>
              <w:rPr>
                <w:color w:val="000000" w:themeColor="text1"/>
              </w:rPr>
            </w:r>
          </w:p>
        </w:tc>
        <w:tc>
          <w:tcPr>
            <w:shd w:val="clear" w:color="auto" w:fill="ffffff"/>
            <w:tcBorders/>
            <w:tcMar>
              <w:left w:w="90" w:type="dxa"/>
              <w:top w:w="60" w:type="dxa"/>
              <w:right w:w="90" w:type="dxa"/>
              <w:bottom w:w="60" w:type="dxa"/>
            </w:tcMar>
            <w:tcW w:w="3557"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Interfaz responsiva mobile-first ejecutada en el navegador. Renderizado, navegación y validación de formato de los campos.</w:t>
            </w:r>
            <w:r>
              <w:rPr>
                <w:color w:val="000000" w:themeColor="text1"/>
              </w:rPr>
            </w:r>
          </w:p>
        </w:tc>
        <w:tc>
          <w:tcPr>
            <w:shd w:val="clear" w:color="auto" w:fill="ffffff"/>
            <w:tcBorders/>
            <w:tcMar>
              <w:left w:w="90" w:type="dxa"/>
              <w:top w:w="60" w:type="dxa"/>
              <w:right w:w="90" w:type="dxa"/>
              <w:bottom w:w="60" w:type="dxa"/>
            </w:tcMar>
            <w:tcW w:w="2246"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La API REST de la capa 2, mediante HTTPS.</w:t>
            </w:r>
            <w:r>
              <w:rPr>
                <w:color w:val="000000" w:themeColor="text1"/>
              </w:rPr>
            </w:r>
          </w:p>
        </w:tc>
        <w:tc>
          <w:tcPr>
            <w:shd w:val="clear" w:color="auto" w:fill="ffffff"/>
            <w:tcBorders/>
            <w:tcMar>
              <w:left w:w="90" w:type="dxa"/>
              <w:top w:w="60" w:type="dxa"/>
              <w:right w:w="90" w:type="dxa"/>
              <w:bottom w:w="60" w:type="dxa"/>
            </w:tcMar>
            <w:tcW w:w="2246"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La base de datos ni ningún componente interno del servidor.</w:t>
            </w:r>
            <w:r>
              <w:rPr>
                <w:color w:val="000000" w:themeColor="text1"/>
              </w:rPr>
            </w:r>
          </w:p>
        </w:tc>
      </w:tr>
      <w:tr>
        <w:trPr>
          <w:cantSplit w:val="false"/>
        </w:trPr>
        <w:tc>
          <w:tcPr>
            <w:shd w:val="clear" w:color="auto" w:fill="f2f5fa"/>
            <w:tcBorders/>
            <w:tcMar>
              <w:left w:w="90" w:type="dxa"/>
              <w:top w:w="60" w:type="dxa"/>
              <w:right w:w="90" w:type="dxa"/>
              <w:bottom w:w="60" w:type="dxa"/>
            </w:tcMar>
            <w:tcW w:w="1310"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2. Aplicación / API</w:t>
            </w:r>
            <w:r>
              <w:rPr>
                <w:color w:val="000000" w:themeColor="text1"/>
              </w:rPr>
            </w:r>
          </w:p>
        </w:tc>
        <w:tc>
          <w:tcPr>
            <w:shd w:val="clear" w:color="auto" w:fill="f2f5fa"/>
            <w:tcBorders/>
            <w:tcMar>
              <w:left w:w="90" w:type="dxa"/>
              <w:top w:w="60" w:type="dxa"/>
              <w:right w:w="90" w:type="dxa"/>
              <w:bottom w:w="60" w:type="dxa"/>
            </w:tcMar>
            <w:tcW w:w="3557"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Exposición de recursos REST, autenticación, control de acceso por rol, limitación de peticiones, traducción entre el protocolo y los casos de uso.</w:t>
            </w:r>
            <w:r>
              <w:rPr>
                <w:color w:val="000000" w:themeColor="text1"/>
              </w:rPr>
            </w:r>
          </w:p>
        </w:tc>
        <w:tc>
          <w:tcPr>
            <w:shd w:val="clear" w:color="auto" w:fill="f2f5fa"/>
            <w:tcBorders/>
            <w:tcMar>
              <w:left w:w="90" w:type="dxa"/>
              <w:top w:w="60" w:type="dxa"/>
              <w:right w:w="90" w:type="dxa"/>
              <w:bottom w:w="60" w:type="dxa"/>
            </w:tcMar>
            <w:tcW w:w="2246"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Los puertos de entrada del dominio.</w:t>
            </w:r>
            <w:r>
              <w:rPr>
                <w:color w:val="000000" w:themeColor="text1"/>
              </w:rPr>
            </w:r>
          </w:p>
        </w:tc>
        <w:tc>
          <w:tcPr>
            <w:shd w:val="clear" w:color="auto" w:fill="f2f5fa"/>
            <w:tcBorders/>
            <w:tcMar>
              <w:left w:w="90" w:type="dxa"/>
              <w:top w:w="60" w:type="dxa"/>
              <w:right w:w="90" w:type="dxa"/>
              <w:bottom w:w="60" w:type="dxa"/>
            </w:tcMar>
            <w:tcW w:w="2246"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Las tablas de la base de datos de forma directa.</w:t>
            </w:r>
            <w:r>
              <w:rPr>
                <w:color w:val="000000" w:themeColor="text1"/>
              </w:rPr>
            </w:r>
          </w:p>
        </w:tc>
      </w:tr>
      <w:tr>
        <w:trPr>
          <w:cantSplit w:val="false"/>
        </w:trPr>
        <w:tc>
          <w:tcPr>
            <w:shd w:val="clear" w:color="auto" w:fill="ffffff"/>
            <w:tcBorders/>
            <w:tcMar>
              <w:left w:w="90" w:type="dxa"/>
              <w:top w:w="60" w:type="dxa"/>
              <w:right w:w="90" w:type="dxa"/>
              <w:bottom w:w="60" w:type="dxa"/>
            </w:tcMar>
            <w:tcW w:w="1310"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3. Dominio</w:t>
            </w:r>
            <w:r>
              <w:rPr>
                <w:color w:val="000000" w:themeColor="text1"/>
              </w:rPr>
            </w:r>
          </w:p>
        </w:tc>
        <w:tc>
          <w:tcPr>
            <w:shd w:val="clear" w:color="auto" w:fill="ffffff"/>
            <w:tcBorders/>
            <w:tcMar>
              <w:left w:w="90" w:type="dxa"/>
              <w:top w:w="60" w:type="dxa"/>
              <w:right w:w="90" w:type="dxa"/>
              <w:bottom w:w="60" w:type="dxa"/>
            </w:tcMar>
            <w:tcW w:w="3557"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Entidades, reglas de negocio e invariantes: consolidación de bloques, ciclo de cotización, congelamiento de inventario, cálculo de reputación. Define los puertos.</w:t>
            </w:r>
            <w:r>
              <w:rPr>
                <w:color w:val="000000" w:themeColor="text1"/>
              </w:rPr>
            </w:r>
          </w:p>
        </w:tc>
        <w:tc>
          <w:tcPr>
            <w:shd w:val="clear" w:color="auto" w:fill="ffffff"/>
            <w:tcBorders/>
            <w:tcMar>
              <w:left w:w="90" w:type="dxa"/>
              <w:top w:w="60" w:type="dxa"/>
              <w:right w:w="90" w:type="dxa"/>
              <w:bottom w:w="60" w:type="dxa"/>
            </w:tcMar>
            <w:tcW w:w="2246"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Únicamente de sí misma y de las interfaces que ella declara.</w:t>
            </w:r>
            <w:r>
              <w:rPr>
                <w:color w:val="000000" w:themeColor="text1"/>
              </w:rPr>
            </w:r>
          </w:p>
        </w:tc>
        <w:tc>
          <w:tcPr>
            <w:shd w:val="clear" w:color="auto" w:fill="ffffff"/>
            <w:tcBorders/>
            <w:tcMar>
              <w:left w:w="90" w:type="dxa"/>
              <w:top w:w="60" w:type="dxa"/>
              <w:right w:w="90" w:type="dxa"/>
              <w:bottom w:w="60" w:type="dxa"/>
            </w:tcMar>
            <w:tcW w:w="2246"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El marco web, el gestor de base de datos, la biblioteca de mensajería ni ningún detalle técnico.</w:t>
            </w:r>
            <w:r>
              <w:rPr>
                <w:color w:val="000000" w:themeColor="text1"/>
              </w:rPr>
            </w:r>
          </w:p>
        </w:tc>
      </w:tr>
      <w:tr>
        <w:trPr>
          <w:cantSplit w:val="false"/>
        </w:trPr>
        <w:tc>
          <w:tcPr>
            <w:shd w:val="clear" w:color="auto" w:fill="f2f5fa"/>
            <w:tcBorders/>
            <w:tcMar>
              <w:left w:w="90" w:type="dxa"/>
              <w:top w:w="60" w:type="dxa"/>
              <w:right w:w="90" w:type="dxa"/>
              <w:bottom w:w="60" w:type="dxa"/>
            </w:tcMar>
            <w:tcW w:w="1310"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4. Infraestructura</w:t>
            </w:r>
            <w:r>
              <w:rPr>
                <w:color w:val="000000" w:themeColor="text1"/>
              </w:rPr>
            </w:r>
          </w:p>
        </w:tc>
        <w:tc>
          <w:tcPr>
            <w:shd w:val="clear" w:color="auto" w:fill="f2f5fa"/>
            <w:tcBorders/>
            <w:tcMar>
              <w:left w:w="90" w:type="dxa"/>
              <w:top w:w="60" w:type="dxa"/>
              <w:right w:w="90" w:type="dxa"/>
              <w:bottom w:w="60" w:type="dxa"/>
            </w:tcMar>
            <w:tcW w:w="3557"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Implementaciones concretas de los puertos: repositorios, caché, cola de trabajos, adaptador de WhatsApp, adaptador de correo, almacén de objetos, bitácora de auditoría.</w:t>
            </w:r>
            <w:r>
              <w:rPr>
                <w:color w:val="000000" w:themeColor="text1"/>
              </w:rPr>
            </w:r>
          </w:p>
        </w:tc>
        <w:tc>
          <w:tcPr>
            <w:shd w:val="clear" w:color="auto" w:fill="f2f5fa"/>
            <w:tcBorders/>
            <w:tcMar>
              <w:left w:w="90" w:type="dxa"/>
              <w:top w:w="60" w:type="dxa"/>
              <w:right w:w="90" w:type="dxa"/>
              <w:bottom w:w="60" w:type="dxa"/>
            </w:tcMar>
            <w:tcW w:w="2246"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De los puertos que implementa y de las bibliotecas técnicas.</w:t>
            </w:r>
            <w:r>
              <w:rPr>
                <w:color w:val="000000" w:themeColor="text1"/>
              </w:rPr>
            </w:r>
          </w:p>
        </w:tc>
        <w:tc>
          <w:tcPr>
            <w:shd w:val="clear" w:color="auto" w:fill="f2f5fa"/>
            <w:tcBorders/>
            <w:tcMar>
              <w:left w:w="90" w:type="dxa"/>
              <w:top w:w="60" w:type="dxa"/>
              <w:right w:w="90" w:type="dxa"/>
              <w:bottom w:w="60" w:type="dxa"/>
            </w:tcMar>
            <w:tcW w:w="2246"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De las reglas de negocio; no debe contener decisiones de dominio.</w:t>
            </w:r>
            <w:r>
              <w:rPr>
                <w:color w:val="000000" w:themeColor="text1"/>
              </w:rPr>
            </w:r>
          </w:p>
        </w:tc>
      </w:tr>
    </w:tbl>
    <w:p>
      <w:pPr>
        <w:pBdr/>
        <w:spacing w:after="160"/>
        <w:ind/>
        <w:rPr>
          <w:color w:val="000000" w:themeColor="text1"/>
        </w:rPr>
      </w:pPr>
      <w:r>
        <w:rPr>
          <w:color w:val="000000" w:themeColor="text1"/>
          <w:lang w:val="es-ES" w:bidi="es-ES"/>
        </w:rPr>
      </w:r>
      <w:r>
        <w:rPr>
          <w:color w:val="000000" w:themeColor="text1"/>
        </w:rPr>
      </w:r>
    </w:p>
    <w:p>
      <w:pPr>
        <w:pBdr/>
        <w:spacing w:after="140" w:line="276" w:lineRule="auto"/>
        <w:ind/>
        <w:jc w:val="both"/>
        <w:rPr>
          <w:color w:val="000000" w:themeColor="text1"/>
        </w:rPr>
      </w:pPr>
      <w:r>
        <w:rPr>
          <w:rFonts w:ascii="Calibri" w:hAnsi="Calibri" w:eastAsia="Calibri" w:cs="Calibri"/>
          <w:color w:val="000000" w:themeColor="text1"/>
          <w:sz w:val="21"/>
          <w:szCs w:val="21"/>
          <w:lang w:val="es-ES"/>
        </w:rPr>
        <w:t xml:space="preserve">Las preocupaciones transversales —trazas, métricas, registro estructurado y manejo uniforme de errores— se implementan como envolturas de la capa 2 y no como llamadas dispersas dentro del dominio, precisamente para no violar PA-01.</w:t>
      </w:r>
      <w:r>
        <w:rPr>
          <w:color w:val="000000" w:themeColor="text1"/>
        </w:rPr>
      </w:r>
    </w:p>
    <w:p>
      <w:pPr>
        <w:pStyle w:val="905"/>
        <w:keepNext w:val="true"/>
        <w:pBdr/>
        <w:spacing w:after="120" w:before="220"/>
        <w:ind/>
        <w:rPr>
          <w:color w:val="000000" w:themeColor="text1"/>
        </w:rPr>
      </w:pPr>
      <w:r/>
      <w:bookmarkStart w:id="34" w:name="_Toc34"/>
      <w:r>
        <w:rPr>
          <w:rFonts w:ascii="Calibri" w:hAnsi="Calibri" w:eastAsia="Calibri" w:cs="Calibri"/>
          <w:b/>
          <w:bCs/>
          <w:color w:val="000000" w:themeColor="text1"/>
          <w:sz w:val="22"/>
          <w:szCs w:val="22"/>
          <w:lang w:val="es-ES"/>
        </w:rPr>
        <w:t xml:space="preserve">2.9.2 V-02 — Vista de módulos, servicios y flujos</w:t>
      </w:r>
      <w:r/>
      <w:bookmarkEnd w:id="34"/>
      <w:r/>
      <w:r>
        <w:rPr>
          <w:color w:val="000000" w:themeColor="text1"/>
        </w:rPr>
      </w:r>
    </w:p>
    <w:p>
      <w:pPr>
        <w:pBdr/>
        <w:spacing w:after="140" w:line="276" w:lineRule="auto"/>
        <w:ind/>
        <w:jc w:val="both"/>
        <w:rPr>
          <w:color w:val="000000" w:themeColor="text1"/>
        </w:rPr>
      </w:pPr>
      <w:r>
        <w:rPr>
          <w:rFonts w:ascii="Calibri" w:hAnsi="Calibri" w:eastAsia="Calibri" w:cs="Calibri"/>
          <w:color w:val="000000" w:themeColor="text1"/>
          <w:sz w:val="21"/>
          <w:szCs w:val="21"/>
          <w:lang w:val="es-ES"/>
        </w:rPr>
        <w:t xml:space="preserve">El dominio se divide en nueve módulos con fronteras explícitas, que se corresponden uno a uno con los nueve módulos de software que el catálogo de requisitos ya había establecido como mutuamente excluyentes. Cada módulo posee su propio esquema lógico de datos conforme a PA-02. El diagrama figura en el Anexo B.</w:t>
      </w:r>
      <w:r>
        <w:rPr>
          <w:color w:val="000000" w:themeColor="text1"/>
        </w:rPr>
      </w:r>
    </w:p>
    <w:tbl>
      <w:tblPr>
        <w:tblW w:w="9360" w:type="dxa"/>
        <w:tblBorders>
          <w:top w:val="single" w:color="8ea9db" w:sz="4" w:space="0"/>
          <w:left w:val="single" w:color="8ea9db" w:sz="4" w:space="0"/>
          <w:bottom w:val="single" w:color="8ea9db" w:sz="4" w:space="0"/>
          <w:right w:val="single" w:color="8ea9db" w:sz="4" w:space="0"/>
          <w:insideH w:val="single" w:color="b4c6e7" w:sz="2" w:space="0"/>
          <w:insideV w:val="single" w:color="b4c6e7" w:sz="2" w:space="0"/>
        </w:tblBorders>
        <w:tblLook w:val="04A0" w:firstRow="1" w:lastRow="0" w:firstColumn="1" w:lastColumn="0" w:noHBand="0" w:noVBand="1"/>
      </w:tblPr>
      <w:tblGrid>
        <w:gridCol w:w="1872"/>
        <w:gridCol w:w="3744"/>
        <w:gridCol w:w="1591"/>
        <w:gridCol w:w="2153"/>
      </w:tblGrid>
      <w:tr>
        <w:trPr>
          <w:cantSplit w:val="false"/>
          <w:tblHeader/>
        </w:trPr>
        <w:tc>
          <w:tcPr>
            <w:shd w:val="clear" w:color="auto" w:fill="d9e2f3"/>
            <w:tcBorders/>
            <w:tcMar>
              <w:left w:w="90" w:type="dxa"/>
              <w:top w:w="60" w:type="dxa"/>
              <w:right w:w="90" w:type="dxa"/>
              <w:bottom w:w="60" w:type="dxa"/>
            </w:tcMar>
            <w:tcW w:w="1872"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Módulo</w:t>
            </w:r>
            <w:r>
              <w:rPr>
                <w:color w:val="000000" w:themeColor="text1"/>
              </w:rPr>
            </w:r>
          </w:p>
        </w:tc>
        <w:tc>
          <w:tcPr>
            <w:shd w:val="clear" w:color="auto" w:fill="d9e2f3"/>
            <w:tcBorders/>
            <w:tcMar>
              <w:left w:w="90" w:type="dxa"/>
              <w:top w:w="60" w:type="dxa"/>
              <w:right w:w="90" w:type="dxa"/>
              <w:bottom w:w="60" w:type="dxa"/>
            </w:tcMar>
            <w:tcW w:w="3744"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Responsabilidad principal</w:t>
            </w:r>
            <w:r>
              <w:rPr>
                <w:color w:val="000000" w:themeColor="text1"/>
              </w:rPr>
            </w:r>
          </w:p>
        </w:tc>
        <w:tc>
          <w:tcPr>
            <w:shd w:val="clear" w:color="auto" w:fill="d9e2f3"/>
            <w:tcBorders/>
            <w:tcMar>
              <w:left w:w="90" w:type="dxa"/>
              <w:top w:w="60" w:type="dxa"/>
              <w:right w:w="90" w:type="dxa"/>
              <w:bottom w:w="60" w:type="dxa"/>
            </w:tcMar>
            <w:tcW w:w="1591"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Requisitos que cubre</w:t>
            </w:r>
            <w:r>
              <w:rPr>
                <w:color w:val="000000" w:themeColor="text1"/>
              </w:rPr>
            </w:r>
          </w:p>
        </w:tc>
        <w:tc>
          <w:tcPr>
            <w:shd w:val="clear" w:color="auto" w:fill="d9e2f3"/>
            <w:tcBorders/>
            <w:tcMar>
              <w:left w:w="90" w:type="dxa"/>
              <w:top w:w="60" w:type="dxa"/>
              <w:right w:w="90" w:type="dxa"/>
              <w:bottom w:w="60" w:type="dxa"/>
            </w:tcMar>
            <w:tcW w:w="2153"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Comunica con</w:t>
            </w:r>
            <w:r>
              <w:rPr>
                <w:color w:val="000000" w:themeColor="text1"/>
              </w:rPr>
            </w:r>
          </w:p>
        </w:tc>
      </w:tr>
      <w:tr>
        <w:trPr>
          <w:cantSplit w:val="false"/>
        </w:trPr>
        <w:tc>
          <w:tcPr>
            <w:shd w:val="clear" w:color="auto" w:fill="ffffff"/>
            <w:tcBorders/>
            <w:tcMar>
              <w:left w:w="90" w:type="dxa"/>
              <w:top w:w="60" w:type="dxa"/>
              <w:right w:w="90" w:type="dxa"/>
              <w:bottom w:w="60" w:type="dxa"/>
            </w:tcMar>
            <w:tcW w:w="1872"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M1 Usuarios y validación</w:t>
            </w:r>
            <w:r>
              <w:rPr>
                <w:color w:val="000000" w:themeColor="text1"/>
              </w:rPr>
            </w:r>
          </w:p>
        </w:tc>
        <w:tc>
          <w:tcPr>
            <w:shd w:val="clear" w:color="auto" w:fill="ffffff"/>
            <w:tcBorders/>
            <w:tcMar>
              <w:left w:w="90" w:type="dxa"/>
              <w:top w:w="60" w:type="dxa"/>
              <w:right w:w="90" w:type="dxa"/>
              <w:bottom w:w="60" w:type="dxa"/>
            </w:tcMar>
            <w:tcW w:w="3744"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Registro de cuentas comerciales, carga del registro legal, ciclo de validación por el administrador.</w:t>
            </w:r>
            <w:r>
              <w:rPr>
                <w:color w:val="000000" w:themeColor="text1"/>
              </w:rPr>
            </w:r>
          </w:p>
        </w:tc>
        <w:tc>
          <w:tcPr>
            <w:shd w:val="clear" w:color="auto" w:fill="ffffff"/>
            <w:tcBorders/>
            <w:tcMar>
              <w:left w:w="90" w:type="dxa"/>
              <w:top w:w="60" w:type="dxa"/>
              <w:right w:w="90" w:type="dxa"/>
              <w:bottom w:w="60" w:type="dxa"/>
            </w:tcMar>
            <w:tcW w:w="1591"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SYS-FN-01, 02, 03 (véase nota)</w:t>
            </w:r>
            <w:r>
              <w:rPr>
                <w:color w:val="000000" w:themeColor="text1"/>
              </w:rPr>
            </w:r>
          </w:p>
        </w:tc>
        <w:tc>
          <w:tcPr>
            <w:shd w:val="clear" w:color="auto" w:fill="ffffff"/>
            <w:tcBorders/>
            <w:tcMar>
              <w:left w:w="90" w:type="dxa"/>
              <w:top w:w="60" w:type="dxa"/>
              <w:right w:w="90" w:type="dxa"/>
              <w:bottom w:w="60" w:type="dxa"/>
            </w:tcMar>
            <w:tcW w:w="2153"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M2 (identidad), M9 (validación y auditoría)</w:t>
            </w:r>
            <w:r>
              <w:rPr>
                <w:color w:val="000000" w:themeColor="text1"/>
              </w:rPr>
            </w:r>
          </w:p>
        </w:tc>
      </w:tr>
      <w:tr>
        <w:trPr>
          <w:cantSplit w:val="false"/>
        </w:trPr>
        <w:tc>
          <w:tcPr>
            <w:shd w:val="clear" w:color="auto" w:fill="f2f5fa"/>
            <w:tcBorders/>
            <w:tcMar>
              <w:left w:w="90" w:type="dxa"/>
              <w:top w:w="60" w:type="dxa"/>
              <w:right w:w="90" w:type="dxa"/>
              <w:bottom w:w="60" w:type="dxa"/>
            </w:tcMar>
            <w:tcW w:w="1872"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M2 Seguridad y sesiones</w:t>
            </w:r>
            <w:r>
              <w:rPr>
                <w:color w:val="000000" w:themeColor="text1"/>
              </w:rPr>
            </w:r>
          </w:p>
        </w:tc>
        <w:tc>
          <w:tcPr>
            <w:shd w:val="clear" w:color="auto" w:fill="f2f5fa"/>
            <w:tcBorders/>
            <w:tcMar>
              <w:left w:w="90" w:type="dxa"/>
              <w:top w:w="60" w:type="dxa"/>
              <w:right w:w="90" w:type="dxa"/>
              <w:bottom w:w="60" w:type="dxa"/>
            </w:tcMar>
            <w:tcW w:w="3744"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Autenticación, emisión y renovación de credenciales, roles, bloqueo por intentos fallidos, segundo factor, límite de dispositivos.</w:t>
            </w:r>
            <w:r>
              <w:rPr>
                <w:color w:val="000000" w:themeColor="text1"/>
              </w:rPr>
            </w:r>
          </w:p>
        </w:tc>
        <w:tc>
          <w:tcPr>
            <w:shd w:val="clear" w:color="auto" w:fill="f2f5fa"/>
            <w:tcBorders/>
            <w:tcMar>
              <w:left w:w="90" w:type="dxa"/>
              <w:top w:w="60" w:type="dxa"/>
              <w:right w:w="90" w:type="dxa"/>
              <w:bottom w:w="60" w:type="dxa"/>
            </w:tcMar>
            <w:tcW w:w="1591"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SYS-FN-04 a 08</w:t>
            </w:r>
            <w:r>
              <w:rPr>
                <w:color w:val="000000" w:themeColor="text1"/>
              </w:rPr>
            </w:r>
          </w:p>
        </w:tc>
        <w:tc>
          <w:tcPr>
            <w:shd w:val="clear" w:color="auto" w:fill="f2f5fa"/>
            <w:tcBorders/>
            <w:tcMar>
              <w:left w:w="90" w:type="dxa"/>
              <w:top w:w="60" w:type="dxa"/>
              <w:right w:w="90" w:type="dxa"/>
              <w:bottom w:w="60" w:type="dxa"/>
            </w:tcMar>
            <w:tcW w:w="2153"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Transversal: todos los módulos</w:t>
            </w:r>
            <w:r>
              <w:rPr>
                <w:color w:val="000000" w:themeColor="text1"/>
              </w:rPr>
            </w:r>
          </w:p>
        </w:tc>
      </w:tr>
      <w:tr>
        <w:trPr>
          <w:cantSplit w:val="false"/>
        </w:trPr>
        <w:tc>
          <w:tcPr>
            <w:shd w:val="clear" w:color="auto" w:fill="ffffff"/>
            <w:tcBorders/>
            <w:tcMar>
              <w:left w:w="90" w:type="dxa"/>
              <w:top w:w="60" w:type="dxa"/>
              <w:right w:w="90" w:type="dxa"/>
              <w:bottom w:w="60" w:type="dxa"/>
            </w:tcMar>
            <w:tcW w:w="1872"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M3 Demandas y consolidación</w:t>
            </w:r>
            <w:r>
              <w:rPr>
                <w:color w:val="000000" w:themeColor="text1"/>
              </w:rPr>
            </w:r>
          </w:p>
        </w:tc>
        <w:tc>
          <w:tcPr>
            <w:shd w:val="clear" w:color="auto" w:fill="ffffff"/>
            <w:tcBorders/>
            <w:tcMar>
              <w:left w:w="90" w:type="dxa"/>
              <w:top w:w="60" w:type="dxa"/>
              <w:right w:w="90" w:type="dxa"/>
              <w:bottom w:w="60" w:type="dxa"/>
            </w:tcMar>
            <w:tcW w:w="3744"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Publicación de bloques, plantillas reutilizables, motor de agrupación regional, expiración y renovación.</w:t>
            </w:r>
            <w:r>
              <w:rPr>
                <w:color w:val="000000" w:themeColor="text1"/>
              </w:rPr>
            </w:r>
          </w:p>
        </w:tc>
        <w:tc>
          <w:tcPr>
            <w:shd w:val="clear" w:color="auto" w:fill="ffffff"/>
            <w:tcBorders/>
            <w:tcMar>
              <w:left w:w="90" w:type="dxa"/>
              <w:top w:w="60" w:type="dxa"/>
              <w:right w:w="90" w:type="dxa"/>
              <w:bottom w:w="60" w:type="dxa"/>
            </w:tcMar>
            <w:tcW w:w="1591"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SYS-FN-09 a 13</w:t>
            </w:r>
            <w:r>
              <w:rPr>
                <w:color w:val="000000" w:themeColor="text1"/>
              </w:rPr>
            </w:r>
          </w:p>
        </w:tc>
        <w:tc>
          <w:tcPr>
            <w:shd w:val="clear" w:color="auto" w:fill="ffffff"/>
            <w:tcBorders/>
            <w:tcMar>
              <w:left w:w="90" w:type="dxa"/>
              <w:top w:w="60" w:type="dxa"/>
              <w:right w:w="90" w:type="dxa"/>
              <w:bottom w:w="60" w:type="dxa"/>
            </w:tcMar>
            <w:tcW w:w="2153"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M5, M6; publica eventos</w:t>
            </w:r>
            <w:r>
              <w:rPr>
                <w:color w:val="000000" w:themeColor="text1"/>
              </w:rPr>
            </w:r>
          </w:p>
        </w:tc>
      </w:tr>
      <w:tr>
        <w:trPr>
          <w:cantSplit w:val="false"/>
        </w:trPr>
        <w:tc>
          <w:tcPr>
            <w:shd w:val="clear" w:color="auto" w:fill="f2f5fa"/>
            <w:tcBorders/>
            <w:tcMar>
              <w:left w:w="90" w:type="dxa"/>
              <w:top w:w="60" w:type="dxa"/>
              <w:right w:w="90" w:type="dxa"/>
              <w:bottom w:w="60" w:type="dxa"/>
            </w:tcMar>
            <w:tcW w:w="1872"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M4 Ofertas e inventario</w:t>
            </w:r>
            <w:r>
              <w:rPr>
                <w:color w:val="000000" w:themeColor="text1"/>
              </w:rPr>
            </w:r>
          </w:p>
        </w:tc>
        <w:tc>
          <w:tcPr>
            <w:shd w:val="clear" w:color="auto" w:fill="f2f5fa"/>
            <w:tcBorders/>
            <w:tcMar>
              <w:left w:w="90" w:type="dxa"/>
              <w:top w:w="60" w:type="dxa"/>
              <w:right w:w="90" w:type="dxa"/>
              <w:bottom w:w="60" w:type="dxa"/>
            </w:tcMar>
            <w:tcW w:w="3744"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Publicación de excedentes agrícolas, congelamiento del 80 % y liberación automática a las 48 horas.</w:t>
            </w:r>
            <w:r>
              <w:rPr>
                <w:color w:val="000000" w:themeColor="text1"/>
              </w:rPr>
            </w:r>
          </w:p>
        </w:tc>
        <w:tc>
          <w:tcPr>
            <w:shd w:val="clear" w:color="auto" w:fill="f2f5fa"/>
            <w:tcBorders/>
            <w:tcMar>
              <w:left w:w="90" w:type="dxa"/>
              <w:top w:w="60" w:type="dxa"/>
              <w:right w:w="90" w:type="dxa"/>
              <w:bottom w:w="60" w:type="dxa"/>
            </w:tcMar>
            <w:tcW w:w="1591"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SYS-FN-14, 16, 17</w:t>
            </w:r>
            <w:r>
              <w:rPr>
                <w:color w:val="000000" w:themeColor="text1"/>
              </w:rPr>
            </w:r>
          </w:p>
        </w:tc>
        <w:tc>
          <w:tcPr>
            <w:shd w:val="clear" w:color="auto" w:fill="f2f5fa"/>
            <w:tcBorders/>
            <w:tcMar>
              <w:left w:w="90" w:type="dxa"/>
              <w:top w:w="60" w:type="dxa"/>
              <w:right w:w="90" w:type="dxa"/>
              <w:bottom w:w="60" w:type="dxa"/>
            </w:tcMar>
            <w:tcW w:w="2153"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M5, M6; publica eventos</w:t>
            </w:r>
            <w:r>
              <w:rPr>
                <w:color w:val="000000" w:themeColor="text1"/>
              </w:rPr>
            </w:r>
          </w:p>
        </w:tc>
      </w:tr>
      <w:tr>
        <w:trPr>
          <w:cantSplit w:val="false"/>
        </w:trPr>
        <w:tc>
          <w:tcPr>
            <w:shd w:val="clear" w:color="auto" w:fill="ffffff"/>
            <w:tcBorders/>
            <w:tcMar>
              <w:left w:w="90" w:type="dxa"/>
              <w:top w:w="60" w:type="dxa"/>
              <w:right w:w="90" w:type="dxa"/>
              <w:bottom w:w="60" w:type="dxa"/>
            </w:tcMar>
            <w:tcW w:w="1872"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M5 Búsqueda y filtrado</w:t>
            </w:r>
            <w:r>
              <w:rPr>
                <w:color w:val="000000" w:themeColor="text1"/>
              </w:rPr>
            </w:r>
          </w:p>
        </w:tc>
        <w:tc>
          <w:tcPr>
            <w:shd w:val="clear" w:color="auto" w:fill="ffffff"/>
            <w:tcBorders/>
            <w:tcMar>
              <w:left w:w="90" w:type="dxa"/>
              <w:top w:w="60" w:type="dxa"/>
              <w:right w:w="90" w:type="dxa"/>
              <w:bottom w:w="60" w:type="dxa"/>
            </w:tcMar>
            <w:tcW w:w="3744"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Filtrado multicriterio combinado sobre demandas y ofertas activas. Opera exclusivamente en lectura sobre la réplica.</w:t>
            </w:r>
            <w:r>
              <w:rPr>
                <w:color w:val="000000" w:themeColor="text1"/>
              </w:rPr>
            </w:r>
          </w:p>
        </w:tc>
        <w:tc>
          <w:tcPr>
            <w:shd w:val="clear" w:color="auto" w:fill="ffffff"/>
            <w:tcBorders/>
            <w:tcMar>
              <w:left w:w="90" w:type="dxa"/>
              <w:top w:w="60" w:type="dxa"/>
              <w:right w:w="90" w:type="dxa"/>
              <w:bottom w:w="60" w:type="dxa"/>
            </w:tcMar>
            <w:tcW w:w="1591"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SYS-FN-15</w:t>
            </w:r>
            <w:r>
              <w:rPr>
                <w:color w:val="000000" w:themeColor="text1"/>
              </w:rPr>
            </w:r>
          </w:p>
        </w:tc>
        <w:tc>
          <w:tcPr>
            <w:shd w:val="clear" w:color="auto" w:fill="ffffff"/>
            <w:tcBorders/>
            <w:tcMar>
              <w:left w:w="90" w:type="dxa"/>
              <w:top w:w="60" w:type="dxa"/>
              <w:right w:w="90" w:type="dxa"/>
              <w:bottom w:w="60" w:type="dxa"/>
            </w:tcMar>
            <w:tcW w:w="2153"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Lee proyecciones de M3 y M4</w:t>
            </w:r>
            <w:r>
              <w:rPr>
                <w:color w:val="000000" w:themeColor="text1"/>
              </w:rPr>
            </w:r>
          </w:p>
        </w:tc>
      </w:tr>
      <w:tr>
        <w:trPr>
          <w:cantSplit w:val="false"/>
        </w:trPr>
        <w:tc>
          <w:tcPr>
            <w:shd w:val="clear" w:color="auto" w:fill="f2f5fa"/>
            <w:tcBorders/>
            <w:tcMar>
              <w:left w:w="90" w:type="dxa"/>
              <w:top w:w="60" w:type="dxa"/>
              <w:right w:w="90" w:type="dxa"/>
              <w:bottom w:w="60" w:type="dxa"/>
            </w:tcMar>
            <w:tcW w:w="1872"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M6 Cotizaciones y negociación</w:t>
            </w:r>
            <w:r>
              <w:rPr>
                <w:color w:val="000000" w:themeColor="text1"/>
              </w:rPr>
            </w:r>
          </w:p>
        </w:tc>
        <w:tc>
          <w:tcPr>
            <w:shd w:val="clear" w:color="auto" w:fill="f2f5fa"/>
            <w:tcBorders/>
            <w:tcMar>
              <w:left w:w="90" w:type="dxa"/>
              <w:top w:w="60" w:type="dxa"/>
              <w:right w:w="90" w:type="dxa"/>
              <w:bottom w:w="60" w:type="dxa"/>
            </w:tcMar>
            <w:tcW w:w="3744"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Emisión de cotizaciones, aceptación y rechazo, contra-oferta con máximo de tres rondas, histograma de precios.</w:t>
            </w:r>
            <w:r>
              <w:rPr>
                <w:color w:val="000000" w:themeColor="text1"/>
              </w:rPr>
            </w:r>
          </w:p>
        </w:tc>
        <w:tc>
          <w:tcPr>
            <w:shd w:val="clear" w:color="auto" w:fill="f2f5fa"/>
            <w:tcBorders/>
            <w:tcMar>
              <w:left w:w="90" w:type="dxa"/>
              <w:top w:w="60" w:type="dxa"/>
              <w:right w:w="90" w:type="dxa"/>
              <w:bottom w:w="60" w:type="dxa"/>
            </w:tcMar>
            <w:tcW w:w="1591"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SYS-FN-18 a 21</w:t>
            </w:r>
            <w:r>
              <w:rPr>
                <w:color w:val="000000" w:themeColor="text1"/>
              </w:rPr>
            </w:r>
          </w:p>
        </w:tc>
        <w:tc>
          <w:tcPr>
            <w:shd w:val="clear" w:color="auto" w:fill="f2f5fa"/>
            <w:tcBorders/>
            <w:tcMar>
              <w:left w:w="90" w:type="dxa"/>
              <w:top w:w="60" w:type="dxa"/>
              <w:right w:w="90" w:type="dxa"/>
              <w:bottom w:w="60" w:type="dxa"/>
            </w:tcMar>
            <w:tcW w:w="2153"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M3, M4, M7, M8; publica eventos</w:t>
            </w:r>
            <w:r>
              <w:rPr>
                <w:color w:val="000000" w:themeColor="text1"/>
              </w:rPr>
            </w:r>
          </w:p>
        </w:tc>
      </w:tr>
      <w:tr>
        <w:trPr>
          <w:cantSplit w:val="false"/>
        </w:trPr>
        <w:tc>
          <w:tcPr>
            <w:shd w:val="clear" w:color="auto" w:fill="ffffff"/>
            <w:tcBorders/>
            <w:tcMar>
              <w:left w:w="90" w:type="dxa"/>
              <w:top w:w="60" w:type="dxa"/>
              <w:right w:w="90" w:type="dxa"/>
              <w:bottom w:w="60" w:type="dxa"/>
            </w:tcMar>
            <w:tcW w:w="1872"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M7 Chat y alertas</w:t>
            </w:r>
            <w:r>
              <w:rPr>
                <w:color w:val="000000" w:themeColor="text1"/>
              </w:rPr>
            </w:r>
          </w:p>
        </w:tc>
        <w:tc>
          <w:tcPr>
            <w:shd w:val="clear" w:color="auto" w:fill="ffffff"/>
            <w:tcBorders/>
            <w:tcMar>
              <w:left w:w="90" w:type="dxa"/>
              <w:top w:w="60" w:type="dxa"/>
              <w:right w:w="90" w:type="dxa"/>
              <w:bottom w:w="60" w:type="dxa"/>
            </w:tcMar>
            <w:tcW w:w="3744"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Mensajería privada habilitada tras la aceptación, retención de doce meses, notificaciones externas y franja de silencio.</w:t>
            </w:r>
            <w:r>
              <w:rPr>
                <w:color w:val="000000" w:themeColor="text1"/>
              </w:rPr>
            </w:r>
          </w:p>
        </w:tc>
        <w:tc>
          <w:tcPr>
            <w:shd w:val="clear" w:color="auto" w:fill="ffffff"/>
            <w:tcBorders/>
            <w:tcMar>
              <w:left w:w="90" w:type="dxa"/>
              <w:top w:w="60" w:type="dxa"/>
              <w:right w:w="90" w:type="dxa"/>
              <w:bottom w:w="60" w:type="dxa"/>
            </w:tcMar>
            <w:tcW w:w="1591"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SYS-FN-22 a 26</w:t>
            </w:r>
            <w:r>
              <w:rPr>
                <w:color w:val="000000" w:themeColor="text1"/>
              </w:rPr>
            </w:r>
          </w:p>
        </w:tc>
        <w:tc>
          <w:tcPr>
            <w:shd w:val="clear" w:color="auto" w:fill="ffffff"/>
            <w:tcBorders/>
            <w:tcMar>
              <w:left w:w="90" w:type="dxa"/>
              <w:top w:w="60" w:type="dxa"/>
              <w:right w:w="90" w:type="dxa"/>
              <w:bottom w:w="60" w:type="dxa"/>
            </w:tcMar>
            <w:tcW w:w="2153"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Reacciona a eventos de M6</w:t>
            </w:r>
            <w:r>
              <w:rPr>
                <w:color w:val="000000" w:themeColor="text1"/>
              </w:rPr>
            </w:r>
          </w:p>
        </w:tc>
      </w:tr>
      <w:tr>
        <w:trPr>
          <w:cantSplit w:val="false"/>
        </w:trPr>
        <w:tc>
          <w:tcPr>
            <w:shd w:val="clear" w:color="auto" w:fill="f2f5fa"/>
            <w:tcBorders/>
            <w:tcMar>
              <w:left w:w="90" w:type="dxa"/>
              <w:top w:w="60" w:type="dxa"/>
              <w:right w:w="90" w:type="dxa"/>
              <w:bottom w:w="60" w:type="dxa"/>
            </w:tcMar>
            <w:tcW w:w="1872"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M8 Reputación y logística</w:t>
            </w:r>
            <w:r>
              <w:rPr>
                <w:color w:val="000000" w:themeColor="text1"/>
              </w:rPr>
            </w:r>
          </w:p>
        </w:tc>
        <w:tc>
          <w:tcPr>
            <w:shd w:val="clear" w:color="auto" w:fill="f2f5fa"/>
            <w:tcBorders/>
            <w:tcMar>
              <w:left w:w="90" w:type="dxa"/>
              <w:top w:w="60" w:type="dxa"/>
              <w:right w:w="90" w:type="dxa"/>
              <w:bottom w:w="60" w:type="dxa"/>
            </w:tcMar>
            <w:tcW w:w="3744"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Evaluación bidireccional, promedio público, insignias, código QR de entrega, suspensión durante disputa.</w:t>
            </w:r>
            <w:r>
              <w:rPr>
                <w:color w:val="000000" w:themeColor="text1"/>
              </w:rPr>
            </w:r>
          </w:p>
        </w:tc>
        <w:tc>
          <w:tcPr>
            <w:shd w:val="clear" w:color="auto" w:fill="f2f5fa"/>
            <w:tcBorders/>
            <w:tcMar>
              <w:left w:w="90" w:type="dxa"/>
              <w:top w:w="60" w:type="dxa"/>
              <w:right w:w="90" w:type="dxa"/>
              <w:bottom w:w="60" w:type="dxa"/>
            </w:tcMar>
            <w:tcW w:w="1591"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SYS-FN-27 a 30</w:t>
            </w:r>
            <w:r>
              <w:rPr>
                <w:color w:val="000000" w:themeColor="text1"/>
              </w:rPr>
            </w:r>
          </w:p>
        </w:tc>
        <w:tc>
          <w:tcPr>
            <w:shd w:val="clear" w:color="auto" w:fill="f2f5fa"/>
            <w:tcBorders/>
            <w:tcMar>
              <w:left w:w="90" w:type="dxa"/>
              <w:top w:w="60" w:type="dxa"/>
              <w:right w:w="90" w:type="dxa"/>
              <w:bottom w:w="60" w:type="dxa"/>
            </w:tcMar>
            <w:tcW w:w="2153"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Reacciona a eventos de M6 y M9</w:t>
            </w:r>
            <w:r>
              <w:rPr>
                <w:color w:val="000000" w:themeColor="text1"/>
              </w:rPr>
            </w:r>
          </w:p>
        </w:tc>
      </w:tr>
      <w:tr>
        <w:trPr>
          <w:cantSplit w:val="false"/>
        </w:trPr>
        <w:tc>
          <w:tcPr>
            <w:shd w:val="clear" w:color="auto" w:fill="ffffff"/>
            <w:tcBorders/>
            <w:tcMar>
              <w:left w:w="90" w:type="dxa"/>
              <w:top w:w="60" w:type="dxa"/>
              <w:right w:w="90" w:type="dxa"/>
              <w:bottom w:w="60" w:type="dxa"/>
            </w:tcMar>
            <w:tcW w:w="1872"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M9 Administración, soporte y auditoría</w:t>
            </w:r>
            <w:r>
              <w:rPr>
                <w:color w:val="000000" w:themeColor="text1"/>
              </w:rPr>
            </w:r>
          </w:p>
        </w:tc>
        <w:tc>
          <w:tcPr>
            <w:shd w:val="clear" w:color="auto" w:fill="ffffff"/>
            <w:tcBorders/>
            <w:tcMar>
              <w:left w:w="90" w:type="dxa"/>
              <w:top w:w="60" w:type="dxa"/>
              <w:right w:w="90" w:type="dxa"/>
              <w:bottom w:w="60" w:type="dxa"/>
            </w:tcMar>
            <w:tcW w:w="3744"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Panel administrativo, tablero de indicadores, tickets con escalamiento, exportaciones, bitácora inmutable, consentimiento y borrado.</w:t>
            </w:r>
            <w:r>
              <w:rPr>
                <w:color w:val="000000" w:themeColor="text1"/>
              </w:rPr>
            </w:r>
          </w:p>
        </w:tc>
        <w:tc>
          <w:tcPr>
            <w:shd w:val="clear" w:color="auto" w:fill="ffffff"/>
            <w:tcBorders/>
            <w:tcMar>
              <w:left w:w="90" w:type="dxa"/>
              <w:top w:w="60" w:type="dxa"/>
              <w:right w:w="90" w:type="dxa"/>
              <w:bottom w:w="60" w:type="dxa"/>
            </w:tcMar>
            <w:tcW w:w="1591"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SYS-FN-31 a 37</w:t>
            </w:r>
            <w:r>
              <w:rPr>
                <w:color w:val="000000" w:themeColor="text1"/>
              </w:rPr>
            </w:r>
          </w:p>
        </w:tc>
        <w:tc>
          <w:tcPr>
            <w:shd w:val="clear" w:color="auto" w:fill="ffffff"/>
            <w:tcBorders/>
            <w:tcMar>
              <w:left w:w="90" w:type="dxa"/>
              <w:top w:w="60" w:type="dxa"/>
              <w:right w:w="90" w:type="dxa"/>
              <w:bottom w:w="60" w:type="dxa"/>
            </w:tcMar>
            <w:tcW w:w="2153"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Observa eventos de todos los módulos</w:t>
            </w:r>
            <w:r>
              <w:rPr>
                <w:color w:val="000000" w:themeColor="text1"/>
              </w:rPr>
            </w:r>
          </w:p>
        </w:tc>
      </w:tr>
    </w:tbl>
    <w:p w14:paraId="6132326D">
      <w:pPr>
        <w:pBdr/>
        <w:spacing w:after="160"/>
        <w:ind/>
        <w:rPr>
          <w:color w:val="000000" w:themeColor="text1"/>
        </w:rPr>
      </w:pPr>
      <w:r>
        <w:rPr>
          <w:color w:val="000000" w:themeColor="text1"/>
          <w:lang w:val="es-ES"/>
        </w:rPr>
      </w:r>
      <w:r>
        <w:rPr>
          <w:color w:val="000000" w:themeColor="text1"/>
        </w:rPr>
      </w:r>
    </w:p>
    <w:p>
      <w:pPr>
        <w:pBdr/>
        <w:spacing w:after="160"/>
        <w:ind/>
        <w:rPr>
          <w:color w:val="000000" w:themeColor="text1"/>
        </w:rPr>
      </w:pPr>
      <w:r>
        <w:rPr>
          <w:color w:val="000000" w:themeColor="text1"/>
          <w:lang w:val="es-ES"/>
        </w:rPr>
      </w:r>
      <w:r>
        <w:rPr>
          <w:b/>
          <w:bCs/>
          <w:color w:val="000000" w:themeColor="text1"/>
          <w:lang w:val="es-ES"/>
        </w:rPr>
        <w:t xml:space="preserve">Nota sobre SYS-FN-03.</w:t>
      </w:r>
      <w:r>
        <w:rPr>
          <w:color w:val="000000" w:themeColor="text1"/>
          <w:lang w:val="es-ES"/>
        </w:rPr>
        <w:t xml:space="preserve"> El catálogo de requisitos clasifica SYS-FN-03 —aprobación o rechazo de solicitudes de cuenta comercial— dentro del módulo Administración, porque la acción la ejecuta el Administrador de la plataforma. Arquitectónicamente se aloja en M1 y no en M9, porque constituye la transición final de la máquina de estados de la cuenta comercial, cuya invariante pertenece al dominio de usuarios. M9 conserva la exposición de la operación en el panel administrativo y el asiento correspondiente en la bitácora. La divergencia se registra aquí de forma explícita para que la trazabilidad entre ambos documentos permanezca verificable.</w:t>
      </w:r>
      <w:r>
        <w:rPr>
          <w:color w:val="000000" w:themeColor="text1"/>
        </w:rPr>
      </w:r>
    </w:p>
    <w:p>
      <w:pPr>
        <w:pBdr/>
        <w:spacing w:after="140" w:line="276" w:lineRule="auto"/>
        <w:ind/>
        <w:jc w:val="both"/>
        <w:rPr>
          <w:color w:val="000000" w:themeColor="text1"/>
        </w:rPr>
      </w:pPr>
      <w:r>
        <w:rPr>
          <w:rFonts w:ascii="Calibri" w:hAnsi="Calibri" w:eastAsia="Calibri" w:cs="Calibri"/>
          <w:color w:val="000000" w:themeColor="text1"/>
          <w:sz w:val="21"/>
          <w:szCs w:val="21"/>
          <w:lang w:val="es-ES"/>
        </w:rPr>
        <w:t xml:space="preserve">La comunicación entre módulos sigue dos modos deliberadamente distintos. Cuando la operación forma parte de la respuesta que el usuario aguarda —por ejemplo, verificar que un bloque de demanda sigue vigente antes de admitir una cotización— la llamada es directa y síncrona a través de la interfaz pública del módulo destino. Cuando el efecto puede diferirse —notificar, recalcular reputación, registrar auditoría secundaria— se publica un evento de dominio conforme a PA-03. Este criterio evita tanto el acoplamiento innecesario como la complejidad de hacer asíncrono lo que debe ser inmediato.</w:t>
      </w:r>
      <w:r>
        <w:rPr>
          <w:color w:val="000000" w:themeColor="text1"/>
        </w:rPr>
      </w:r>
    </w:p>
    <w:p>
      <w:pPr>
        <w:pBdr/>
        <w:spacing w:after="140" w:line="276" w:lineRule="auto"/>
        <w:ind/>
        <w:jc w:val="both"/>
        <w:rPr>
          <w:color w:val="000000" w:themeColor="text1"/>
        </w:rPr>
      </w:pPr>
      <w:r>
        <w:rPr>
          <w:rFonts w:ascii="Calibri" w:hAnsi="Calibri" w:eastAsia="Calibri" w:cs="Calibri"/>
          <w:color w:val="000000" w:themeColor="text1"/>
          <w:sz w:val="21"/>
          <w:szCs w:val="21"/>
          <w:lang w:val="es-ES"/>
        </w:rPr>
        <w:t xml:space="preserve">El catálogo de recursos REST se organiza por módulo y sigue una convención uniforme, conforme al estilo que el SWEBOK clasifica dentro de los sistemas distribuidos: recursos identificados por URI, operaciones expresadas mediante los verbos HTTP estándar y ausencia de estado de sesión en el servidor.</w:t>
      </w:r>
      <w:r>
        <w:rPr>
          <w:color w:val="000000" w:themeColor="text1"/>
        </w:rPr>
      </w:r>
    </w:p>
    <w:tbl>
      <w:tblPr>
        <w:tblW w:w="9360" w:type="dxa"/>
        <w:tblBorders>
          <w:top w:val="single" w:color="8ea9db" w:sz="4" w:space="0"/>
          <w:left w:val="single" w:color="8ea9db" w:sz="4" w:space="0"/>
          <w:bottom w:val="single" w:color="8ea9db" w:sz="4" w:space="0"/>
          <w:right w:val="single" w:color="8ea9db" w:sz="4" w:space="0"/>
          <w:insideH w:val="single" w:color="b4c6e7" w:sz="2" w:space="0"/>
          <w:insideV w:val="single" w:color="b4c6e7" w:sz="2" w:space="0"/>
        </w:tblBorders>
        <w:tblLook w:val="04A0" w:firstRow="1" w:lastRow="0" w:firstColumn="1" w:lastColumn="0" w:noHBand="0" w:noVBand="1"/>
      </w:tblPr>
      <w:tblGrid>
        <w:gridCol w:w="2246"/>
        <w:gridCol w:w="3744"/>
        <w:gridCol w:w="1310"/>
        <w:gridCol w:w="2059"/>
      </w:tblGrid>
      <w:tr>
        <w:trPr>
          <w:cantSplit w:val="false"/>
          <w:tblHeader/>
        </w:trPr>
        <w:tc>
          <w:tcPr>
            <w:shd w:val="clear" w:color="auto" w:fill="d9e2f3"/>
            <w:tcBorders/>
            <w:tcMar>
              <w:left w:w="90" w:type="dxa"/>
              <w:top w:w="60" w:type="dxa"/>
              <w:right w:w="90" w:type="dxa"/>
              <w:bottom w:w="60" w:type="dxa"/>
            </w:tcMar>
            <w:tcW w:w="2246"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Recurso</w:t>
            </w:r>
            <w:r>
              <w:rPr>
                <w:color w:val="000000" w:themeColor="text1"/>
              </w:rPr>
            </w:r>
          </w:p>
        </w:tc>
        <w:tc>
          <w:tcPr>
            <w:shd w:val="clear" w:color="auto" w:fill="d9e2f3"/>
            <w:tcBorders/>
            <w:tcMar>
              <w:left w:w="90" w:type="dxa"/>
              <w:top w:w="60" w:type="dxa"/>
              <w:right w:w="90" w:type="dxa"/>
              <w:bottom w:w="60" w:type="dxa"/>
            </w:tcMar>
            <w:tcW w:w="3744"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Operaciones expuestas</w:t>
            </w:r>
            <w:r>
              <w:rPr>
                <w:color w:val="000000" w:themeColor="text1"/>
              </w:rPr>
            </w:r>
          </w:p>
        </w:tc>
        <w:tc>
          <w:tcPr>
            <w:shd w:val="clear" w:color="auto" w:fill="d9e2f3"/>
            <w:tcBorders/>
            <w:tcMar>
              <w:left w:w="90" w:type="dxa"/>
              <w:top w:w="60" w:type="dxa"/>
              <w:right w:w="90" w:type="dxa"/>
              <w:bottom w:w="60" w:type="dxa"/>
            </w:tcMar>
            <w:tcW w:w="1310"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Módulo responsable</w:t>
            </w:r>
            <w:r>
              <w:rPr>
                <w:color w:val="000000" w:themeColor="text1"/>
              </w:rPr>
            </w:r>
          </w:p>
        </w:tc>
        <w:tc>
          <w:tcPr>
            <w:shd w:val="clear" w:color="auto" w:fill="d9e2f3"/>
            <w:tcBorders/>
            <w:tcMar>
              <w:left w:w="90" w:type="dxa"/>
              <w:top w:w="60" w:type="dxa"/>
              <w:right w:w="90" w:type="dxa"/>
              <w:bottom w:w="60" w:type="dxa"/>
            </w:tcMar>
            <w:tcW w:w="2059"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Rol autorizado</w:t>
            </w:r>
            <w:r>
              <w:rPr>
                <w:color w:val="000000" w:themeColor="text1"/>
              </w:rPr>
            </w:r>
          </w:p>
        </w:tc>
      </w:tr>
      <w:tr>
        <w:trPr>
          <w:cantSplit w:val="false"/>
        </w:trPr>
        <w:tc>
          <w:tcPr>
            <w:shd w:val="clear" w:color="auto" w:fill="ffffff"/>
            <w:tcBorders/>
            <w:tcMar>
              <w:left w:w="90" w:type="dxa"/>
              <w:top w:w="60" w:type="dxa"/>
              <w:right w:w="90" w:type="dxa"/>
              <w:bottom w:w="60" w:type="dxa"/>
            </w:tcMar>
            <w:tcW w:w="2246"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/api/v1/cuentas</w:t>
            </w:r>
            <w:r>
              <w:rPr>
                <w:color w:val="000000" w:themeColor="text1"/>
              </w:rPr>
            </w:r>
          </w:p>
        </w:tc>
        <w:tc>
          <w:tcPr>
            <w:shd w:val="clear" w:color="auto" w:fill="ffffff"/>
            <w:tcBorders/>
            <w:tcMar>
              <w:left w:w="90" w:type="dxa"/>
              <w:top w:w="60" w:type="dxa"/>
              <w:right w:w="90" w:type="dxa"/>
              <w:bottom w:w="60" w:type="dxa"/>
            </w:tcMar>
            <w:tcW w:w="3744"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POST crear · GET consultar · PATCH validar</w:t>
            </w:r>
            <w:r>
              <w:rPr>
                <w:color w:val="000000" w:themeColor="text1"/>
              </w:rPr>
            </w:r>
          </w:p>
        </w:tc>
        <w:tc>
          <w:tcPr>
            <w:shd w:val="clear" w:color="auto" w:fill="ffffff"/>
            <w:tcBorders/>
            <w:tcMar>
              <w:left w:w="90" w:type="dxa"/>
              <w:top w:w="60" w:type="dxa"/>
              <w:right w:w="90" w:type="dxa"/>
              <w:bottom w:w="60" w:type="dxa"/>
            </w:tcMar>
            <w:tcW w:w="1310"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M1</w:t>
            </w:r>
            <w:r>
              <w:rPr>
                <w:color w:val="000000" w:themeColor="text1"/>
              </w:rPr>
            </w:r>
          </w:p>
        </w:tc>
        <w:tc>
          <w:tcPr>
            <w:shd w:val="clear" w:color="auto" w:fill="ffffff"/>
            <w:tcBorders/>
            <w:tcMar>
              <w:left w:w="90" w:type="dxa"/>
              <w:top w:w="60" w:type="dxa"/>
              <w:right w:w="90" w:type="dxa"/>
              <w:bottom w:w="60" w:type="dxa"/>
            </w:tcMar>
            <w:tcW w:w="2059"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Público (crear) / Administrador (validar)</w:t>
            </w:r>
            <w:r>
              <w:rPr>
                <w:color w:val="000000" w:themeColor="text1"/>
              </w:rPr>
            </w:r>
          </w:p>
        </w:tc>
      </w:tr>
      <w:tr>
        <w:trPr>
          <w:cantSplit w:val="false"/>
        </w:trPr>
        <w:tc>
          <w:tcPr>
            <w:shd w:val="clear" w:color="auto" w:fill="f2f5fa"/>
            <w:tcBorders/>
            <w:tcMar>
              <w:left w:w="90" w:type="dxa"/>
              <w:top w:w="60" w:type="dxa"/>
              <w:right w:w="90" w:type="dxa"/>
              <w:bottom w:w="60" w:type="dxa"/>
            </w:tcMar>
            <w:tcW w:w="2246"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/api/v1/sesiones</w:t>
            </w:r>
            <w:r>
              <w:rPr>
                <w:color w:val="000000" w:themeColor="text1"/>
              </w:rPr>
            </w:r>
          </w:p>
        </w:tc>
        <w:tc>
          <w:tcPr>
            <w:shd w:val="clear" w:color="auto" w:fill="f2f5fa"/>
            <w:tcBorders/>
            <w:tcMar>
              <w:left w:w="90" w:type="dxa"/>
              <w:top w:w="60" w:type="dxa"/>
              <w:right w:w="90" w:type="dxa"/>
              <w:bottom w:w="60" w:type="dxa"/>
            </w:tcMar>
            <w:tcW w:w="3744"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POST iniciar · DELETE cerrar · POST renovar</w:t>
            </w:r>
            <w:r>
              <w:rPr>
                <w:color w:val="000000" w:themeColor="text1"/>
              </w:rPr>
            </w:r>
          </w:p>
        </w:tc>
        <w:tc>
          <w:tcPr>
            <w:shd w:val="clear" w:color="auto" w:fill="f2f5fa"/>
            <w:tcBorders/>
            <w:tcMar>
              <w:left w:w="90" w:type="dxa"/>
              <w:top w:w="60" w:type="dxa"/>
              <w:right w:w="90" w:type="dxa"/>
              <w:bottom w:w="60" w:type="dxa"/>
            </w:tcMar>
            <w:tcW w:w="1310"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M2</w:t>
            </w:r>
            <w:r>
              <w:rPr>
                <w:color w:val="000000" w:themeColor="text1"/>
              </w:rPr>
            </w:r>
          </w:p>
        </w:tc>
        <w:tc>
          <w:tcPr>
            <w:shd w:val="clear" w:color="auto" w:fill="f2f5fa"/>
            <w:tcBorders/>
            <w:tcMar>
              <w:left w:w="90" w:type="dxa"/>
              <w:top w:w="60" w:type="dxa"/>
              <w:right w:w="90" w:type="dxa"/>
              <w:bottom w:w="60" w:type="dxa"/>
            </w:tcMar>
            <w:tcW w:w="2059"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Público</w:t>
            </w:r>
            <w:r>
              <w:rPr>
                <w:color w:val="000000" w:themeColor="text1"/>
              </w:rPr>
            </w:r>
          </w:p>
        </w:tc>
      </w:tr>
      <w:tr>
        <w:trPr>
          <w:cantSplit w:val="false"/>
        </w:trPr>
        <w:tc>
          <w:tcPr>
            <w:shd w:val="clear" w:color="auto" w:fill="ffffff"/>
            <w:tcBorders/>
            <w:tcMar>
              <w:left w:w="90" w:type="dxa"/>
              <w:top w:w="60" w:type="dxa"/>
              <w:right w:w="90" w:type="dxa"/>
              <w:bottom w:w="60" w:type="dxa"/>
            </w:tcMar>
            <w:tcW w:w="2246"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/api/v1/demandas</w:t>
            </w:r>
            <w:r>
              <w:rPr>
                <w:color w:val="000000" w:themeColor="text1"/>
              </w:rPr>
            </w:r>
          </w:p>
        </w:tc>
        <w:tc>
          <w:tcPr>
            <w:shd w:val="clear" w:color="auto" w:fill="ffffff"/>
            <w:tcBorders/>
            <w:tcMar>
              <w:left w:w="90" w:type="dxa"/>
              <w:top w:w="60" w:type="dxa"/>
              <w:right w:w="90" w:type="dxa"/>
              <w:bottom w:w="60" w:type="dxa"/>
            </w:tcMar>
            <w:tcW w:w="3744"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POST publicar · GET listar · PATCH actualizar · DELETE retirar</w:t>
            </w:r>
            <w:r>
              <w:rPr>
                <w:color w:val="000000" w:themeColor="text1"/>
              </w:rPr>
            </w:r>
          </w:p>
        </w:tc>
        <w:tc>
          <w:tcPr>
            <w:shd w:val="clear" w:color="auto" w:fill="ffffff"/>
            <w:tcBorders/>
            <w:tcMar>
              <w:left w:w="90" w:type="dxa"/>
              <w:top w:w="60" w:type="dxa"/>
              <w:right w:w="90" w:type="dxa"/>
              <w:bottom w:w="60" w:type="dxa"/>
            </w:tcMar>
            <w:tcW w:w="1310"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M3</w:t>
            </w:r>
            <w:r>
              <w:rPr>
                <w:color w:val="000000" w:themeColor="text1"/>
              </w:rPr>
            </w:r>
          </w:p>
        </w:tc>
        <w:tc>
          <w:tcPr>
            <w:shd w:val="clear" w:color="auto" w:fill="ffffff"/>
            <w:tcBorders/>
            <w:tcMar>
              <w:left w:w="90" w:type="dxa"/>
              <w:top w:w="60" w:type="dxa"/>
              <w:right w:w="90" w:type="dxa"/>
              <w:bottom w:w="60" w:type="dxa"/>
            </w:tcMar>
            <w:tcW w:w="2059"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Comprador</w:t>
            </w:r>
            <w:r>
              <w:rPr>
                <w:color w:val="000000" w:themeColor="text1"/>
              </w:rPr>
            </w:r>
          </w:p>
        </w:tc>
      </w:tr>
      <w:tr>
        <w:trPr>
          <w:cantSplit w:val="false"/>
        </w:trPr>
        <w:tc>
          <w:tcPr>
            <w:shd w:val="clear" w:color="auto" w:fill="f2f5fa"/>
            <w:tcBorders/>
            <w:tcMar>
              <w:left w:w="90" w:type="dxa"/>
              <w:top w:w="60" w:type="dxa"/>
              <w:right w:w="90" w:type="dxa"/>
              <w:bottom w:w="60" w:type="dxa"/>
            </w:tcMar>
            <w:tcW w:w="2246"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/api/v1/bloques</w:t>
            </w:r>
            <w:r>
              <w:rPr>
                <w:color w:val="000000" w:themeColor="text1"/>
              </w:rPr>
            </w:r>
          </w:p>
        </w:tc>
        <w:tc>
          <w:tcPr>
            <w:shd w:val="clear" w:color="auto" w:fill="f2f5fa"/>
            <w:tcBorders/>
            <w:tcMar>
              <w:left w:w="90" w:type="dxa"/>
              <w:top w:w="60" w:type="dxa"/>
              <w:right w:w="90" w:type="dxa"/>
              <w:bottom w:w="60" w:type="dxa"/>
            </w:tcMar>
            <w:tcW w:w="3744"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GET consultar bloque consolidado</w:t>
            </w:r>
            <w:r>
              <w:rPr>
                <w:color w:val="000000" w:themeColor="text1"/>
              </w:rPr>
            </w:r>
          </w:p>
        </w:tc>
        <w:tc>
          <w:tcPr>
            <w:shd w:val="clear" w:color="auto" w:fill="f2f5fa"/>
            <w:tcBorders/>
            <w:tcMar>
              <w:left w:w="90" w:type="dxa"/>
              <w:top w:w="60" w:type="dxa"/>
              <w:right w:w="90" w:type="dxa"/>
              <w:bottom w:w="60" w:type="dxa"/>
            </w:tcMar>
            <w:tcW w:w="1310"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M3</w:t>
            </w:r>
            <w:r>
              <w:rPr>
                <w:color w:val="000000" w:themeColor="text1"/>
              </w:rPr>
            </w:r>
          </w:p>
        </w:tc>
        <w:tc>
          <w:tcPr>
            <w:shd w:val="clear" w:color="auto" w:fill="f2f5fa"/>
            <w:tcBorders/>
            <w:tcMar>
              <w:left w:w="90" w:type="dxa"/>
              <w:top w:w="60" w:type="dxa"/>
              <w:right w:w="90" w:type="dxa"/>
              <w:bottom w:w="60" w:type="dxa"/>
            </w:tcMar>
            <w:tcW w:w="2059"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Proveedor, Comprador</w:t>
            </w:r>
            <w:r>
              <w:rPr>
                <w:color w:val="000000" w:themeColor="text1"/>
              </w:rPr>
            </w:r>
          </w:p>
        </w:tc>
      </w:tr>
      <w:tr>
        <w:trPr>
          <w:cantSplit w:val="false"/>
        </w:trPr>
        <w:tc>
          <w:tcPr>
            <w:shd w:val="clear" w:color="auto" w:fill="ffffff"/>
            <w:tcBorders/>
            <w:tcMar>
              <w:left w:w="90" w:type="dxa"/>
              <w:top w:w="60" w:type="dxa"/>
              <w:right w:w="90" w:type="dxa"/>
              <w:bottom w:w="60" w:type="dxa"/>
            </w:tcMar>
            <w:tcW w:w="2246"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/api/v1/ofertas</w:t>
            </w:r>
            <w:r>
              <w:rPr>
                <w:color w:val="000000" w:themeColor="text1"/>
              </w:rPr>
            </w:r>
          </w:p>
        </w:tc>
        <w:tc>
          <w:tcPr>
            <w:shd w:val="clear" w:color="auto" w:fill="ffffff"/>
            <w:tcBorders/>
            <w:tcMar>
              <w:left w:w="90" w:type="dxa"/>
              <w:top w:w="60" w:type="dxa"/>
              <w:right w:w="90" w:type="dxa"/>
              <w:bottom w:w="60" w:type="dxa"/>
            </w:tcMar>
            <w:tcW w:w="3744"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POST publicar · GET listar · POST reservar</w:t>
            </w:r>
            <w:r>
              <w:rPr>
                <w:color w:val="000000" w:themeColor="text1"/>
              </w:rPr>
            </w:r>
          </w:p>
        </w:tc>
        <w:tc>
          <w:tcPr>
            <w:shd w:val="clear" w:color="auto" w:fill="ffffff"/>
            <w:tcBorders/>
            <w:tcMar>
              <w:left w:w="90" w:type="dxa"/>
              <w:top w:w="60" w:type="dxa"/>
              <w:right w:w="90" w:type="dxa"/>
              <w:bottom w:w="60" w:type="dxa"/>
            </w:tcMar>
            <w:tcW w:w="1310"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M4</w:t>
            </w:r>
            <w:r>
              <w:rPr>
                <w:color w:val="000000" w:themeColor="text1"/>
              </w:rPr>
            </w:r>
          </w:p>
        </w:tc>
        <w:tc>
          <w:tcPr>
            <w:shd w:val="clear" w:color="auto" w:fill="ffffff"/>
            <w:tcBorders/>
            <w:tcMar>
              <w:left w:w="90" w:type="dxa"/>
              <w:top w:w="60" w:type="dxa"/>
              <w:right w:w="90" w:type="dxa"/>
              <w:bottom w:w="60" w:type="dxa"/>
            </w:tcMar>
            <w:tcW w:w="2059"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Productor (publicar) / Comprador (reservar)</w:t>
            </w:r>
            <w:r>
              <w:rPr>
                <w:color w:val="000000" w:themeColor="text1"/>
              </w:rPr>
            </w:r>
          </w:p>
        </w:tc>
      </w:tr>
      <w:tr>
        <w:trPr>
          <w:cantSplit w:val="false"/>
        </w:trPr>
        <w:tc>
          <w:tcPr>
            <w:shd w:val="clear" w:color="auto" w:fill="f2f5fa"/>
            <w:tcBorders/>
            <w:tcMar>
              <w:left w:w="90" w:type="dxa"/>
              <w:top w:w="60" w:type="dxa"/>
              <w:right w:w="90" w:type="dxa"/>
              <w:bottom w:w="60" w:type="dxa"/>
            </w:tcMar>
            <w:tcW w:w="2246"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/api/v1/busqueda</w:t>
            </w:r>
            <w:r>
              <w:rPr>
                <w:color w:val="000000" w:themeColor="text1"/>
              </w:rPr>
            </w:r>
          </w:p>
        </w:tc>
        <w:tc>
          <w:tcPr>
            <w:shd w:val="clear" w:color="auto" w:fill="f2f5fa"/>
            <w:tcBorders/>
            <w:tcMar>
              <w:left w:w="90" w:type="dxa"/>
              <w:top w:w="60" w:type="dxa"/>
              <w:right w:w="90" w:type="dxa"/>
              <w:bottom w:w="60" w:type="dxa"/>
            </w:tcMar>
            <w:tcW w:w="3744"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GET filtrar por departamento, municipio, categoría y volumen</w:t>
            </w:r>
            <w:r>
              <w:rPr>
                <w:color w:val="000000" w:themeColor="text1"/>
              </w:rPr>
            </w:r>
          </w:p>
        </w:tc>
        <w:tc>
          <w:tcPr>
            <w:shd w:val="clear" w:color="auto" w:fill="f2f5fa"/>
            <w:tcBorders/>
            <w:tcMar>
              <w:left w:w="90" w:type="dxa"/>
              <w:top w:w="60" w:type="dxa"/>
              <w:right w:w="90" w:type="dxa"/>
              <w:bottom w:w="60" w:type="dxa"/>
            </w:tcMar>
            <w:tcW w:w="1310"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M5</w:t>
            </w:r>
            <w:r>
              <w:rPr>
                <w:color w:val="000000" w:themeColor="text1"/>
              </w:rPr>
            </w:r>
          </w:p>
        </w:tc>
        <w:tc>
          <w:tcPr>
            <w:shd w:val="clear" w:color="auto" w:fill="f2f5fa"/>
            <w:tcBorders/>
            <w:tcMar>
              <w:left w:w="90" w:type="dxa"/>
              <w:top w:w="60" w:type="dxa"/>
              <w:right w:w="90" w:type="dxa"/>
              <w:bottom w:w="60" w:type="dxa"/>
            </w:tcMar>
            <w:tcW w:w="2059"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Todos los roles autenticados</w:t>
            </w:r>
            <w:r>
              <w:rPr>
                <w:color w:val="000000" w:themeColor="text1"/>
              </w:rPr>
            </w:r>
          </w:p>
        </w:tc>
      </w:tr>
      <w:tr>
        <w:trPr>
          <w:cantSplit w:val="false"/>
        </w:trPr>
        <w:tc>
          <w:tcPr>
            <w:shd w:val="clear" w:color="auto" w:fill="ffffff"/>
            <w:tcBorders/>
            <w:tcMar>
              <w:left w:w="90" w:type="dxa"/>
              <w:top w:w="60" w:type="dxa"/>
              <w:right w:w="90" w:type="dxa"/>
              <w:bottom w:w="60" w:type="dxa"/>
            </w:tcMar>
            <w:tcW w:w="2246"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/api/v1/cotizaciones</w:t>
            </w:r>
            <w:r>
              <w:rPr>
                <w:color w:val="000000" w:themeColor="text1"/>
              </w:rPr>
            </w:r>
          </w:p>
        </w:tc>
        <w:tc>
          <w:tcPr>
            <w:shd w:val="clear" w:color="auto" w:fill="ffffff"/>
            <w:tcBorders/>
            <w:tcMar>
              <w:left w:w="90" w:type="dxa"/>
              <w:top w:w="60" w:type="dxa"/>
              <w:right w:w="90" w:type="dxa"/>
              <w:bottom w:w="60" w:type="dxa"/>
            </w:tcMar>
            <w:tcW w:w="3744"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POST emitir · GET consultar · POST aceptar · POST contraofertar</w:t>
            </w:r>
            <w:r>
              <w:rPr>
                <w:color w:val="000000" w:themeColor="text1"/>
              </w:rPr>
            </w:r>
          </w:p>
        </w:tc>
        <w:tc>
          <w:tcPr>
            <w:shd w:val="clear" w:color="auto" w:fill="ffffff"/>
            <w:tcBorders/>
            <w:tcMar>
              <w:left w:w="90" w:type="dxa"/>
              <w:top w:w="60" w:type="dxa"/>
              <w:right w:w="90" w:type="dxa"/>
              <w:bottom w:w="60" w:type="dxa"/>
            </w:tcMar>
            <w:tcW w:w="1310"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M6</w:t>
            </w:r>
            <w:r>
              <w:rPr>
                <w:color w:val="000000" w:themeColor="text1"/>
              </w:rPr>
            </w:r>
          </w:p>
        </w:tc>
        <w:tc>
          <w:tcPr>
            <w:shd w:val="clear" w:color="auto" w:fill="ffffff"/>
            <w:tcBorders/>
            <w:tcMar>
              <w:left w:w="90" w:type="dxa"/>
              <w:top w:w="60" w:type="dxa"/>
              <w:right w:w="90" w:type="dxa"/>
              <w:bottom w:w="60" w:type="dxa"/>
            </w:tcMar>
            <w:tcW w:w="2059"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Proveedor (emitir) / Comprador (aceptar)</w:t>
            </w:r>
            <w:r>
              <w:rPr>
                <w:color w:val="000000" w:themeColor="text1"/>
              </w:rPr>
            </w:r>
          </w:p>
        </w:tc>
      </w:tr>
      <w:tr>
        <w:trPr>
          <w:cantSplit w:val="false"/>
        </w:trPr>
        <w:tc>
          <w:tcPr>
            <w:shd w:val="clear" w:color="auto" w:fill="f2f5fa"/>
            <w:tcBorders/>
            <w:tcMar>
              <w:left w:w="90" w:type="dxa"/>
              <w:top w:w="60" w:type="dxa"/>
              <w:right w:w="90" w:type="dxa"/>
              <w:bottom w:w="60" w:type="dxa"/>
            </w:tcMar>
            <w:tcW w:w="2246"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/api/v1/conversaciones</w:t>
            </w:r>
            <w:r>
              <w:rPr>
                <w:color w:val="000000" w:themeColor="text1"/>
              </w:rPr>
            </w:r>
          </w:p>
        </w:tc>
        <w:tc>
          <w:tcPr>
            <w:shd w:val="clear" w:color="auto" w:fill="f2f5fa"/>
            <w:tcBorders/>
            <w:tcMar>
              <w:left w:w="90" w:type="dxa"/>
              <w:top w:w="60" w:type="dxa"/>
              <w:right w:w="90" w:type="dxa"/>
              <w:bottom w:w="60" w:type="dxa"/>
            </w:tcMar>
            <w:tcW w:w="3744"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GET listar · POST enviar mensaje</w:t>
            </w:r>
            <w:r>
              <w:rPr>
                <w:color w:val="000000" w:themeColor="text1"/>
              </w:rPr>
            </w:r>
          </w:p>
        </w:tc>
        <w:tc>
          <w:tcPr>
            <w:shd w:val="clear" w:color="auto" w:fill="f2f5fa"/>
            <w:tcBorders/>
            <w:tcMar>
              <w:left w:w="90" w:type="dxa"/>
              <w:top w:w="60" w:type="dxa"/>
              <w:right w:w="90" w:type="dxa"/>
              <w:bottom w:w="60" w:type="dxa"/>
            </w:tcMar>
            <w:tcW w:w="1310"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M7</w:t>
            </w:r>
            <w:r>
              <w:rPr>
                <w:color w:val="000000" w:themeColor="text1"/>
              </w:rPr>
            </w:r>
          </w:p>
        </w:tc>
        <w:tc>
          <w:tcPr>
            <w:shd w:val="clear" w:color="auto" w:fill="f2f5fa"/>
            <w:tcBorders/>
            <w:tcMar>
              <w:left w:w="90" w:type="dxa"/>
              <w:top w:w="60" w:type="dxa"/>
              <w:right w:w="90" w:type="dxa"/>
              <w:bottom w:w="60" w:type="dxa"/>
            </w:tcMar>
            <w:tcW w:w="2059"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Partes de una transacción adjudicada</w:t>
            </w:r>
            <w:r>
              <w:rPr>
                <w:color w:val="000000" w:themeColor="text1"/>
              </w:rPr>
            </w:r>
          </w:p>
        </w:tc>
      </w:tr>
      <w:tr>
        <w:trPr>
          <w:cantSplit w:val="false"/>
        </w:trPr>
        <w:tc>
          <w:tcPr>
            <w:shd w:val="clear" w:color="auto" w:fill="ffffff"/>
            <w:tcBorders/>
            <w:tcMar>
              <w:left w:w="90" w:type="dxa"/>
              <w:top w:w="60" w:type="dxa"/>
              <w:right w:w="90" w:type="dxa"/>
              <w:bottom w:w="60" w:type="dxa"/>
            </w:tcMar>
            <w:tcW w:w="2246"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/api/v1/calificaciones</w:t>
            </w:r>
            <w:r>
              <w:rPr>
                <w:color w:val="000000" w:themeColor="text1"/>
              </w:rPr>
            </w:r>
          </w:p>
        </w:tc>
        <w:tc>
          <w:tcPr>
            <w:shd w:val="clear" w:color="auto" w:fill="ffffff"/>
            <w:tcBorders/>
            <w:tcMar>
              <w:left w:w="90" w:type="dxa"/>
              <w:top w:w="60" w:type="dxa"/>
              <w:right w:w="90" w:type="dxa"/>
              <w:bottom w:w="60" w:type="dxa"/>
            </w:tcMar>
            <w:tcW w:w="3744"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POST evaluar · GET consultar promedio</w:t>
            </w:r>
            <w:r>
              <w:rPr>
                <w:color w:val="000000" w:themeColor="text1"/>
              </w:rPr>
            </w:r>
          </w:p>
        </w:tc>
        <w:tc>
          <w:tcPr>
            <w:shd w:val="clear" w:color="auto" w:fill="ffffff"/>
            <w:tcBorders/>
            <w:tcMar>
              <w:left w:w="90" w:type="dxa"/>
              <w:top w:w="60" w:type="dxa"/>
              <w:right w:w="90" w:type="dxa"/>
              <w:bottom w:w="60" w:type="dxa"/>
            </w:tcMar>
            <w:tcW w:w="1310"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M8</w:t>
            </w:r>
            <w:r>
              <w:rPr>
                <w:color w:val="000000" w:themeColor="text1"/>
              </w:rPr>
            </w:r>
          </w:p>
        </w:tc>
        <w:tc>
          <w:tcPr>
            <w:shd w:val="clear" w:color="auto" w:fill="ffffff"/>
            <w:tcBorders/>
            <w:tcMar>
              <w:left w:w="90" w:type="dxa"/>
              <w:top w:w="60" w:type="dxa"/>
              <w:right w:w="90" w:type="dxa"/>
              <w:bottom w:w="60" w:type="dxa"/>
            </w:tcMar>
            <w:tcW w:w="2059"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Partes de una transacción cerrada</w:t>
            </w:r>
            <w:r>
              <w:rPr>
                <w:color w:val="000000" w:themeColor="text1"/>
              </w:rPr>
            </w:r>
          </w:p>
        </w:tc>
      </w:tr>
      <w:tr>
        <w:trPr>
          <w:cantSplit w:val="false"/>
        </w:trPr>
        <w:tc>
          <w:tcPr>
            <w:shd w:val="clear" w:color="auto" w:fill="f2f5fa"/>
            <w:tcBorders/>
            <w:tcMar>
              <w:left w:w="90" w:type="dxa"/>
              <w:top w:w="60" w:type="dxa"/>
              <w:right w:w="90" w:type="dxa"/>
              <w:bottom w:w="60" w:type="dxa"/>
            </w:tcMar>
            <w:tcW w:w="2246"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/api/v1/tickets</w:t>
            </w:r>
            <w:r>
              <w:rPr>
                <w:color w:val="000000" w:themeColor="text1"/>
              </w:rPr>
            </w:r>
          </w:p>
        </w:tc>
        <w:tc>
          <w:tcPr>
            <w:shd w:val="clear" w:color="auto" w:fill="f2f5fa"/>
            <w:tcBorders/>
            <w:tcMar>
              <w:left w:w="90" w:type="dxa"/>
              <w:top w:w="60" w:type="dxa"/>
              <w:right w:w="90" w:type="dxa"/>
              <w:bottom w:w="60" w:type="dxa"/>
            </w:tcMar>
            <w:tcW w:w="3744"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POST abrir · GET consultar · PATCH cambiar estado</w:t>
            </w:r>
            <w:r>
              <w:rPr>
                <w:color w:val="000000" w:themeColor="text1"/>
              </w:rPr>
            </w:r>
          </w:p>
        </w:tc>
        <w:tc>
          <w:tcPr>
            <w:shd w:val="clear" w:color="auto" w:fill="f2f5fa"/>
            <w:tcBorders/>
            <w:tcMar>
              <w:left w:w="90" w:type="dxa"/>
              <w:top w:w="60" w:type="dxa"/>
              <w:right w:w="90" w:type="dxa"/>
              <w:bottom w:w="60" w:type="dxa"/>
            </w:tcMar>
            <w:tcW w:w="1310"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M9</w:t>
            </w:r>
            <w:r>
              <w:rPr>
                <w:color w:val="000000" w:themeColor="text1"/>
              </w:rPr>
            </w:r>
          </w:p>
        </w:tc>
        <w:tc>
          <w:tcPr>
            <w:shd w:val="clear" w:color="auto" w:fill="f2f5fa"/>
            <w:tcBorders/>
            <w:tcMar>
              <w:left w:w="90" w:type="dxa"/>
              <w:top w:w="60" w:type="dxa"/>
              <w:right w:w="90" w:type="dxa"/>
              <w:bottom w:w="60" w:type="dxa"/>
            </w:tcMar>
            <w:tcW w:w="2059"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Todos / Administrador</w:t>
            </w:r>
            <w:r>
              <w:rPr>
                <w:color w:val="000000" w:themeColor="text1"/>
              </w:rPr>
            </w:r>
          </w:p>
        </w:tc>
      </w:tr>
      <w:tr>
        <w:trPr>
          <w:cantSplit w:val="false"/>
        </w:trPr>
        <w:tc>
          <w:tcPr>
            <w:shd w:val="clear" w:color="auto" w:fill="ffffff"/>
            <w:tcBorders/>
            <w:tcMar>
              <w:left w:w="90" w:type="dxa"/>
              <w:top w:w="60" w:type="dxa"/>
              <w:right w:w="90" w:type="dxa"/>
              <w:bottom w:w="60" w:type="dxa"/>
            </w:tcMar>
            <w:tcW w:w="2246"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/api/v1/auditoria</w:t>
            </w:r>
            <w:r>
              <w:rPr>
                <w:color w:val="000000" w:themeColor="text1"/>
              </w:rPr>
            </w:r>
          </w:p>
        </w:tc>
        <w:tc>
          <w:tcPr>
            <w:shd w:val="clear" w:color="auto" w:fill="ffffff"/>
            <w:tcBorders/>
            <w:tcMar>
              <w:left w:w="90" w:type="dxa"/>
              <w:top w:w="60" w:type="dxa"/>
              <w:right w:w="90" w:type="dxa"/>
              <w:bottom w:w="60" w:type="dxa"/>
            </w:tcMar>
            <w:tcW w:w="3744"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GET consultar (solo lectura, sin operaciones de escritura expuestas)</w:t>
            </w:r>
            <w:r>
              <w:rPr>
                <w:color w:val="000000" w:themeColor="text1"/>
              </w:rPr>
            </w:r>
          </w:p>
        </w:tc>
        <w:tc>
          <w:tcPr>
            <w:shd w:val="clear" w:color="auto" w:fill="ffffff"/>
            <w:tcBorders/>
            <w:tcMar>
              <w:left w:w="90" w:type="dxa"/>
              <w:top w:w="60" w:type="dxa"/>
              <w:right w:w="90" w:type="dxa"/>
              <w:bottom w:w="60" w:type="dxa"/>
            </w:tcMar>
            <w:tcW w:w="1310"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M9</w:t>
            </w:r>
            <w:r>
              <w:rPr>
                <w:color w:val="000000" w:themeColor="text1"/>
              </w:rPr>
            </w:r>
          </w:p>
        </w:tc>
        <w:tc>
          <w:tcPr>
            <w:shd w:val="clear" w:color="auto" w:fill="ffffff"/>
            <w:tcBorders/>
            <w:tcMar>
              <w:left w:w="90" w:type="dxa"/>
              <w:top w:w="60" w:type="dxa"/>
              <w:right w:w="90" w:type="dxa"/>
              <w:bottom w:w="60" w:type="dxa"/>
            </w:tcMar>
            <w:tcW w:w="2059"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Administrador</w:t>
            </w:r>
            <w:r>
              <w:rPr>
                <w:color w:val="000000" w:themeColor="text1"/>
              </w:rPr>
            </w:r>
          </w:p>
        </w:tc>
      </w:tr>
    </w:tbl>
    <w:p>
      <w:pPr>
        <w:pBdr/>
        <w:spacing w:after="160"/>
        <w:ind/>
        <w:rPr>
          <w:color w:val="000000" w:themeColor="text1"/>
        </w:rPr>
      </w:pPr>
      <w:r>
        <w:rPr>
          <w:color w:val="000000" w:themeColor="text1"/>
          <w:lang w:val="es-ES" w:bidi="es-ES"/>
        </w:rPr>
      </w:r>
      <w:r>
        <w:rPr>
          <w:color w:val="000000" w:themeColor="text1"/>
        </w:rPr>
      </w:r>
    </w:p>
    <w:p>
      <w:pPr>
        <w:pStyle w:val="905"/>
        <w:keepNext w:val="true"/>
        <w:pBdr/>
        <w:spacing w:after="120" w:before="220"/>
        <w:ind/>
        <w:rPr>
          <w:color w:val="000000" w:themeColor="text1"/>
        </w:rPr>
      </w:pPr>
      <w:r/>
      <w:bookmarkStart w:id="35" w:name="_Toc35"/>
      <w:r>
        <w:rPr>
          <w:rFonts w:ascii="Calibri" w:hAnsi="Calibri" w:eastAsia="Calibri" w:cs="Calibri"/>
          <w:b/>
          <w:bCs/>
          <w:color w:val="000000" w:themeColor="text1"/>
          <w:sz w:val="22"/>
          <w:szCs w:val="22"/>
          <w:lang w:val="es-ES"/>
        </w:rPr>
        <w:t xml:space="preserve">2.9.3 V-03 — Vista de información y controles de seguridad</w:t>
      </w:r>
      <w:r/>
      <w:bookmarkEnd w:id="35"/>
      <w:r/>
      <w:r>
        <w:rPr>
          <w:color w:val="000000" w:themeColor="text1"/>
        </w:rPr>
      </w:r>
    </w:p>
    <w:p>
      <w:pPr>
        <w:pBdr/>
        <w:spacing w:after="140" w:line="276" w:lineRule="auto"/>
        <w:ind/>
        <w:jc w:val="both"/>
        <w:rPr>
          <w:color w:val="000000" w:themeColor="text1"/>
        </w:rPr>
      </w:pPr>
      <w:r>
        <w:rPr>
          <w:rFonts w:ascii="Calibri" w:hAnsi="Calibri" w:eastAsia="Calibri" w:cs="Calibri"/>
          <w:color w:val="000000" w:themeColor="text1"/>
          <w:sz w:val="21"/>
          <w:szCs w:val="21"/>
          <w:lang w:val="es-ES"/>
        </w:rPr>
        <w:t xml:space="preserve">Esta vista responde a P-02, la preocupación de los interesados I-04 y I-06 sobre la protección de los datos y el cumplimiento de la Ley No. 787 de Protección de Datos Personales de Nicaragua. Se compone de dos matrices.</w:t>
      </w:r>
      <w:r>
        <w:rPr>
          <w:color w:val="000000" w:themeColor="text1"/>
        </w:rPr>
      </w:r>
    </w:p>
    <w:p>
      <w:pPr>
        <w:pBdr/>
        <w:spacing w:after="100" w:line="276" w:lineRule="auto"/>
        <w:ind/>
        <w:jc w:val="both"/>
        <w:rPr>
          <w:color w:val="000000" w:themeColor="text1"/>
        </w:rPr>
      </w:pPr>
      <w:r>
        <w:rPr>
          <w:rFonts w:ascii="Calibri" w:hAnsi="Calibri" w:eastAsia="Calibri" w:cs="Calibri"/>
          <w:b/>
          <w:bCs/>
          <w:color w:val="000000" w:themeColor="text1"/>
          <w:sz w:val="21"/>
          <w:szCs w:val="21"/>
          <w:lang w:val="es-ES"/>
        </w:rPr>
        <w:t xml:space="preserve">Matriz de clasificación de datos. </w:t>
      </w:r>
      <w:r>
        <w:rPr>
          <w:rFonts w:ascii="Calibri" w:hAnsi="Calibri" w:eastAsia="Calibri" w:cs="Calibri"/>
          <w:color w:val="000000" w:themeColor="text1"/>
          <w:sz w:val="21"/>
          <w:szCs w:val="21"/>
          <w:lang w:val="es-ES"/>
        </w:rPr>
        <w:t xml:space="preserve">La clasificación determina el tratamiento: qué se cifra, cuánto tiempo se conserva y quién puede leerlo.</w:t>
      </w:r>
      <w:r>
        <w:rPr>
          <w:color w:val="000000" w:themeColor="text1"/>
        </w:rPr>
      </w:r>
    </w:p>
    <w:tbl>
      <w:tblPr>
        <w:tblW w:w="9360" w:type="dxa"/>
        <w:tblBorders>
          <w:top w:val="single" w:color="8ea9db" w:sz="4" w:space="0"/>
          <w:left w:val="single" w:color="8ea9db" w:sz="4" w:space="0"/>
          <w:bottom w:val="single" w:color="8ea9db" w:sz="4" w:space="0"/>
          <w:right w:val="single" w:color="8ea9db" w:sz="4" w:space="0"/>
          <w:insideH w:val="single" w:color="b4c6e7" w:sz="2" w:space="0"/>
          <w:insideV w:val="single" w:color="b4c6e7" w:sz="2" w:space="0"/>
        </w:tblBorders>
        <w:tblLook w:val="04A0" w:firstRow="1" w:lastRow="0" w:firstColumn="1" w:lastColumn="0" w:noHBand="0" w:noVBand="1"/>
      </w:tblPr>
      <w:tblGrid>
        <w:gridCol w:w="2246"/>
        <w:gridCol w:w="1685"/>
        <w:gridCol w:w="3370"/>
        <w:gridCol w:w="2059"/>
      </w:tblGrid>
      <w:tr>
        <w:trPr>
          <w:cantSplit w:val="false"/>
          <w:tblHeader/>
        </w:trPr>
        <w:tc>
          <w:tcPr>
            <w:shd w:val="clear" w:color="auto" w:fill="d9e2f3"/>
            <w:tcBorders/>
            <w:tcMar>
              <w:left w:w="90" w:type="dxa"/>
              <w:top w:w="60" w:type="dxa"/>
              <w:right w:w="90" w:type="dxa"/>
              <w:bottom w:w="60" w:type="dxa"/>
            </w:tcMar>
            <w:tcW w:w="2246"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Categoría de dato</w:t>
            </w:r>
            <w:r>
              <w:rPr>
                <w:color w:val="000000" w:themeColor="text1"/>
              </w:rPr>
            </w:r>
          </w:p>
        </w:tc>
        <w:tc>
          <w:tcPr>
            <w:shd w:val="clear" w:color="auto" w:fill="d9e2f3"/>
            <w:tcBorders/>
            <w:tcMar>
              <w:left w:w="90" w:type="dxa"/>
              <w:top w:w="60" w:type="dxa"/>
              <w:right w:w="90" w:type="dxa"/>
              <w:bottom w:w="60" w:type="dxa"/>
            </w:tcMar>
            <w:tcW w:w="1685"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Clasificación</w:t>
            </w:r>
            <w:r>
              <w:rPr>
                <w:color w:val="000000" w:themeColor="text1"/>
              </w:rPr>
            </w:r>
          </w:p>
        </w:tc>
        <w:tc>
          <w:tcPr>
            <w:shd w:val="clear" w:color="auto" w:fill="d9e2f3"/>
            <w:tcBorders/>
            <w:tcMar>
              <w:left w:w="90" w:type="dxa"/>
              <w:top w:w="60" w:type="dxa"/>
              <w:right w:w="90" w:type="dxa"/>
              <w:bottom w:w="60" w:type="dxa"/>
            </w:tcMar>
            <w:tcW w:w="3370"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Protección aplicada</w:t>
            </w:r>
            <w:r>
              <w:rPr>
                <w:color w:val="000000" w:themeColor="text1"/>
              </w:rPr>
            </w:r>
          </w:p>
        </w:tc>
        <w:tc>
          <w:tcPr>
            <w:shd w:val="clear" w:color="auto" w:fill="d9e2f3"/>
            <w:tcBorders/>
            <w:tcMar>
              <w:left w:w="90" w:type="dxa"/>
              <w:top w:w="60" w:type="dxa"/>
              <w:right w:w="90" w:type="dxa"/>
              <w:bottom w:w="60" w:type="dxa"/>
            </w:tcMar>
            <w:tcW w:w="2059"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Retención</w:t>
            </w:r>
            <w:r>
              <w:rPr>
                <w:color w:val="000000" w:themeColor="text1"/>
              </w:rPr>
            </w:r>
          </w:p>
        </w:tc>
      </w:tr>
      <w:tr>
        <w:trPr>
          <w:cantSplit w:val="false"/>
        </w:trPr>
        <w:tc>
          <w:tcPr>
            <w:shd w:val="clear" w:color="auto" w:fill="ffffff"/>
            <w:tcBorders/>
            <w:tcMar>
              <w:left w:w="90" w:type="dxa"/>
              <w:top w:w="60" w:type="dxa"/>
              <w:right w:w="90" w:type="dxa"/>
              <w:bottom w:w="60" w:type="dxa"/>
            </w:tcMar>
            <w:tcW w:w="2246"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Credenciales de acceso</w:t>
            </w:r>
            <w:r>
              <w:rPr>
                <w:color w:val="000000" w:themeColor="text1"/>
              </w:rPr>
            </w:r>
          </w:p>
        </w:tc>
        <w:tc>
          <w:tcPr>
            <w:shd w:val="clear" w:color="auto" w:fill="ffffff"/>
            <w:tcBorders/>
            <w:tcMar>
              <w:left w:w="90" w:type="dxa"/>
              <w:top w:w="60" w:type="dxa"/>
              <w:right w:w="90" w:type="dxa"/>
              <w:bottom w:w="60" w:type="dxa"/>
            </w:tcMar>
            <w:tcW w:w="1685"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Secreto</w:t>
            </w:r>
            <w:r>
              <w:rPr>
                <w:color w:val="000000" w:themeColor="text1"/>
              </w:rPr>
            </w:r>
          </w:p>
        </w:tc>
        <w:tc>
          <w:tcPr>
            <w:shd w:val="clear" w:color="auto" w:fill="ffffff"/>
            <w:tcBorders/>
            <w:tcMar>
              <w:left w:w="90" w:type="dxa"/>
              <w:top w:w="60" w:type="dxa"/>
              <w:right w:w="90" w:type="dxa"/>
              <w:bottom w:w="60" w:type="dxa"/>
            </w:tcMar>
            <w:tcW w:w="3370"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Almacenamiento mediante función de derivación de clave con sal; nunca se registran en trazas ni se devuelven por la API.</w:t>
            </w:r>
            <w:r>
              <w:rPr>
                <w:color w:val="000000" w:themeColor="text1"/>
              </w:rPr>
            </w:r>
          </w:p>
        </w:tc>
        <w:tc>
          <w:tcPr>
            <w:shd w:val="clear" w:color="auto" w:fill="ffffff"/>
            <w:tcBorders/>
            <w:tcMar>
              <w:left w:w="90" w:type="dxa"/>
              <w:top w:w="60" w:type="dxa"/>
              <w:right w:w="90" w:type="dxa"/>
              <w:bottom w:w="60" w:type="dxa"/>
            </w:tcMar>
            <w:tcW w:w="2059"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Mientras la cuenta esté activa.</w:t>
            </w:r>
            <w:r>
              <w:rPr>
                <w:color w:val="000000" w:themeColor="text1"/>
              </w:rPr>
            </w:r>
          </w:p>
        </w:tc>
      </w:tr>
      <w:tr>
        <w:trPr>
          <w:cantSplit w:val="false"/>
        </w:trPr>
        <w:tc>
          <w:tcPr>
            <w:shd w:val="clear" w:color="auto" w:fill="f2f5fa"/>
            <w:tcBorders/>
            <w:tcMar>
              <w:left w:w="90" w:type="dxa"/>
              <w:top w:w="60" w:type="dxa"/>
              <w:right w:w="90" w:type="dxa"/>
              <w:bottom w:w="60" w:type="dxa"/>
            </w:tcMar>
            <w:tcW w:w="2246"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Datos de identificación comercial (razón social, RUC, documento legal)</w:t>
            </w:r>
            <w:r>
              <w:rPr>
                <w:color w:val="000000" w:themeColor="text1"/>
              </w:rPr>
            </w:r>
          </w:p>
        </w:tc>
        <w:tc>
          <w:tcPr>
            <w:shd w:val="clear" w:color="auto" w:fill="f2f5fa"/>
            <w:tcBorders/>
            <w:tcMar>
              <w:left w:w="90" w:type="dxa"/>
              <w:top w:w="60" w:type="dxa"/>
              <w:right w:w="90" w:type="dxa"/>
              <w:bottom w:w="60" w:type="dxa"/>
            </w:tcMar>
            <w:tcW w:w="1685"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Confidencial — dato personal bajo Ley No. 787</w:t>
            </w:r>
            <w:r>
              <w:rPr>
                <w:color w:val="000000" w:themeColor="text1"/>
              </w:rPr>
            </w:r>
          </w:p>
        </w:tc>
        <w:tc>
          <w:tcPr>
            <w:shd w:val="clear" w:color="auto" w:fill="f2f5fa"/>
            <w:tcBorders/>
            <w:tcMar>
              <w:left w:w="90" w:type="dxa"/>
              <w:top w:w="60" w:type="dxa"/>
              <w:right w:w="90" w:type="dxa"/>
              <w:bottom w:w="60" w:type="dxa"/>
            </w:tcMar>
            <w:tcW w:w="3370"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Cifrado en reposo AES-256; acceso restringido al propietario y al Administrador; consentimiento explícito registrado con marca temporal.</w:t>
            </w:r>
            <w:r>
              <w:rPr>
                <w:color w:val="000000" w:themeColor="text1"/>
              </w:rPr>
            </w:r>
          </w:p>
        </w:tc>
        <w:tc>
          <w:tcPr>
            <w:shd w:val="clear" w:color="auto" w:fill="f2f5fa"/>
            <w:tcBorders/>
            <w:tcMar>
              <w:left w:w="90" w:type="dxa"/>
              <w:top w:w="60" w:type="dxa"/>
              <w:right w:w="90" w:type="dxa"/>
              <w:bottom w:w="60" w:type="dxa"/>
            </w:tcMar>
            <w:tcW w:w="2059"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Hasta 30 días después de la solicitud de cancelación.</w:t>
            </w:r>
            <w:r>
              <w:rPr>
                <w:color w:val="000000" w:themeColor="text1"/>
              </w:rPr>
            </w:r>
          </w:p>
        </w:tc>
      </w:tr>
      <w:tr>
        <w:trPr>
          <w:cantSplit w:val="false"/>
        </w:trPr>
        <w:tc>
          <w:tcPr>
            <w:shd w:val="clear" w:color="auto" w:fill="ffffff"/>
            <w:tcBorders/>
            <w:tcMar>
              <w:left w:w="90" w:type="dxa"/>
              <w:top w:w="60" w:type="dxa"/>
              <w:right w:w="90" w:type="dxa"/>
              <w:bottom w:w="60" w:type="dxa"/>
            </w:tcMar>
            <w:tcW w:w="2246"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Contenido comercial (demandas, ofertas, cotizaciones)</w:t>
            </w:r>
            <w:r>
              <w:rPr>
                <w:color w:val="000000" w:themeColor="text1"/>
              </w:rPr>
            </w:r>
          </w:p>
        </w:tc>
        <w:tc>
          <w:tcPr>
            <w:shd w:val="clear" w:color="auto" w:fill="ffffff"/>
            <w:tcBorders/>
            <w:tcMar>
              <w:left w:w="90" w:type="dxa"/>
              <w:top w:w="60" w:type="dxa"/>
              <w:right w:w="90" w:type="dxa"/>
              <w:bottom w:w="60" w:type="dxa"/>
            </w:tcMar>
            <w:tcW w:w="1685"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Interno</w:t>
            </w:r>
            <w:r>
              <w:rPr>
                <w:color w:val="000000" w:themeColor="text1"/>
              </w:rPr>
            </w:r>
          </w:p>
        </w:tc>
        <w:tc>
          <w:tcPr>
            <w:shd w:val="clear" w:color="auto" w:fill="ffffff"/>
            <w:tcBorders/>
            <w:tcMar>
              <w:left w:w="90" w:type="dxa"/>
              <w:top w:w="60" w:type="dxa"/>
              <w:right w:w="90" w:type="dxa"/>
              <w:bottom w:w="60" w:type="dxa"/>
            </w:tcMar>
            <w:tcW w:w="3370"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Cifrado en reposo; visibilidad regulada por el estado de la transacción y por el rol.</w:t>
            </w:r>
            <w:r>
              <w:rPr>
                <w:color w:val="000000" w:themeColor="text1"/>
              </w:rPr>
            </w:r>
          </w:p>
        </w:tc>
        <w:tc>
          <w:tcPr>
            <w:shd w:val="clear" w:color="auto" w:fill="ffffff"/>
            <w:tcBorders/>
            <w:tcMar>
              <w:left w:w="90" w:type="dxa"/>
              <w:top w:w="60" w:type="dxa"/>
              <w:right w:w="90" w:type="dxa"/>
              <w:bottom w:w="60" w:type="dxa"/>
            </w:tcMar>
            <w:tcW w:w="2059"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Vigente durante la operación; histórico para el cálculo del histograma de precios.</w:t>
            </w:r>
            <w:r>
              <w:rPr>
                <w:color w:val="000000" w:themeColor="text1"/>
              </w:rPr>
            </w:r>
          </w:p>
        </w:tc>
      </w:tr>
      <w:tr>
        <w:trPr>
          <w:cantSplit w:val="false"/>
        </w:trPr>
        <w:tc>
          <w:tcPr>
            <w:shd w:val="clear" w:color="auto" w:fill="f2f5fa"/>
            <w:tcBorders/>
            <w:tcMar>
              <w:left w:w="90" w:type="dxa"/>
              <w:top w:w="60" w:type="dxa"/>
              <w:right w:w="90" w:type="dxa"/>
              <w:bottom w:w="60" w:type="dxa"/>
            </w:tcMar>
            <w:tcW w:w="2246"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Mensajes de la conversación privada</w:t>
            </w:r>
            <w:r>
              <w:rPr>
                <w:color w:val="000000" w:themeColor="text1"/>
              </w:rPr>
            </w:r>
          </w:p>
        </w:tc>
        <w:tc>
          <w:tcPr>
            <w:shd w:val="clear" w:color="auto" w:fill="f2f5fa"/>
            <w:tcBorders/>
            <w:tcMar>
              <w:left w:w="90" w:type="dxa"/>
              <w:top w:w="60" w:type="dxa"/>
              <w:right w:w="90" w:type="dxa"/>
              <w:bottom w:w="60" w:type="dxa"/>
            </w:tcMar>
            <w:tcW w:w="1685"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Confidencial</w:t>
            </w:r>
            <w:r>
              <w:rPr>
                <w:color w:val="000000" w:themeColor="text1"/>
              </w:rPr>
            </w:r>
          </w:p>
        </w:tc>
        <w:tc>
          <w:tcPr>
            <w:shd w:val="clear" w:color="auto" w:fill="f2f5fa"/>
            <w:tcBorders/>
            <w:tcMar>
              <w:left w:w="90" w:type="dxa"/>
              <w:top w:w="60" w:type="dxa"/>
              <w:right w:w="90" w:type="dxa"/>
              <w:bottom w:w="60" w:type="dxa"/>
            </w:tcMar>
            <w:tcW w:w="3370"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Cifrado en reposo; acceso limitado a las dos partes de la transacción y, en caso de disputa, al Administrador.</w:t>
            </w:r>
            <w:r>
              <w:rPr>
                <w:color w:val="000000" w:themeColor="text1"/>
              </w:rPr>
            </w:r>
          </w:p>
        </w:tc>
        <w:tc>
          <w:tcPr>
            <w:shd w:val="clear" w:color="auto" w:fill="f2f5fa"/>
            <w:tcBorders/>
            <w:tcMar>
              <w:left w:w="90" w:type="dxa"/>
              <w:top w:w="60" w:type="dxa"/>
              <w:right w:w="90" w:type="dxa"/>
              <w:bottom w:w="60" w:type="dxa"/>
            </w:tcMar>
            <w:tcW w:w="2059"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12 meses desde el cierre de la transacción.</w:t>
            </w:r>
            <w:r>
              <w:rPr>
                <w:color w:val="000000" w:themeColor="text1"/>
              </w:rPr>
            </w:r>
          </w:p>
        </w:tc>
      </w:tr>
      <w:tr>
        <w:trPr>
          <w:cantSplit w:val="false"/>
        </w:trPr>
        <w:tc>
          <w:tcPr>
            <w:shd w:val="clear" w:color="auto" w:fill="ffffff"/>
            <w:tcBorders/>
            <w:tcMar>
              <w:left w:w="90" w:type="dxa"/>
              <w:top w:w="60" w:type="dxa"/>
              <w:right w:w="90" w:type="dxa"/>
              <w:bottom w:w="60" w:type="dxa"/>
            </w:tcMar>
            <w:tcW w:w="2246"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Bitácora de auditoría (usuario, acción, marca temporal, IP)</w:t>
            </w:r>
            <w:r>
              <w:rPr>
                <w:color w:val="000000" w:themeColor="text1"/>
              </w:rPr>
            </w:r>
          </w:p>
        </w:tc>
        <w:tc>
          <w:tcPr>
            <w:shd w:val="clear" w:color="auto" w:fill="ffffff"/>
            <w:tcBorders/>
            <w:tcMar>
              <w:left w:w="90" w:type="dxa"/>
              <w:top w:w="60" w:type="dxa"/>
              <w:right w:w="90" w:type="dxa"/>
              <w:bottom w:w="60" w:type="dxa"/>
            </w:tcMar>
            <w:tcW w:w="1685"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Crítico — inmutable</w:t>
            </w:r>
            <w:r>
              <w:rPr>
                <w:color w:val="000000" w:themeColor="text1"/>
              </w:rPr>
            </w:r>
          </w:p>
        </w:tc>
        <w:tc>
          <w:tcPr>
            <w:shd w:val="clear" w:color="auto" w:fill="ffffff"/>
            <w:tcBorders/>
            <w:tcMar>
              <w:left w:w="90" w:type="dxa"/>
              <w:top w:w="60" w:type="dxa"/>
              <w:right w:w="90" w:type="dxa"/>
              <w:bottom w:w="60" w:type="dxa"/>
            </w:tcMar>
            <w:tcW w:w="3370"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Tabla de solo adición con permisos de actualización y borrado revocados en el gestor; cifrado en reposo.</w:t>
            </w:r>
            <w:r>
              <w:rPr>
                <w:color w:val="000000" w:themeColor="text1"/>
              </w:rPr>
            </w:r>
          </w:p>
        </w:tc>
        <w:tc>
          <w:tcPr>
            <w:shd w:val="clear" w:color="auto" w:fill="ffffff"/>
            <w:tcBorders/>
            <w:tcMar>
              <w:left w:w="90" w:type="dxa"/>
              <w:top w:w="60" w:type="dxa"/>
              <w:right w:w="90" w:type="dxa"/>
              <w:bottom w:w="60" w:type="dxa"/>
            </w:tcMar>
            <w:tcW w:w="2059"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90 días en acceso rápido y 7 años en archivo.</w:t>
            </w:r>
            <w:r>
              <w:rPr>
                <w:color w:val="000000" w:themeColor="text1"/>
              </w:rPr>
            </w:r>
          </w:p>
        </w:tc>
      </w:tr>
    </w:tbl>
    <w:p>
      <w:pPr>
        <w:pBdr/>
        <w:spacing w:after="160"/>
        <w:ind/>
        <w:rPr>
          <w:color w:val="000000" w:themeColor="text1"/>
        </w:rPr>
      </w:pPr>
      <w:r>
        <w:rPr>
          <w:color w:val="000000" w:themeColor="text1"/>
          <w:lang w:val="es-ES" w:bidi="es-ES"/>
        </w:rPr>
      </w:r>
      <w:r>
        <w:rPr>
          <w:color w:val="000000" w:themeColor="text1"/>
        </w:rPr>
      </w:r>
    </w:p>
    <w:p>
      <w:pPr>
        <w:pBdr/>
        <w:spacing w:after="100" w:line="276" w:lineRule="auto"/>
        <w:ind/>
        <w:jc w:val="both"/>
        <w:rPr>
          <w:color w:val="000000" w:themeColor="text1"/>
        </w:rPr>
      </w:pPr>
      <w:r>
        <w:rPr>
          <w:rFonts w:ascii="Calibri" w:hAnsi="Calibri" w:eastAsia="Calibri" w:cs="Calibri"/>
          <w:b/>
          <w:bCs/>
          <w:color w:val="000000" w:themeColor="text1"/>
          <w:sz w:val="21"/>
          <w:szCs w:val="21"/>
          <w:lang w:val="es-ES"/>
        </w:rPr>
        <w:t xml:space="preserve">Matriz de control de accesos por rol. </w:t>
      </w:r>
      <w:r>
        <w:rPr>
          <w:rFonts w:ascii="Calibri" w:hAnsi="Calibri" w:eastAsia="Calibri" w:cs="Calibri"/>
          <w:color w:val="000000" w:themeColor="text1"/>
          <w:sz w:val="21"/>
          <w:szCs w:val="21"/>
          <w:lang w:val="es-ES"/>
        </w:rPr>
        <w:t xml:space="preserve">La autorización se resuelve en la capa 2 conforme a PA-05 y se expresa como una matriz explícita, de modo que un permiso no declarado equivale a permiso denegado.</w:t>
      </w:r>
      <w:r>
        <w:rPr>
          <w:color w:val="000000" w:themeColor="text1"/>
        </w:rPr>
      </w:r>
    </w:p>
    <w:tbl>
      <w:tblPr>
        <w:tblW w:w="9360" w:type="dxa"/>
        <w:tblBorders>
          <w:top w:val="single" w:color="8ea9db" w:sz="4" w:space="0"/>
          <w:left w:val="single" w:color="8ea9db" w:sz="4" w:space="0"/>
          <w:bottom w:val="single" w:color="8ea9db" w:sz="4" w:space="0"/>
          <w:right w:val="single" w:color="8ea9db" w:sz="4" w:space="0"/>
          <w:insideH w:val="single" w:color="b4c6e7" w:sz="2" w:space="0"/>
          <w:insideV w:val="single" w:color="b4c6e7" w:sz="2" w:space="0"/>
        </w:tblBorders>
        <w:tblLook w:val="04A0" w:firstRow="1" w:lastRow="0" w:firstColumn="1" w:lastColumn="0" w:noHBand="0" w:noVBand="1"/>
      </w:tblPr>
      <w:tblGrid>
        <w:gridCol w:w="2434"/>
        <w:gridCol w:w="1778"/>
        <w:gridCol w:w="1685"/>
        <w:gridCol w:w="1685"/>
        <w:gridCol w:w="1778"/>
      </w:tblGrid>
      <w:tr>
        <w:trPr>
          <w:cantSplit w:val="false"/>
          <w:tblHeader/>
        </w:trPr>
        <w:tc>
          <w:tcPr>
            <w:shd w:val="clear" w:color="auto" w:fill="d9e2f3"/>
            <w:tcBorders/>
            <w:tcMar>
              <w:left w:w="90" w:type="dxa"/>
              <w:top w:w="60" w:type="dxa"/>
              <w:right w:w="90" w:type="dxa"/>
              <w:bottom w:w="60" w:type="dxa"/>
            </w:tcMar>
            <w:tcW w:w="2434"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Recurso</w:t>
            </w:r>
            <w:r>
              <w:rPr>
                <w:color w:val="000000" w:themeColor="text1"/>
              </w:rPr>
            </w:r>
          </w:p>
        </w:tc>
        <w:tc>
          <w:tcPr>
            <w:shd w:val="clear" w:color="auto" w:fill="d9e2f3"/>
            <w:tcBorders/>
            <w:tcMar>
              <w:left w:w="90" w:type="dxa"/>
              <w:top w:w="60" w:type="dxa"/>
              <w:right w:w="90" w:type="dxa"/>
              <w:bottom w:w="60" w:type="dxa"/>
            </w:tcMar>
            <w:tcW w:w="1778"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Comprador</w:t>
            </w:r>
            <w:r>
              <w:rPr>
                <w:color w:val="000000" w:themeColor="text1"/>
              </w:rPr>
            </w:r>
          </w:p>
        </w:tc>
        <w:tc>
          <w:tcPr>
            <w:shd w:val="clear" w:color="auto" w:fill="d9e2f3"/>
            <w:tcBorders/>
            <w:tcMar>
              <w:left w:w="90" w:type="dxa"/>
              <w:top w:w="60" w:type="dxa"/>
              <w:right w:w="90" w:type="dxa"/>
              <w:bottom w:w="60" w:type="dxa"/>
            </w:tcMar>
            <w:tcW w:w="1685"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Proveedor</w:t>
            </w:r>
            <w:r>
              <w:rPr>
                <w:color w:val="000000" w:themeColor="text1"/>
              </w:rPr>
            </w:r>
          </w:p>
        </w:tc>
        <w:tc>
          <w:tcPr>
            <w:shd w:val="clear" w:color="auto" w:fill="d9e2f3"/>
            <w:tcBorders/>
            <w:tcMar>
              <w:left w:w="90" w:type="dxa"/>
              <w:top w:w="60" w:type="dxa"/>
              <w:right w:w="90" w:type="dxa"/>
              <w:bottom w:w="60" w:type="dxa"/>
            </w:tcMar>
            <w:tcW w:w="1685"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Productor</w:t>
            </w:r>
            <w:r>
              <w:rPr>
                <w:color w:val="000000" w:themeColor="text1"/>
              </w:rPr>
            </w:r>
          </w:p>
        </w:tc>
        <w:tc>
          <w:tcPr>
            <w:shd w:val="clear" w:color="auto" w:fill="d9e2f3"/>
            <w:tcBorders/>
            <w:tcMar>
              <w:left w:w="90" w:type="dxa"/>
              <w:top w:w="60" w:type="dxa"/>
              <w:right w:w="90" w:type="dxa"/>
              <w:bottom w:w="60" w:type="dxa"/>
            </w:tcMar>
            <w:tcW w:w="1778"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Administrador</w:t>
            </w:r>
            <w:r>
              <w:rPr>
                <w:color w:val="000000" w:themeColor="text1"/>
              </w:rPr>
            </w:r>
          </w:p>
        </w:tc>
      </w:tr>
      <w:tr>
        <w:trPr>
          <w:cantSplit w:val="false"/>
        </w:trPr>
        <w:tc>
          <w:tcPr>
            <w:shd w:val="clear" w:color="auto" w:fill="ffffff"/>
            <w:tcBorders/>
            <w:tcMar>
              <w:left w:w="90" w:type="dxa"/>
              <w:top w:w="60" w:type="dxa"/>
              <w:right w:w="90" w:type="dxa"/>
              <w:bottom w:w="60" w:type="dxa"/>
            </w:tcMar>
            <w:tcW w:w="2434"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Cuenta propia</w:t>
            </w:r>
            <w:r>
              <w:rPr>
                <w:color w:val="000000" w:themeColor="text1"/>
              </w:rPr>
            </w:r>
          </w:p>
        </w:tc>
        <w:tc>
          <w:tcPr>
            <w:shd w:val="clear" w:color="auto" w:fill="ffffff"/>
            <w:tcBorders/>
            <w:tcMar>
              <w:left w:w="90" w:type="dxa"/>
              <w:top w:w="60" w:type="dxa"/>
              <w:right w:w="90" w:type="dxa"/>
              <w:bottom w:w="60" w:type="dxa"/>
            </w:tcMar>
            <w:tcW w:w="1778"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C L A B</w:t>
            </w:r>
            <w:r>
              <w:rPr>
                <w:color w:val="000000" w:themeColor="text1"/>
              </w:rPr>
            </w:r>
          </w:p>
        </w:tc>
        <w:tc>
          <w:tcPr>
            <w:shd w:val="clear" w:color="auto" w:fill="ffffff"/>
            <w:tcBorders/>
            <w:tcMar>
              <w:left w:w="90" w:type="dxa"/>
              <w:top w:w="60" w:type="dxa"/>
              <w:right w:w="90" w:type="dxa"/>
              <w:bottom w:w="60" w:type="dxa"/>
            </w:tcMar>
            <w:tcW w:w="1685"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C L A B</w:t>
            </w:r>
            <w:r>
              <w:rPr>
                <w:color w:val="000000" w:themeColor="text1"/>
              </w:rPr>
            </w:r>
          </w:p>
        </w:tc>
        <w:tc>
          <w:tcPr>
            <w:shd w:val="clear" w:color="auto" w:fill="ffffff"/>
            <w:tcBorders/>
            <w:tcMar>
              <w:left w:w="90" w:type="dxa"/>
              <w:top w:w="60" w:type="dxa"/>
              <w:right w:w="90" w:type="dxa"/>
              <w:bottom w:w="60" w:type="dxa"/>
            </w:tcMar>
            <w:tcW w:w="1685"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C L A B</w:t>
            </w:r>
            <w:r>
              <w:rPr>
                <w:color w:val="000000" w:themeColor="text1"/>
              </w:rPr>
            </w:r>
          </w:p>
        </w:tc>
        <w:tc>
          <w:tcPr>
            <w:shd w:val="clear" w:color="auto" w:fill="ffffff"/>
            <w:tcBorders/>
            <w:tcMar>
              <w:left w:w="90" w:type="dxa"/>
              <w:top w:w="60" w:type="dxa"/>
              <w:right w:w="90" w:type="dxa"/>
              <w:bottom w:w="60" w:type="dxa"/>
            </w:tcMar>
            <w:tcW w:w="1778"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L A</w:t>
            </w:r>
            <w:r>
              <w:rPr>
                <w:color w:val="000000" w:themeColor="text1"/>
              </w:rPr>
            </w:r>
          </w:p>
        </w:tc>
      </w:tr>
      <w:tr>
        <w:trPr>
          <w:cantSplit w:val="false"/>
        </w:trPr>
        <w:tc>
          <w:tcPr>
            <w:shd w:val="clear" w:color="auto" w:fill="f2f5fa"/>
            <w:tcBorders/>
            <w:tcMar>
              <w:left w:w="90" w:type="dxa"/>
              <w:top w:w="60" w:type="dxa"/>
              <w:right w:w="90" w:type="dxa"/>
              <w:bottom w:w="60" w:type="dxa"/>
            </w:tcMar>
            <w:tcW w:w="2434"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Validación de cuentas ajenas</w:t>
            </w:r>
            <w:r>
              <w:rPr>
                <w:color w:val="000000" w:themeColor="text1"/>
              </w:rPr>
            </w:r>
          </w:p>
        </w:tc>
        <w:tc>
          <w:tcPr>
            <w:shd w:val="clear" w:color="auto" w:fill="f2f5fa"/>
            <w:tcBorders/>
            <w:tcMar>
              <w:left w:w="90" w:type="dxa"/>
              <w:top w:w="60" w:type="dxa"/>
              <w:right w:w="90" w:type="dxa"/>
              <w:bottom w:w="60" w:type="dxa"/>
            </w:tcMar>
            <w:tcW w:w="1778"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w:t>
            </w:r>
            <w:r>
              <w:rPr>
                <w:color w:val="000000" w:themeColor="text1"/>
              </w:rPr>
            </w:r>
          </w:p>
        </w:tc>
        <w:tc>
          <w:tcPr>
            <w:shd w:val="clear" w:color="auto" w:fill="f2f5fa"/>
            <w:tcBorders/>
            <w:tcMar>
              <w:left w:w="90" w:type="dxa"/>
              <w:top w:w="60" w:type="dxa"/>
              <w:right w:w="90" w:type="dxa"/>
              <w:bottom w:w="60" w:type="dxa"/>
            </w:tcMar>
            <w:tcW w:w="1685"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w:t>
            </w:r>
            <w:r>
              <w:rPr>
                <w:color w:val="000000" w:themeColor="text1"/>
              </w:rPr>
            </w:r>
          </w:p>
        </w:tc>
        <w:tc>
          <w:tcPr>
            <w:shd w:val="clear" w:color="auto" w:fill="f2f5fa"/>
            <w:tcBorders/>
            <w:tcMar>
              <w:left w:w="90" w:type="dxa"/>
              <w:top w:w="60" w:type="dxa"/>
              <w:right w:w="90" w:type="dxa"/>
              <w:bottom w:w="60" w:type="dxa"/>
            </w:tcMar>
            <w:tcW w:w="1685"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w:t>
            </w:r>
            <w:r>
              <w:rPr>
                <w:color w:val="000000" w:themeColor="text1"/>
              </w:rPr>
            </w:r>
          </w:p>
        </w:tc>
        <w:tc>
          <w:tcPr>
            <w:shd w:val="clear" w:color="auto" w:fill="f2f5fa"/>
            <w:tcBorders/>
            <w:tcMar>
              <w:left w:w="90" w:type="dxa"/>
              <w:top w:w="60" w:type="dxa"/>
              <w:right w:w="90" w:type="dxa"/>
              <w:bottom w:w="60" w:type="dxa"/>
            </w:tcMar>
            <w:tcW w:w="1778"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L A</w:t>
            </w:r>
            <w:r>
              <w:rPr>
                <w:color w:val="000000" w:themeColor="text1"/>
              </w:rPr>
            </w:r>
          </w:p>
        </w:tc>
      </w:tr>
      <w:tr>
        <w:trPr>
          <w:cantSplit w:val="false"/>
        </w:trPr>
        <w:tc>
          <w:tcPr>
            <w:shd w:val="clear" w:color="auto" w:fill="ffffff"/>
            <w:tcBorders/>
            <w:tcMar>
              <w:left w:w="90" w:type="dxa"/>
              <w:top w:w="60" w:type="dxa"/>
              <w:right w:w="90" w:type="dxa"/>
              <w:bottom w:w="60" w:type="dxa"/>
            </w:tcMar>
            <w:tcW w:w="2434"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Bloques de demanda</w:t>
            </w:r>
            <w:r>
              <w:rPr>
                <w:color w:val="000000" w:themeColor="text1"/>
              </w:rPr>
            </w:r>
          </w:p>
        </w:tc>
        <w:tc>
          <w:tcPr>
            <w:shd w:val="clear" w:color="auto" w:fill="ffffff"/>
            <w:tcBorders/>
            <w:tcMar>
              <w:left w:w="90" w:type="dxa"/>
              <w:top w:w="60" w:type="dxa"/>
              <w:right w:w="90" w:type="dxa"/>
              <w:bottom w:w="60" w:type="dxa"/>
            </w:tcMar>
            <w:tcW w:w="1778"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C L A B</w:t>
            </w:r>
            <w:r>
              <w:rPr>
                <w:color w:val="000000" w:themeColor="text1"/>
              </w:rPr>
            </w:r>
          </w:p>
        </w:tc>
        <w:tc>
          <w:tcPr>
            <w:shd w:val="clear" w:color="auto" w:fill="ffffff"/>
            <w:tcBorders/>
            <w:tcMar>
              <w:left w:w="90" w:type="dxa"/>
              <w:top w:w="60" w:type="dxa"/>
              <w:right w:w="90" w:type="dxa"/>
              <w:bottom w:w="60" w:type="dxa"/>
            </w:tcMar>
            <w:tcW w:w="1685"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L</w:t>
            </w:r>
            <w:r>
              <w:rPr>
                <w:color w:val="000000" w:themeColor="text1"/>
              </w:rPr>
            </w:r>
          </w:p>
        </w:tc>
        <w:tc>
          <w:tcPr>
            <w:shd w:val="clear" w:color="auto" w:fill="ffffff"/>
            <w:tcBorders/>
            <w:tcMar>
              <w:left w:w="90" w:type="dxa"/>
              <w:top w:w="60" w:type="dxa"/>
              <w:right w:w="90" w:type="dxa"/>
              <w:bottom w:w="60" w:type="dxa"/>
            </w:tcMar>
            <w:tcW w:w="1685"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L</w:t>
            </w:r>
            <w:r>
              <w:rPr>
                <w:color w:val="000000" w:themeColor="text1"/>
              </w:rPr>
            </w:r>
          </w:p>
        </w:tc>
        <w:tc>
          <w:tcPr>
            <w:shd w:val="clear" w:color="auto" w:fill="ffffff"/>
            <w:tcBorders/>
            <w:tcMar>
              <w:left w:w="90" w:type="dxa"/>
              <w:top w:w="60" w:type="dxa"/>
              <w:right w:w="90" w:type="dxa"/>
              <w:bottom w:w="60" w:type="dxa"/>
            </w:tcMar>
            <w:tcW w:w="1778"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L</w:t>
            </w:r>
            <w:r>
              <w:rPr>
                <w:color w:val="000000" w:themeColor="text1"/>
              </w:rPr>
            </w:r>
          </w:p>
        </w:tc>
      </w:tr>
      <w:tr>
        <w:trPr>
          <w:cantSplit w:val="false"/>
        </w:trPr>
        <w:tc>
          <w:tcPr>
            <w:shd w:val="clear" w:color="auto" w:fill="f2f5fa"/>
            <w:tcBorders/>
            <w:tcMar>
              <w:left w:w="90" w:type="dxa"/>
              <w:top w:w="60" w:type="dxa"/>
              <w:right w:w="90" w:type="dxa"/>
              <w:bottom w:w="60" w:type="dxa"/>
            </w:tcMar>
            <w:tcW w:w="2434"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Ofertas de excedentes</w:t>
            </w:r>
            <w:r>
              <w:rPr>
                <w:color w:val="000000" w:themeColor="text1"/>
              </w:rPr>
            </w:r>
          </w:p>
        </w:tc>
        <w:tc>
          <w:tcPr>
            <w:shd w:val="clear" w:color="auto" w:fill="f2f5fa"/>
            <w:tcBorders/>
            <w:tcMar>
              <w:left w:w="90" w:type="dxa"/>
              <w:top w:w="60" w:type="dxa"/>
              <w:right w:w="90" w:type="dxa"/>
              <w:bottom w:w="60" w:type="dxa"/>
            </w:tcMar>
            <w:tcW w:w="1778"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L</w:t>
            </w:r>
            <w:r>
              <w:rPr>
                <w:color w:val="000000" w:themeColor="text1"/>
              </w:rPr>
            </w:r>
          </w:p>
        </w:tc>
        <w:tc>
          <w:tcPr>
            <w:shd w:val="clear" w:color="auto" w:fill="f2f5fa"/>
            <w:tcBorders/>
            <w:tcMar>
              <w:left w:w="90" w:type="dxa"/>
              <w:top w:w="60" w:type="dxa"/>
              <w:right w:w="90" w:type="dxa"/>
              <w:bottom w:w="60" w:type="dxa"/>
            </w:tcMar>
            <w:tcW w:w="1685"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L</w:t>
            </w:r>
            <w:r>
              <w:rPr>
                <w:color w:val="000000" w:themeColor="text1"/>
              </w:rPr>
            </w:r>
          </w:p>
        </w:tc>
        <w:tc>
          <w:tcPr>
            <w:shd w:val="clear" w:color="auto" w:fill="f2f5fa"/>
            <w:tcBorders/>
            <w:tcMar>
              <w:left w:w="90" w:type="dxa"/>
              <w:top w:w="60" w:type="dxa"/>
              <w:right w:w="90" w:type="dxa"/>
              <w:bottom w:w="60" w:type="dxa"/>
            </w:tcMar>
            <w:tcW w:w="1685"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C L A B</w:t>
            </w:r>
            <w:r>
              <w:rPr>
                <w:color w:val="000000" w:themeColor="text1"/>
              </w:rPr>
            </w:r>
          </w:p>
        </w:tc>
        <w:tc>
          <w:tcPr>
            <w:shd w:val="clear" w:color="auto" w:fill="f2f5fa"/>
            <w:tcBorders/>
            <w:tcMar>
              <w:left w:w="90" w:type="dxa"/>
              <w:top w:w="60" w:type="dxa"/>
              <w:right w:w="90" w:type="dxa"/>
              <w:bottom w:w="60" w:type="dxa"/>
            </w:tcMar>
            <w:tcW w:w="1778"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L</w:t>
            </w:r>
            <w:r>
              <w:rPr>
                <w:color w:val="000000" w:themeColor="text1"/>
              </w:rPr>
            </w:r>
          </w:p>
        </w:tc>
      </w:tr>
      <w:tr>
        <w:trPr>
          <w:cantSplit w:val="false"/>
        </w:trPr>
        <w:tc>
          <w:tcPr>
            <w:shd w:val="clear" w:color="auto" w:fill="ffffff"/>
            <w:tcBorders/>
            <w:tcMar>
              <w:left w:w="90" w:type="dxa"/>
              <w:top w:w="60" w:type="dxa"/>
              <w:right w:w="90" w:type="dxa"/>
              <w:bottom w:w="60" w:type="dxa"/>
            </w:tcMar>
            <w:tcW w:w="2434"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Cotizaciones</w:t>
            </w:r>
            <w:r>
              <w:rPr>
                <w:color w:val="000000" w:themeColor="text1"/>
              </w:rPr>
            </w:r>
          </w:p>
        </w:tc>
        <w:tc>
          <w:tcPr>
            <w:shd w:val="clear" w:color="auto" w:fill="ffffff"/>
            <w:tcBorders/>
            <w:tcMar>
              <w:left w:w="90" w:type="dxa"/>
              <w:top w:w="60" w:type="dxa"/>
              <w:right w:w="90" w:type="dxa"/>
              <w:bottom w:w="60" w:type="dxa"/>
            </w:tcMar>
            <w:tcW w:w="1778"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L A (aceptar/contraofertar)</w:t>
            </w:r>
            <w:r>
              <w:rPr>
                <w:color w:val="000000" w:themeColor="text1"/>
              </w:rPr>
            </w:r>
          </w:p>
        </w:tc>
        <w:tc>
          <w:tcPr>
            <w:shd w:val="clear" w:color="auto" w:fill="ffffff"/>
            <w:tcBorders/>
            <w:tcMar>
              <w:left w:w="90" w:type="dxa"/>
              <w:top w:w="60" w:type="dxa"/>
              <w:right w:w="90" w:type="dxa"/>
              <w:bottom w:w="60" w:type="dxa"/>
            </w:tcMar>
            <w:tcW w:w="1685"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C L A</w:t>
            </w:r>
            <w:r>
              <w:rPr>
                <w:color w:val="000000" w:themeColor="text1"/>
              </w:rPr>
            </w:r>
          </w:p>
        </w:tc>
        <w:tc>
          <w:tcPr>
            <w:shd w:val="clear" w:color="auto" w:fill="ffffff"/>
            <w:tcBorders/>
            <w:tcMar>
              <w:left w:w="90" w:type="dxa"/>
              <w:top w:w="60" w:type="dxa"/>
              <w:right w:w="90" w:type="dxa"/>
              <w:bottom w:w="60" w:type="dxa"/>
            </w:tcMar>
            <w:tcW w:w="1685"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w:t>
            </w:r>
            <w:r>
              <w:rPr>
                <w:color w:val="000000" w:themeColor="text1"/>
              </w:rPr>
            </w:r>
          </w:p>
        </w:tc>
        <w:tc>
          <w:tcPr>
            <w:shd w:val="clear" w:color="auto" w:fill="ffffff"/>
            <w:tcBorders/>
            <w:tcMar>
              <w:left w:w="90" w:type="dxa"/>
              <w:top w:w="60" w:type="dxa"/>
              <w:right w:w="90" w:type="dxa"/>
              <w:bottom w:w="60" w:type="dxa"/>
            </w:tcMar>
            <w:tcW w:w="1778"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L</w:t>
            </w:r>
            <w:r>
              <w:rPr>
                <w:color w:val="000000" w:themeColor="text1"/>
              </w:rPr>
            </w:r>
          </w:p>
        </w:tc>
      </w:tr>
      <w:tr>
        <w:trPr>
          <w:cantSplit w:val="false"/>
        </w:trPr>
        <w:tc>
          <w:tcPr>
            <w:shd w:val="clear" w:color="auto" w:fill="f2f5fa"/>
            <w:tcBorders/>
            <w:tcMar>
              <w:left w:w="90" w:type="dxa"/>
              <w:top w:w="60" w:type="dxa"/>
              <w:right w:w="90" w:type="dxa"/>
              <w:bottom w:w="60" w:type="dxa"/>
            </w:tcMar>
            <w:tcW w:w="2434"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Conversación privada</w:t>
            </w:r>
            <w:r>
              <w:rPr>
                <w:color w:val="000000" w:themeColor="text1"/>
              </w:rPr>
            </w:r>
          </w:p>
        </w:tc>
        <w:tc>
          <w:tcPr>
            <w:shd w:val="clear" w:color="auto" w:fill="f2f5fa"/>
            <w:tcBorders/>
            <w:tcMar>
              <w:left w:w="90" w:type="dxa"/>
              <w:top w:w="60" w:type="dxa"/>
              <w:right w:w="90" w:type="dxa"/>
              <w:bottom w:w="60" w:type="dxa"/>
            </w:tcMar>
            <w:tcW w:w="1778"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C L (si es parte)</w:t>
            </w:r>
            <w:r>
              <w:rPr>
                <w:color w:val="000000" w:themeColor="text1"/>
              </w:rPr>
            </w:r>
          </w:p>
        </w:tc>
        <w:tc>
          <w:tcPr>
            <w:shd w:val="clear" w:color="auto" w:fill="f2f5fa"/>
            <w:tcBorders/>
            <w:tcMar>
              <w:left w:w="90" w:type="dxa"/>
              <w:top w:w="60" w:type="dxa"/>
              <w:right w:w="90" w:type="dxa"/>
              <w:bottom w:w="60" w:type="dxa"/>
            </w:tcMar>
            <w:tcW w:w="1685"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C L (si es parte)</w:t>
            </w:r>
            <w:r>
              <w:rPr>
                <w:color w:val="000000" w:themeColor="text1"/>
              </w:rPr>
            </w:r>
          </w:p>
        </w:tc>
        <w:tc>
          <w:tcPr>
            <w:shd w:val="clear" w:color="auto" w:fill="f2f5fa"/>
            <w:tcBorders/>
            <w:tcMar>
              <w:left w:w="90" w:type="dxa"/>
              <w:top w:w="60" w:type="dxa"/>
              <w:right w:w="90" w:type="dxa"/>
              <w:bottom w:w="60" w:type="dxa"/>
            </w:tcMar>
            <w:tcW w:w="1685"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C L (si es parte)</w:t>
            </w:r>
            <w:r>
              <w:rPr>
                <w:color w:val="000000" w:themeColor="text1"/>
              </w:rPr>
            </w:r>
          </w:p>
        </w:tc>
        <w:tc>
          <w:tcPr>
            <w:shd w:val="clear" w:color="auto" w:fill="f2f5fa"/>
            <w:tcBorders/>
            <w:tcMar>
              <w:left w:w="90" w:type="dxa"/>
              <w:top w:w="60" w:type="dxa"/>
              <w:right w:w="90" w:type="dxa"/>
              <w:bottom w:w="60" w:type="dxa"/>
            </w:tcMar>
            <w:tcW w:w="1778"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L (solo en disputa)</w:t>
            </w:r>
            <w:r>
              <w:rPr>
                <w:color w:val="000000" w:themeColor="text1"/>
              </w:rPr>
            </w:r>
          </w:p>
        </w:tc>
      </w:tr>
      <w:tr>
        <w:trPr>
          <w:cantSplit w:val="false"/>
        </w:trPr>
        <w:tc>
          <w:tcPr>
            <w:shd w:val="clear" w:color="auto" w:fill="ffffff"/>
            <w:tcBorders/>
            <w:tcMar>
              <w:left w:w="90" w:type="dxa"/>
              <w:top w:w="60" w:type="dxa"/>
              <w:right w:w="90" w:type="dxa"/>
              <w:bottom w:w="60" w:type="dxa"/>
            </w:tcMar>
            <w:tcW w:w="2434"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Calificaciones</w:t>
            </w:r>
            <w:r>
              <w:rPr>
                <w:color w:val="000000" w:themeColor="text1"/>
              </w:rPr>
            </w:r>
          </w:p>
        </w:tc>
        <w:tc>
          <w:tcPr>
            <w:shd w:val="clear" w:color="auto" w:fill="ffffff"/>
            <w:tcBorders/>
            <w:tcMar>
              <w:left w:w="90" w:type="dxa"/>
              <w:top w:w="60" w:type="dxa"/>
              <w:right w:w="90" w:type="dxa"/>
              <w:bottom w:w="60" w:type="dxa"/>
            </w:tcMar>
            <w:tcW w:w="1778"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C L</w:t>
            </w:r>
            <w:r>
              <w:rPr>
                <w:color w:val="000000" w:themeColor="text1"/>
              </w:rPr>
            </w:r>
          </w:p>
        </w:tc>
        <w:tc>
          <w:tcPr>
            <w:shd w:val="clear" w:color="auto" w:fill="ffffff"/>
            <w:tcBorders/>
            <w:tcMar>
              <w:left w:w="90" w:type="dxa"/>
              <w:top w:w="60" w:type="dxa"/>
              <w:right w:w="90" w:type="dxa"/>
              <w:bottom w:w="60" w:type="dxa"/>
            </w:tcMar>
            <w:tcW w:w="1685"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C L</w:t>
            </w:r>
            <w:r>
              <w:rPr>
                <w:color w:val="000000" w:themeColor="text1"/>
              </w:rPr>
            </w:r>
          </w:p>
        </w:tc>
        <w:tc>
          <w:tcPr>
            <w:shd w:val="clear" w:color="auto" w:fill="ffffff"/>
            <w:tcBorders/>
            <w:tcMar>
              <w:left w:w="90" w:type="dxa"/>
              <w:top w:w="60" w:type="dxa"/>
              <w:right w:w="90" w:type="dxa"/>
              <w:bottom w:w="60" w:type="dxa"/>
            </w:tcMar>
            <w:tcW w:w="1685"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C L</w:t>
            </w:r>
            <w:r>
              <w:rPr>
                <w:color w:val="000000" w:themeColor="text1"/>
              </w:rPr>
            </w:r>
          </w:p>
        </w:tc>
        <w:tc>
          <w:tcPr>
            <w:shd w:val="clear" w:color="auto" w:fill="ffffff"/>
            <w:tcBorders/>
            <w:tcMar>
              <w:left w:w="90" w:type="dxa"/>
              <w:top w:w="60" w:type="dxa"/>
              <w:right w:w="90" w:type="dxa"/>
              <w:bottom w:w="60" w:type="dxa"/>
            </w:tcMar>
            <w:tcW w:w="1778"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L A (suspender)</w:t>
            </w:r>
            <w:r>
              <w:rPr>
                <w:color w:val="000000" w:themeColor="text1"/>
              </w:rPr>
            </w:r>
          </w:p>
        </w:tc>
      </w:tr>
      <w:tr>
        <w:trPr>
          <w:cantSplit w:val="false"/>
        </w:trPr>
        <w:tc>
          <w:tcPr>
            <w:shd w:val="clear" w:color="auto" w:fill="f2f5fa"/>
            <w:tcBorders/>
            <w:tcMar>
              <w:left w:w="90" w:type="dxa"/>
              <w:top w:w="60" w:type="dxa"/>
              <w:right w:w="90" w:type="dxa"/>
              <w:bottom w:w="60" w:type="dxa"/>
            </w:tcMar>
            <w:tcW w:w="2434"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Bitácora de auditoría</w:t>
            </w:r>
            <w:r>
              <w:rPr>
                <w:color w:val="000000" w:themeColor="text1"/>
              </w:rPr>
            </w:r>
          </w:p>
        </w:tc>
        <w:tc>
          <w:tcPr>
            <w:shd w:val="clear" w:color="auto" w:fill="f2f5fa"/>
            <w:tcBorders/>
            <w:tcMar>
              <w:left w:w="90" w:type="dxa"/>
              <w:top w:w="60" w:type="dxa"/>
              <w:right w:w="90" w:type="dxa"/>
              <w:bottom w:w="60" w:type="dxa"/>
            </w:tcMar>
            <w:tcW w:w="1778"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w:t>
            </w:r>
            <w:r>
              <w:rPr>
                <w:color w:val="000000" w:themeColor="text1"/>
              </w:rPr>
            </w:r>
          </w:p>
        </w:tc>
        <w:tc>
          <w:tcPr>
            <w:shd w:val="clear" w:color="auto" w:fill="f2f5fa"/>
            <w:tcBorders/>
            <w:tcMar>
              <w:left w:w="90" w:type="dxa"/>
              <w:top w:w="60" w:type="dxa"/>
              <w:right w:w="90" w:type="dxa"/>
              <w:bottom w:w="60" w:type="dxa"/>
            </w:tcMar>
            <w:tcW w:w="1685"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w:t>
            </w:r>
            <w:r>
              <w:rPr>
                <w:color w:val="000000" w:themeColor="text1"/>
              </w:rPr>
            </w:r>
          </w:p>
        </w:tc>
        <w:tc>
          <w:tcPr>
            <w:shd w:val="clear" w:color="auto" w:fill="f2f5fa"/>
            <w:tcBorders/>
            <w:tcMar>
              <w:left w:w="90" w:type="dxa"/>
              <w:top w:w="60" w:type="dxa"/>
              <w:right w:w="90" w:type="dxa"/>
              <w:bottom w:w="60" w:type="dxa"/>
            </w:tcMar>
            <w:tcW w:w="1685"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w:t>
            </w:r>
            <w:r>
              <w:rPr>
                <w:color w:val="000000" w:themeColor="text1"/>
              </w:rPr>
            </w:r>
          </w:p>
        </w:tc>
        <w:tc>
          <w:tcPr>
            <w:shd w:val="clear" w:color="auto" w:fill="f2f5fa"/>
            <w:tcBorders/>
            <w:tcMar>
              <w:left w:w="90" w:type="dxa"/>
              <w:top w:w="60" w:type="dxa"/>
              <w:right w:w="90" w:type="dxa"/>
              <w:bottom w:w="60" w:type="dxa"/>
            </w:tcMar>
            <w:tcW w:w="1778"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L</w:t>
            </w:r>
            <w:r>
              <w:rPr>
                <w:color w:val="000000" w:themeColor="text1"/>
              </w:rPr>
            </w:r>
          </w:p>
        </w:tc>
      </w:tr>
      <w:tr>
        <w:trPr>
          <w:cantSplit w:val="false"/>
        </w:trPr>
        <w:tc>
          <w:tcPr>
            <w:shd w:val="clear" w:color="auto" w:fill="ffffff"/>
            <w:tcBorders/>
            <w:tcMar>
              <w:left w:w="90" w:type="dxa"/>
              <w:top w:w="60" w:type="dxa"/>
              <w:right w:w="90" w:type="dxa"/>
              <w:bottom w:w="60" w:type="dxa"/>
            </w:tcMar>
            <w:tcW w:w="2434"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Tablero de indicadores y exportaciones</w:t>
            </w:r>
            <w:r>
              <w:rPr>
                <w:color w:val="000000" w:themeColor="text1"/>
              </w:rPr>
            </w:r>
          </w:p>
        </w:tc>
        <w:tc>
          <w:tcPr>
            <w:shd w:val="clear" w:color="auto" w:fill="ffffff"/>
            <w:tcBorders/>
            <w:tcMar>
              <w:left w:w="90" w:type="dxa"/>
              <w:top w:w="60" w:type="dxa"/>
              <w:right w:w="90" w:type="dxa"/>
              <w:bottom w:w="60" w:type="dxa"/>
            </w:tcMar>
            <w:tcW w:w="1778"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w:t>
            </w:r>
            <w:r>
              <w:rPr>
                <w:color w:val="000000" w:themeColor="text1"/>
              </w:rPr>
            </w:r>
          </w:p>
        </w:tc>
        <w:tc>
          <w:tcPr>
            <w:shd w:val="clear" w:color="auto" w:fill="ffffff"/>
            <w:tcBorders/>
            <w:tcMar>
              <w:left w:w="90" w:type="dxa"/>
              <w:top w:w="60" w:type="dxa"/>
              <w:right w:w="90" w:type="dxa"/>
              <w:bottom w:w="60" w:type="dxa"/>
            </w:tcMar>
            <w:tcW w:w="1685"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w:t>
            </w:r>
            <w:r>
              <w:rPr>
                <w:color w:val="000000" w:themeColor="text1"/>
              </w:rPr>
            </w:r>
          </w:p>
        </w:tc>
        <w:tc>
          <w:tcPr>
            <w:shd w:val="clear" w:color="auto" w:fill="ffffff"/>
            <w:tcBorders/>
            <w:tcMar>
              <w:left w:w="90" w:type="dxa"/>
              <w:top w:w="60" w:type="dxa"/>
              <w:right w:w="90" w:type="dxa"/>
              <w:bottom w:w="60" w:type="dxa"/>
            </w:tcMar>
            <w:tcW w:w="1685"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w:t>
            </w:r>
            <w:r>
              <w:rPr>
                <w:color w:val="000000" w:themeColor="text1"/>
              </w:rPr>
            </w:r>
          </w:p>
        </w:tc>
        <w:tc>
          <w:tcPr>
            <w:shd w:val="clear" w:color="auto" w:fill="ffffff"/>
            <w:tcBorders/>
            <w:tcMar>
              <w:left w:w="90" w:type="dxa"/>
              <w:top w:w="60" w:type="dxa"/>
              <w:right w:w="90" w:type="dxa"/>
              <w:bottom w:w="60" w:type="dxa"/>
            </w:tcMar>
            <w:tcW w:w="1778"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L</w:t>
            </w:r>
            <w:r>
              <w:rPr>
                <w:color w:val="000000" w:themeColor="text1"/>
              </w:rPr>
            </w:r>
          </w:p>
        </w:tc>
      </w:tr>
    </w:tbl>
    <w:p>
      <w:pPr>
        <w:pBdr/>
        <w:spacing w:after="160"/>
        <w:ind/>
        <w:rPr>
          <w:color w:val="000000" w:themeColor="text1"/>
        </w:rPr>
      </w:pPr>
      <w:r>
        <w:rPr>
          <w:color w:val="000000" w:themeColor="text1"/>
          <w:lang w:val="es-ES" w:bidi="es-ES"/>
        </w:rPr>
      </w:r>
      <w:r>
        <w:rPr>
          <w:color w:val="000000" w:themeColor="text1"/>
        </w:rPr>
      </w:r>
    </w:p>
    <w:p>
      <w:pPr>
        <w:pBdr/>
        <w:spacing w:after="140" w:line="276" w:lineRule="auto"/>
        <w:ind/>
        <w:jc w:val="both"/>
        <w:rPr>
          <w:color w:val="000000" w:themeColor="text1"/>
        </w:rPr>
      </w:pPr>
      <w:r>
        <w:rPr>
          <w:rFonts w:ascii="Calibri" w:hAnsi="Calibri" w:eastAsia="Calibri" w:cs="Calibri"/>
          <w:color w:val="000000" w:themeColor="text1"/>
          <w:sz w:val="21"/>
          <w:szCs w:val="21"/>
          <w:lang w:val="es-ES"/>
        </w:rPr>
        <w:t xml:space="preserve">La leyenda declarada en PV-03 se aplica sin excepciones: C = crear, L = leer, A = actualizar, B = borrar y el guion indica ausencia total de acceso. Debe notarse que ningún rol, incluido el de Administrador, posee permiso de actualización o borrado sobre la bitácora de auditoría; es la expresión concreta del principio PA-06 y de la decisión ADR-05.</w:t>
      </w:r>
      <w:r>
        <w:rPr>
          <w:color w:val="000000" w:themeColor="text1"/>
        </w:rPr>
      </w:r>
    </w:p>
    <w:p>
      <w:pPr>
        <w:pStyle w:val="905"/>
        <w:keepNext w:val="true"/>
        <w:pBdr/>
        <w:spacing w:after="120" w:before="220"/>
        <w:ind/>
        <w:rPr>
          <w:color w:val="000000" w:themeColor="text1"/>
        </w:rPr>
      </w:pPr>
      <w:r/>
      <w:bookmarkStart w:id="36" w:name="_Toc36"/>
      <w:r>
        <w:rPr>
          <w:rFonts w:ascii="Calibri" w:hAnsi="Calibri" w:eastAsia="Calibri" w:cs="Calibri"/>
          <w:b/>
          <w:bCs/>
          <w:color w:val="000000" w:themeColor="text1"/>
          <w:sz w:val="22"/>
          <w:szCs w:val="22"/>
          <w:lang w:val="es-ES"/>
        </w:rPr>
        <w:t xml:space="preserve">2.9.4 V-04 — Vista de despliegue e infraestructura</w:t>
      </w:r>
      <w:r/>
      <w:bookmarkEnd w:id="36"/>
      <w:r/>
      <w:r>
        <w:rPr>
          <w:color w:val="000000" w:themeColor="text1"/>
        </w:rPr>
      </w:r>
    </w:p>
    <w:p>
      <w:pPr>
        <w:pBdr/>
        <w:spacing w:after="140" w:line="276" w:lineRule="auto"/>
        <w:ind/>
        <w:jc w:val="both"/>
        <w:rPr>
          <w:color w:val="000000" w:themeColor="text1"/>
        </w:rPr>
      </w:pPr>
      <w:r>
        <w:rPr>
          <w:rFonts w:ascii="Calibri" w:hAnsi="Calibri" w:eastAsia="Calibri" w:cs="Calibri"/>
          <w:color w:val="000000" w:themeColor="text1"/>
          <w:sz w:val="21"/>
          <w:szCs w:val="21"/>
          <w:lang w:val="es-ES"/>
        </w:rPr>
        <w:t xml:space="preserve">Esta vista atiende cuatro de las ocho preocupaciones —P-01, P-04, P-06 y P-08— y es la que traduce las decisiones estructurales en consecuencias operativas y económicas. El diagrama figura en el Anexo C.</w:t>
      </w:r>
      <w:r>
        <w:rPr>
          <w:color w:val="000000" w:themeColor="text1"/>
        </w:rPr>
      </w:r>
    </w:p>
    <w:tbl>
      <w:tblPr>
        <w:tblW w:w="9360" w:type="dxa"/>
        <w:tblBorders>
          <w:top w:val="single" w:color="8ea9db" w:sz="4" w:space="0"/>
          <w:left w:val="single" w:color="8ea9db" w:sz="4" w:space="0"/>
          <w:bottom w:val="single" w:color="8ea9db" w:sz="4" w:space="0"/>
          <w:right w:val="single" w:color="8ea9db" w:sz="4" w:space="0"/>
          <w:insideH w:val="single" w:color="b4c6e7" w:sz="2" w:space="0"/>
          <w:insideV w:val="single" w:color="b4c6e7" w:sz="2" w:space="0"/>
        </w:tblBorders>
        <w:tblLook w:val="04A0" w:firstRow="1" w:lastRow="0" w:firstColumn="1" w:lastColumn="0" w:noHBand="0" w:noVBand="1"/>
      </w:tblPr>
      <w:tblGrid>
        <w:gridCol w:w="1685"/>
        <w:gridCol w:w="5429"/>
        <w:gridCol w:w="2246"/>
      </w:tblGrid>
      <w:tr>
        <w:trPr>
          <w:cantSplit w:val="false"/>
          <w:tblHeader/>
        </w:trPr>
        <w:tc>
          <w:tcPr>
            <w:shd w:val="clear" w:color="auto" w:fill="d9e2f3"/>
            <w:tcBorders/>
            <w:tcMar>
              <w:left w:w="90" w:type="dxa"/>
              <w:top w:w="60" w:type="dxa"/>
              <w:right w:w="90" w:type="dxa"/>
              <w:bottom w:w="60" w:type="dxa"/>
            </w:tcMar>
            <w:tcW w:w="1685"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Atributo de calidad</w:t>
            </w:r>
            <w:r>
              <w:rPr>
                <w:color w:val="000000" w:themeColor="text1"/>
              </w:rPr>
            </w:r>
          </w:p>
        </w:tc>
        <w:tc>
          <w:tcPr>
            <w:shd w:val="clear" w:color="auto" w:fill="d9e2f3"/>
            <w:tcBorders/>
            <w:tcMar>
              <w:left w:w="90" w:type="dxa"/>
              <w:top w:w="60" w:type="dxa"/>
              <w:right w:w="90" w:type="dxa"/>
              <w:bottom w:w="60" w:type="dxa"/>
            </w:tcMar>
            <w:tcW w:w="5429"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Estrategia de despliegue adoptada</w:t>
            </w:r>
            <w:r>
              <w:rPr>
                <w:color w:val="000000" w:themeColor="text1"/>
              </w:rPr>
            </w:r>
          </w:p>
        </w:tc>
        <w:tc>
          <w:tcPr>
            <w:shd w:val="clear" w:color="auto" w:fill="d9e2f3"/>
            <w:tcBorders/>
            <w:tcMar>
              <w:left w:w="90" w:type="dxa"/>
              <w:top w:w="60" w:type="dxa"/>
              <w:right w:w="90" w:type="dxa"/>
              <w:bottom w:w="60" w:type="dxa"/>
            </w:tcMar>
            <w:tcW w:w="2246"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Requisito que satisface</w:t>
            </w:r>
            <w:r>
              <w:rPr>
                <w:color w:val="000000" w:themeColor="text1"/>
              </w:rPr>
            </w:r>
          </w:p>
        </w:tc>
      </w:tr>
      <w:tr>
        <w:trPr>
          <w:cantSplit w:val="false"/>
        </w:trPr>
        <w:tc>
          <w:tcPr>
            <w:shd w:val="clear" w:color="auto" w:fill="ffffff"/>
            <w:tcBorders/>
            <w:tcMar>
              <w:left w:w="90" w:type="dxa"/>
              <w:top w:w="60" w:type="dxa"/>
              <w:right w:w="90" w:type="dxa"/>
              <w:bottom w:w="60" w:type="dxa"/>
            </w:tcMar>
            <w:tcW w:w="1685"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Escalabilidad</w:t>
            </w:r>
            <w:r>
              <w:rPr>
                <w:color w:val="000000" w:themeColor="text1"/>
              </w:rPr>
            </w:r>
          </w:p>
        </w:tc>
        <w:tc>
          <w:tcPr>
            <w:shd w:val="clear" w:color="auto" w:fill="ffffff"/>
            <w:tcBorders/>
            <w:tcMar>
              <w:left w:w="90" w:type="dxa"/>
              <w:top w:w="60" w:type="dxa"/>
              <w:right w:w="90" w:type="dxa"/>
              <w:bottom w:w="60" w:type="dxa"/>
            </w:tcMar>
            <w:tcW w:w="5429"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Instancias de aplicación sin estado tras un balanceador de carga; el crecimiento se absorbe incorporando instancias, no reescribiendo código. La réplica de lectura descarga las consultas de búsqueda y del tablero.</w:t>
            </w:r>
            <w:r>
              <w:rPr>
                <w:color w:val="000000" w:themeColor="text1"/>
              </w:rPr>
            </w:r>
          </w:p>
        </w:tc>
        <w:tc>
          <w:tcPr>
            <w:shd w:val="clear" w:color="auto" w:fill="ffffff"/>
            <w:tcBorders/>
            <w:tcMar>
              <w:left w:w="90" w:type="dxa"/>
              <w:top w:w="60" w:type="dxa"/>
              <w:right w:w="90" w:type="dxa"/>
              <w:bottom w:w="60" w:type="dxa"/>
            </w:tcMar>
            <w:tcW w:w="2246"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RNF-05 (500 concurrentes, crecimiento del 200 %)</w:t>
            </w:r>
            <w:r>
              <w:rPr>
                <w:color w:val="000000" w:themeColor="text1"/>
              </w:rPr>
            </w:r>
          </w:p>
        </w:tc>
      </w:tr>
      <w:tr>
        <w:trPr>
          <w:cantSplit w:val="false"/>
        </w:trPr>
        <w:tc>
          <w:tcPr>
            <w:shd w:val="clear" w:color="auto" w:fill="f2f5fa"/>
            <w:tcBorders/>
            <w:tcMar>
              <w:left w:w="90" w:type="dxa"/>
              <w:top w:w="60" w:type="dxa"/>
              <w:right w:w="90" w:type="dxa"/>
              <w:bottom w:w="60" w:type="dxa"/>
            </w:tcMar>
            <w:tcW w:w="1685"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Rendimiento</w:t>
            </w:r>
            <w:r>
              <w:rPr>
                <w:color w:val="000000" w:themeColor="text1"/>
              </w:rPr>
            </w:r>
          </w:p>
        </w:tc>
        <w:tc>
          <w:tcPr>
            <w:shd w:val="clear" w:color="auto" w:fill="f2f5fa"/>
            <w:tcBorders/>
            <w:tcMar>
              <w:left w:w="90" w:type="dxa"/>
              <w:top w:w="60" w:type="dxa"/>
              <w:right w:w="90" w:type="dxa"/>
              <w:bottom w:w="60" w:type="dxa"/>
            </w:tcMar>
            <w:tcW w:w="5429"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Entrega de activos estáticos comprimidos y minificados por red de distribución de contenido; caché distribuida para resultados de búsqueda frecuentes; notificaciones fuera del ciclo de petición y respuesta.</w:t>
            </w:r>
            <w:r>
              <w:rPr>
                <w:color w:val="000000" w:themeColor="text1"/>
              </w:rPr>
            </w:r>
          </w:p>
        </w:tc>
        <w:tc>
          <w:tcPr>
            <w:shd w:val="clear" w:color="auto" w:fill="f2f5fa"/>
            <w:tcBorders/>
            <w:tcMar>
              <w:left w:w="90" w:type="dxa"/>
              <w:top w:w="60" w:type="dxa"/>
              <w:right w:w="90" w:type="dxa"/>
              <w:bottom w:w="60" w:type="dxa"/>
            </w:tcMar>
            <w:tcW w:w="2246"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RNF-01 (&lt; 2,5 s en 4G, &lt; 5,0 s en 3G, ≤ 2,5 MB)</w:t>
            </w:r>
            <w:r>
              <w:rPr>
                <w:color w:val="000000" w:themeColor="text1"/>
              </w:rPr>
            </w:r>
          </w:p>
        </w:tc>
      </w:tr>
      <w:tr>
        <w:trPr>
          <w:cantSplit w:val="false"/>
        </w:trPr>
        <w:tc>
          <w:tcPr>
            <w:shd w:val="clear" w:color="auto" w:fill="ffffff"/>
            <w:tcBorders/>
            <w:tcMar>
              <w:left w:w="90" w:type="dxa"/>
              <w:top w:w="60" w:type="dxa"/>
              <w:right w:w="90" w:type="dxa"/>
              <w:bottom w:w="60" w:type="dxa"/>
            </w:tcMar>
            <w:tcW w:w="1685"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Disponibilidad</w:t>
            </w:r>
            <w:r>
              <w:rPr>
                <w:color w:val="000000" w:themeColor="text1"/>
              </w:rPr>
            </w:r>
          </w:p>
        </w:tc>
        <w:tc>
          <w:tcPr>
            <w:shd w:val="clear" w:color="auto" w:fill="ffffff"/>
            <w:tcBorders/>
            <w:tcMar>
              <w:left w:w="90" w:type="dxa"/>
              <w:top w:w="60" w:type="dxa"/>
              <w:right w:w="90" w:type="dxa"/>
              <w:bottom w:w="60" w:type="dxa"/>
            </w:tcMar>
            <w:tcW w:w="5429"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Mínimo de dos instancias de aplicación desde el primer despliegue; sondas de vitalidad con reinicio automático; ventanas de mantenimiento comunicadas con 72 horas de antelación.</w:t>
            </w:r>
            <w:r>
              <w:rPr>
                <w:color w:val="000000" w:themeColor="text1"/>
              </w:rPr>
            </w:r>
          </w:p>
        </w:tc>
        <w:tc>
          <w:tcPr>
            <w:shd w:val="clear" w:color="auto" w:fill="ffffff"/>
            <w:tcBorders/>
            <w:tcMar>
              <w:left w:w="90" w:type="dxa"/>
              <w:top w:w="60" w:type="dxa"/>
              <w:right w:w="90" w:type="dxa"/>
              <w:bottom w:w="60" w:type="dxa"/>
            </w:tcMar>
            <w:tcW w:w="2246"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RNF-02 (≥ 99,0 % mensual)</w:t>
            </w:r>
            <w:r>
              <w:rPr>
                <w:color w:val="000000" w:themeColor="text1"/>
              </w:rPr>
            </w:r>
          </w:p>
        </w:tc>
      </w:tr>
      <w:tr>
        <w:trPr>
          <w:cantSplit w:val="false"/>
        </w:trPr>
        <w:tc>
          <w:tcPr>
            <w:shd w:val="clear" w:color="auto" w:fill="f2f5fa"/>
            <w:tcBorders/>
            <w:tcMar>
              <w:left w:w="90" w:type="dxa"/>
              <w:top w:w="60" w:type="dxa"/>
              <w:right w:w="90" w:type="dxa"/>
              <w:bottom w:w="60" w:type="dxa"/>
            </w:tcMar>
            <w:tcW w:w="1685"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Seguridad</w:t>
            </w:r>
            <w:r>
              <w:rPr>
                <w:color w:val="000000" w:themeColor="text1"/>
              </w:rPr>
            </w:r>
          </w:p>
        </w:tc>
        <w:tc>
          <w:tcPr>
            <w:shd w:val="clear" w:color="auto" w:fill="f2f5fa"/>
            <w:tcBorders/>
            <w:tcMar>
              <w:left w:w="90" w:type="dxa"/>
              <w:top w:w="60" w:type="dxa"/>
              <w:right w:w="90" w:type="dxa"/>
              <w:bottom w:w="60" w:type="dxa"/>
            </w:tcMar>
            <w:tcW w:w="5429"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Terminación de TLS 1.3 en el balanceador con certificado de autoridad reconocida; limitación de 120 peticiones por minuto y por IP con respuesta HTTP 429; cifrado AES-256 de los volúmenes de datos.</w:t>
            </w:r>
            <w:r>
              <w:rPr>
                <w:color w:val="000000" w:themeColor="text1"/>
              </w:rPr>
            </w:r>
          </w:p>
        </w:tc>
        <w:tc>
          <w:tcPr>
            <w:shd w:val="clear" w:color="auto" w:fill="f2f5fa"/>
            <w:tcBorders/>
            <w:tcMar>
              <w:left w:w="90" w:type="dxa"/>
              <w:top w:w="60" w:type="dxa"/>
              <w:right w:w="90" w:type="dxa"/>
              <w:bottom w:w="60" w:type="dxa"/>
            </w:tcMar>
            <w:tcW w:w="2246"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RNF-03; SYS-NFN-01, 02, 03</w:t>
            </w:r>
            <w:r>
              <w:rPr>
                <w:color w:val="000000" w:themeColor="text1"/>
              </w:rPr>
            </w:r>
          </w:p>
        </w:tc>
      </w:tr>
      <w:tr>
        <w:trPr>
          <w:cantSplit w:val="false"/>
        </w:trPr>
        <w:tc>
          <w:tcPr>
            <w:shd w:val="clear" w:color="auto" w:fill="ffffff"/>
            <w:tcBorders/>
            <w:tcMar>
              <w:left w:w="90" w:type="dxa"/>
              <w:top w:w="60" w:type="dxa"/>
              <w:right w:w="90" w:type="dxa"/>
              <w:bottom w:w="60" w:type="dxa"/>
            </w:tcMar>
            <w:tcW w:w="1685"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Fiabilidad y recuperación</w:t>
            </w:r>
            <w:r>
              <w:rPr>
                <w:color w:val="000000" w:themeColor="text1"/>
              </w:rPr>
            </w:r>
          </w:p>
        </w:tc>
        <w:tc>
          <w:tcPr>
            <w:shd w:val="clear" w:color="auto" w:fill="ffffff"/>
            <w:tcBorders/>
            <w:tcMar>
              <w:left w:w="90" w:type="dxa"/>
              <w:top w:w="60" w:type="dxa"/>
              <w:right w:w="90" w:type="dxa"/>
              <w:bottom w:w="60" w:type="dxa"/>
            </w:tcMar>
            <w:tcW w:w="5429"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Respaldo completo diario a las 02:00 con retención de 30 días e incrementales cada 6 horas; archivado automático de la auditoría a los 90 días con conservación de 7 años; restauración de prueba periódica.</w:t>
            </w:r>
            <w:r>
              <w:rPr>
                <w:color w:val="000000" w:themeColor="text1"/>
              </w:rPr>
            </w:r>
          </w:p>
        </w:tc>
        <w:tc>
          <w:tcPr>
            <w:shd w:val="clear" w:color="auto" w:fill="ffffff"/>
            <w:tcBorders/>
            <w:tcMar>
              <w:left w:w="90" w:type="dxa"/>
              <w:top w:w="60" w:type="dxa"/>
              <w:right w:w="90" w:type="dxa"/>
              <w:bottom w:w="60" w:type="dxa"/>
            </w:tcMar>
            <w:tcW w:w="2246"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RNF-07; SYS-NFN-14, 04</w:t>
            </w:r>
            <w:r>
              <w:rPr>
                <w:color w:val="000000" w:themeColor="text1"/>
              </w:rPr>
            </w:r>
          </w:p>
        </w:tc>
      </w:tr>
      <w:tr>
        <w:trPr>
          <w:cantSplit w:val="false"/>
        </w:trPr>
        <w:tc>
          <w:tcPr>
            <w:shd w:val="clear" w:color="auto" w:fill="f2f5fa"/>
            <w:tcBorders/>
            <w:tcMar>
              <w:left w:w="90" w:type="dxa"/>
              <w:top w:w="60" w:type="dxa"/>
              <w:right w:w="90" w:type="dxa"/>
              <w:bottom w:w="60" w:type="dxa"/>
            </w:tcMar>
            <w:tcW w:w="1685"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Costo</w:t>
            </w:r>
            <w:r>
              <w:rPr>
                <w:color w:val="000000" w:themeColor="text1"/>
              </w:rPr>
            </w:r>
          </w:p>
        </w:tc>
        <w:tc>
          <w:tcPr>
            <w:shd w:val="clear" w:color="auto" w:fill="f2f5fa"/>
            <w:tcBorders/>
            <w:tcMar>
              <w:left w:w="90" w:type="dxa"/>
              <w:top w:w="60" w:type="dxa"/>
              <w:right w:w="90" w:type="dxa"/>
              <w:bottom w:w="60" w:type="dxa"/>
            </w:tcMar>
            <w:tcW w:w="5429"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Un único artefacto de aplicación replicado más un proceso trabajador; base de datos gestionada; ausencia de orquestador de contenedores y de malla de servicios. La cuenta de piezas a operar se mantiene en el mínimo compatible con los demás atributos.</w:t>
            </w:r>
            <w:r>
              <w:rPr>
                <w:color w:val="000000" w:themeColor="text1"/>
              </w:rPr>
            </w:r>
          </w:p>
        </w:tc>
        <w:tc>
          <w:tcPr>
            <w:shd w:val="clear" w:color="auto" w:fill="f2f5fa"/>
            <w:tcBorders/>
            <w:tcMar>
              <w:left w:w="90" w:type="dxa"/>
              <w:top w:w="60" w:type="dxa"/>
              <w:right w:w="90" w:type="dxa"/>
              <w:bottom w:w="60" w:type="dxa"/>
            </w:tcMar>
            <w:tcW w:w="2246"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RNF-08</w:t>
            </w:r>
            <w:r>
              <w:rPr>
                <w:color w:val="000000" w:themeColor="text1"/>
              </w:rPr>
            </w:r>
          </w:p>
        </w:tc>
      </w:tr>
      <w:tr>
        <w:trPr>
          <w:cantSplit w:val="false"/>
        </w:trPr>
        <w:tc>
          <w:tcPr>
            <w:shd w:val="clear" w:color="auto" w:fill="ffffff"/>
            <w:tcBorders/>
            <w:tcMar>
              <w:left w:w="90" w:type="dxa"/>
              <w:top w:w="60" w:type="dxa"/>
              <w:right w:w="90" w:type="dxa"/>
              <w:bottom w:w="60" w:type="dxa"/>
            </w:tcMar>
            <w:tcW w:w="1685"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Observabilidad</w:t>
            </w:r>
            <w:r>
              <w:rPr>
                <w:color w:val="000000" w:themeColor="text1"/>
              </w:rPr>
            </w:r>
          </w:p>
        </w:tc>
        <w:tc>
          <w:tcPr>
            <w:shd w:val="clear" w:color="auto" w:fill="ffffff"/>
            <w:tcBorders/>
            <w:tcMar>
              <w:left w:w="90" w:type="dxa"/>
              <w:top w:w="60" w:type="dxa"/>
              <w:right w:w="90" w:type="dxa"/>
              <w:bottom w:w="60" w:type="dxa"/>
            </w:tcMar>
            <w:tcW w:w="5429"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Registro estructurado centralizado, métricas de latencia por recurso y monitoreo externo de disponibilidad; se vigilan además los indicadores de alerta declarados en la tabla de riesgos de 2.7.3.</w:t>
            </w:r>
            <w:r>
              <w:rPr>
                <w:color w:val="000000" w:themeColor="text1"/>
              </w:rPr>
            </w:r>
          </w:p>
        </w:tc>
        <w:tc>
          <w:tcPr>
            <w:shd w:val="clear" w:color="auto" w:fill="ffffff"/>
            <w:tcBorders/>
            <w:tcMar>
              <w:left w:w="90" w:type="dxa"/>
              <w:top w:w="60" w:type="dxa"/>
              <w:right w:w="90" w:type="dxa"/>
              <w:bottom w:w="60" w:type="dxa"/>
            </w:tcMar>
            <w:tcW w:w="2246"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RNF-02, RNF-04</w:t>
            </w:r>
            <w:r>
              <w:rPr>
                <w:color w:val="000000" w:themeColor="text1"/>
              </w:rPr>
            </w:r>
          </w:p>
        </w:tc>
      </w:tr>
    </w:tbl>
    <w:p>
      <w:pPr>
        <w:pBdr/>
        <w:spacing w:after="160"/>
        <w:ind/>
        <w:rPr>
          <w:color w:val="000000" w:themeColor="text1"/>
        </w:rPr>
      </w:pPr>
      <w:r>
        <w:rPr>
          <w:color w:val="000000" w:themeColor="text1"/>
          <w:lang w:val="es-ES" w:bidi="es-ES"/>
        </w:rPr>
      </w:r>
      <w:r>
        <w:rPr>
          <w:color w:val="000000" w:themeColor="text1"/>
        </w:rPr>
      </w:r>
    </w:p>
    <w:p>
      <w:pPr>
        <w:pStyle w:val="905"/>
        <w:keepNext w:val="true"/>
        <w:pBdr/>
        <w:spacing w:after="120" w:before="220"/>
        <w:ind/>
        <w:rPr>
          <w:color w:val="000000" w:themeColor="text1"/>
        </w:rPr>
      </w:pPr>
      <w:r/>
      <w:bookmarkStart w:id="37" w:name="_Toc37"/>
      <w:r>
        <w:rPr>
          <w:rFonts w:ascii="Calibri" w:hAnsi="Calibri" w:eastAsia="Calibri" w:cs="Calibri"/>
          <w:b/>
          <w:bCs/>
          <w:color w:val="000000" w:themeColor="text1"/>
          <w:sz w:val="22"/>
          <w:szCs w:val="22"/>
          <w:lang w:val="es-ES"/>
        </w:rPr>
        <w:t xml:space="preserve">2.9.5 V-05 — Vista de escenarios de operación</w:t>
      </w:r>
      <w:r/>
      <w:bookmarkEnd w:id="37"/>
      <w:r/>
      <w:r>
        <w:rPr>
          <w:color w:val="000000" w:themeColor="text1"/>
        </w:rPr>
      </w:r>
    </w:p>
    <w:p>
      <w:pPr>
        <w:pBdr/>
        <w:spacing w:after="140" w:line="276" w:lineRule="auto"/>
        <w:ind/>
        <w:jc w:val="both"/>
        <w:rPr>
          <w:color w:val="000000" w:themeColor="text1"/>
        </w:rPr>
      </w:pPr>
      <w:r>
        <w:rPr>
          <w:rFonts w:ascii="Calibri" w:hAnsi="Calibri" w:eastAsia="Calibri" w:cs="Calibri"/>
          <w:color w:val="000000" w:themeColor="text1"/>
          <w:sz w:val="21"/>
          <w:szCs w:val="21"/>
          <w:lang w:val="es-ES"/>
        </w:rPr>
        <w:t xml:space="preserve">Conforme al «+1» del modelo de Kruchten, esta vista recorre un flujo completo para verificar la coherencia de las cuatro anteriores. El SWEBOK indica precisamente este procedimiento: comparar cada paso del caso de uso con los elementos arquitectónicos involucrados permite comprobar completitud y consistencia. El escenario elegido —emisión de una cotización sobre un bloque de demanda consolidado— es el más significativo porque atraviesa las cuatro capas, involucra a cinco módulos, cruza la frontera asíncrona y depende de una integración externa. El diagrama figura en el Anexo D.</w:t>
      </w:r>
      <w:r>
        <w:rPr>
          <w:color w:val="000000" w:themeColor="text1"/>
        </w:rPr>
      </w:r>
    </w:p>
    <w:p>
      <w:pPr>
        <w:pBdr/>
        <w:spacing w:after="140" w:line="276" w:lineRule="auto"/>
        <w:ind/>
        <w:jc w:val="both"/>
        <w:rPr>
          <w:color w:val="000000" w:themeColor="text1"/>
        </w:rPr>
      </w:pPr>
      <w:r>
        <w:rPr>
          <w:rFonts w:ascii="Calibri" w:hAnsi="Calibri" w:eastAsia="Calibri" w:cs="Calibri"/>
          <w:color w:val="000000" w:themeColor="text1"/>
          <w:sz w:val="21"/>
          <w:szCs w:val="21"/>
          <w:lang w:val="es-ES"/>
        </w:rPr>
        <w:t xml:space="preserve">El escenario pone de manifiesto tres decisiones que en las vistas estáticas quedaban implícitas. En primer lugar, la respuesta HTTP se devuelve al proveedor antes de que la notificación se haya enviado, lo que aísla el umbral de 4,0 segundos de RNF-01 de la latencia del proveedor externo. En segundo lugar, la cotización y el evento se persisten en una única transacción, de modo que no puede existir una notificación sin cotización ni una cotización sin notificar: es la aplicación concreta de ADR-01. En tercer lugar, el interruptor de circuito de ADR-02 se sitúa en el trabajador y no en la API, de manera que un fallo de WhatsApp retrasa las notificaciones pero no impide operar la plataforma.</w:t>
      </w:r>
      <w:r>
        <w:rPr>
          <w:color w:val="000000" w:themeColor="text1"/>
        </w:rPr>
      </w:r>
    </w:p>
    <w:p>
      <w:pPr>
        <w:pStyle w:val="904"/>
        <w:keepNext w:val="true"/>
        <w:pageBreakBefore w:val="true"/>
        <w:pBdr/>
        <w:spacing w:after="140" w:before="280"/>
        <w:ind/>
        <w:rPr>
          <w:color w:val="000000" w:themeColor="text1"/>
        </w:rPr>
      </w:pPr>
      <w:r/>
      <w:bookmarkStart w:id="38" w:name="_Toc38"/>
      <w:r>
        <w:rPr>
          <w:rFonts w:ascii="Calibri" w:hAnsi="Calibri" w:eastAsia="Calibri" w:cs="Calibri"/>
          <w:b/>
          <w:bCs/>
          <w:color w:val="000000" w:themeColor="text1"/>
          <w:sz w:val="25"/>
          <w:szCs w:val="25"/>
          <w:lang w:val="es-ES"/>
        </w:rPr>
        <w:t xml:space="preserve">2.10 Correspondencias entre elementos</w:t>
      </w:r>
      <w:r/>
      <w:bookmarkEnd w:id="38"/>
      <w:r/>
      <w:r>
        <w:rPr>
          <w:color w:val="000000" w:themeColor="text1"/>
        </w:rPr>
      </w:r>
    </w:p>
    <w:p>
      <w:pPr>
        <w:pBdr/>
        <w:spacing w:after="140" w:line="276" w:lineRule="auto"/>
        <w:ind/>
        <w:jc w:val="both"/>
        <w:rPr>
          <w:color w:val="000000" w:themeColor="text1"/>
        </w:rPr>
      </w:pPr>
      <w:r>
        <w:rPr>
          <w:rFonts w:ascii="Calibri" w:hAnsi="Calibri" w:eastAsia="Calibri" w:cs="Calibri"/>
          <w:color w:val="000000" w:themeColor="text1"/>
          <w:sz w:val="21"/>
          <w:szCs w:val="21"/>
          <w:lang w:val="es-ES"/>
        </w:rPr>
        <w:t xml:space="preserve">La Cláusula 6.9 exige registrar las correspondencias, entendidas como relaciones nombradas entre elementos de la Descripción de Arquitectura. Su función es garantizar la trazabilidad interna y, sobre todo, hacer detectables las inconsistencias entre vistas, que el SWEBOK identifica como el riesgo característico de toda descripción construida con múltiples vistas.</w:t>
      </w:r>
      <w:r>
        <w:rPr>
          <w:color w:val="000000" w:themeColor="text1"/>
        </w:rPr>
      </w:r>
    </w:p>
    <w:p>
      <w:pPr>
        <w:pBdr/>
        <w:spacing w:after="140" w:line="276" w:lineRule="auto"/>
        <w:ind/>
        <w:jc w:val="both"/>
        <w:rPr>
          <w:color w:val="000000" w:themeColor="text1"/>
        </w:rPr>
      </w:pPr>
      <w:r>
        <w:rPr>
          <w:rFonts w:ascii="Calibri" w:hAnsi="Calibri" w:eastAsia="Calibri" w:cs="Calibri"/>
          <w:color w:val="000000" w:themeColor="text1"/>
          <w:sz w:val="21"/>
          <w:szCs w:val="21"/>
          <w:lang w:val="es-ES"/>
        </w:rPr>
        <w:t xml:space="preserve">El equipo adoptó el enfoque que la guía denomina sintético: las vistas se construyeron de forma independiente y se integran mediante reglas explícitas de correspondencia. Es más expresivo que derivarlas todas de un modelo único, pero exige la disciplina de mantener esta tabla actualizada.</w:t>
      </w:r>
      <w:r>
        <w:rPr>
          <w:color w:val="000000" w:themeColor="text1"/>
        </w:rPr>
      </w:r>
    </w:p>
    <w:tbl>
      <w:tblPr>
        <w:tblW w:w="9360" w:type="dxa"/>
        <w:tblBorders>
          <w:top w:val="single" w:color="8ea9db" w:sz="4" w:space="0"/>
          <w:left w:val="single" w:color="8ea9db" w:sz="4" w:space="0"/>
          <w:bottom w:val="single" w:color="8ea9db" w:sz="4" w:space="0"/>
          <w:right w:val="single" w:color="8ea9db" w:sz="4" w:space="0"/>
          <w:insideH w:val="single" w:color="b4c6e7" w:sz="2" w:space="0"/>
          <w:insideV w:val="single" w:color="b4c6e7" w:sz="2" w:space="0"/>
        </w:tblBorders>
        <w:tblLook w:val="04A0" w:firstRow="1" w:lastRow="0" w:firstColumn="1" w:lastColumn="0" w:noHBand="0" w:noVBand="1"/>
      </w:tblPr>
      <w:tblGrid>
        <w:gridCol w:w="749"/>
        <w:gridCol w:w="2434"/>
        <w:gridCol w:w="2808"/>
        <w:gridCol w:w="1872"/>
        <w:gridCol w:w="1498"/>
      </w:tblGrid>
      <w:tr>
        <w:trPr>
          <w:cantSplit w:val="false"/>
          <w:tblHeader/>
        </w:trPr>
        <w:tc>
          <w:tcPr>
            <w:shd w:val="clear" w:color="auto" w:fill="d9e2f3"/>
            <w:tcBorders/>
            <w:tcMar>
              <w:left w:w="90" w:type="dxa"/>
              <w:top w:w="60" w:type="dxa"/>
              <w:right w:w="90" w:type="dxa"/>
              <w:bottom w:w="60" w:type="dxa"/>
            </w:tcMar>
            <w:tcW w:w="749"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w:t>
            </w:r>
            <w:r>
              <w:rPr>
                <w:color w:val="000000" w:themeColor="text1"/>
              </w:rPr>
            </w:r>
          </w:p>
        </w:tc>
        <w:tc>
          <w:tcPr>
            <w:shd w:val="clear" w:color="auto" w:fill="d9e2f3"/>
            <w:tcBorders/>
            <w:tcMar>
              <w:left w:w="90" w:type="dxa"/>
              <w:top w:w="60" w:type="dxa"/>
              <w:right w:w="90" w:type="dxa"/>
              <w:bottom w:w="60" w:type="dxa"/>
            </w:tcMar>
            <w:tcW w:w="2434"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Elemento origen</w:t>
            </w:r>
            <w:r>
              <w:rPr>
                <w:color w:val="000000" w:themeColor="text1"/>
              </w:rPr>
            </w:r>
          </w:p>
        </w:tc>
        <w:tc>
          <w:tcPr>
            <w:shd w:val="clear" w:color="auto" w:fill="d9e2f3"/>
            <w:tcBorders/>
            <w:tcMar>
              <w:left w:w="90" w:type="dxa"/>
              <w:top w:w="60" w:type="dxa"/>
              <w:right w:w="90" w:type="dxa"/>
              <w:bottom w:w="60" w:type="dxa"/>
            </w:tcMar>
            <w:tcW w:w="2808"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Elemento destino</w:t>
            </w:r>
            <w:r>
              <w:rPr>
                <w:color w:val="000000" w:themeColor="text1"/>
              </w:rPr>
            </w:r>
          </w:p>
        </w:tc>
        <w:tc>
          <w:tcPr>
            <w:shd w:val="clear" w:color="auto" w:fill="d9e2f3"/>
            <w:tcBorders/>
            <w:tcMar>
              <w:left w:w="90" w:type="dxa"/>
              <w:top w:w="60" w:type="dxa"/>
              <w:right w:w="90" w:type="dxa"/>
              <w:bottom w:w="60" w:type="dxa"/>
            </w:tcMar>
            <w:tcW w:w="1872"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Tipo de relación</w:t>
            </w:r>
            <w:r>
              <w:rPr>
                <w:color w:val="000000" w:themeColor="text1"/>
              </w:rPr>
            </w:r>
          </w:p>
        </w:tc>
        <w:tc>
          <w:tcPr>
            <w:shd w:val="clear" w:color="auto" w:fill="d9e2f3"/>
            <w:tcBorders/>
            <w:tcMar>
              <w:left w:w="90" w:type="dxa"/>
              <w:top w:w="60" w:type="dxa"/>
              <w:right w:w="90" w:type="dxa"/>
              <w:bottom w:w="60" w:type="dxa"/>
            </w:tcMar>
            <w:tcW w:w="1498"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¿Se cumple?</w:t>
            </w:r>
            <w:r>
              <w:rPr>
                <w:color w:val="000000" w:themeColor="text1"/>
              </w:rPr>
            </w:r>
          </w:p>
        </w:tc>
      </w:tr>
      <w:tr>
        <w:trPr>
          <w:cantSplit w:val="false"/>
        </w:trPr>
        <w:tc>
          <w:tcPr>
            <w:shd w:val="clear" w:color="auto" w:fill="ffffff"/>
            <w:tcBorders/>
            <w:tcMar>
              <w:left w:w="90" w:type="dxa"/>
              <w:top w:w="60" w:type="dxa"/>
              <w:right w:w="90" w:type="dxa"/>
              <w:bottom w:w="60" w:type="dxa"/>
            </w:tcMar>
            <w:tcW w:w="749"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CR-01</w:t>
            </w:r>
            <w:r>
              <w:rPr>
                <w:color w:val="000000" w:themeColor="text1"/>
              </w:rPr>
            </w:r>
          </w:p>
        </w:tc>
        <w:tc>
          <w:tcPr>
            <w:shd w:val="clear" w:color="auto" w:fill="ffffff"/>
            <w:tcBorders/>
            <w:tcMar>
              <w:left w:w="90" w:type="dxa"/>
              <w:top w:w="60" w:type="dxa"/>
              <w:right w:w="90" w:type="dxa"/>
              <w:bottom w:w="60" w:type="dxa"/>
            </w:tcMar>
            <w:tcW w:w="2434"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V-01 Capa 3 Dominio</w:t>
            </w:r>
            <w:r>
              <w:rPr>
                <w:color w:val="000000" w:themeColor="text1"/>
              </w:rPr>
            </w:r>
          </w:p>
        </w:tc>
        <w:tc>
          <w:tcPr>
            <w:shd w:val="clear" w:color="auto" w:fill="ffffff"/>
            <w:tcBorders/>
            <w:tcMar>
              <w:left w:w="90" w:type="dxa"/>
              <w:top w:w="60" w:type="dxa"/>
              <w:right w:w="90" w:type="dxa"/>
              <w:bottom w:w="60" w:type="dxa"/>
            </w:tcMar>
            <w:tcW w:w="2808"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V-02 Módulos M1 a M9</w:t>
            </w:r>
            <w:r>
              <w:rPr>
                <w:color w:val="000000" w:themeColor="text1"/>
              </w:rPr>
            </w:r>
          </w:p>
        </w:tc>
        <w:tc>
          <w:tcPr>
            <w:shd w:val="clear" w:color="auto" w:fill="ffffff"/>
            <w:tcBorders/>
            <w:tcMar>
              <w:left w:w="90" w:type="dxa"/>
              <w:top w:w="60" w:type="dxa"/>
              <w:right w:w="90" w:type="dxa"/>
              <w:bottom w:w="60" w:type="dxa"/>
            </w:tcMar>
            <w:tcW w:w="1872"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Se descompone en</w:t>
            </w:r>
            <w:r>
              <w:rPr>
                <w:color w:val="000000" w:themeColor="text1"/>
              </w:rPr>
            </w:r>
          </w:p>
        </w:tc>
        <w:tc>
          <w:tcPr>
            <w:shd w:val="clear" w:color="auto" w:fill="ffffff"/>
            <w:tcBorders/>
            <w:tcMar>
              <w:left w:w="90" w:type="dxa"/>
              <w:top w:w="60" w:type="dxa"/>
              <w:right w:w="90" w:type="dxa"/>
              <w:bottom w:w="60" w:type="dxa"/>
            </w:tcMar>
            <w:tcW w:w="1498"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Sí</w:t>
            </w:r>
            <w:r>
              <w:rPr>
                <w:color w:val="000000" w:themeColor="text1"/>
              </w:rPr>
            </w:r>
          </w:p>
        </w:tc>
      </w:tr>
      <w:tr>
        <w:trPr>
          <w:cantSplit w:val="false"/>
        </w:trPr>
        <w:tc>
          <w:tcPr>
            <w:shd w:val="clear" w:color="auto" w:fill="f2f5fa"/>
            <w:tcBorders/>
            <w:tcMar>
              <w:left w:w="90" w:type="dxa"/>
              <w:top w:w="60" w:type="dxa"/>
              <w:right w:w="90" w:type="dxa"/>
              <w:bottom w:w="60" w:type="dxa"/>
            </w:tcMar>
            <w:tcW w:w="749"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CR-02</w:t>
            </w:r>
            <w:r>
              <w:rPr>
                <w:color w:val="000000" w:themeColor="text1"/>
              </w:rPr>
            </w:r>
          </w:p>
        </w:tc>
        <w:tc>
          <w:tcPr>
            <w:shd w:val="clear" w:color="auto" w:fill="f2f5fa"/>
            <w:tcBorders/>
            <w:tcMar>
              <w:left w:w="90" w:type="dxa"/>
              <w:top w:w="60" w:type="dxa"/>
              <w:right w:w="90" w:type="dxa"/>
              <w:bottom w:w="60" w:type="dxa"/>
            </w:tcMar>
            <w:tcW w:w="2434"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V-01 Capa 2 Aplicación / API</w:t>
            </w:r>
            <w:r>
              <w:rPr>
                <w:color w:val="000000" w:themeColor="text1"/>
              </w:rPr>
            </w:r>
          </w:p>
        </w:tc>
        <w:tc>
          <w:tcPr>
            <w:shd w:val="clear" w:color="auto" w:fill="f2f5fa"/>
            <w:tcBorders/>
            <w:tcMar>
              <w:left w:w="90" w:type="dxa"/>
              <w:top w:w="60" w:type="dxa"/>
              <w:right w:w="90" w:type="dxa"/>
              <w:bottom w:w="60" w:type="dxa"/>
            </w:tcMar>
            <w:tcW w:w="2808"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V-02 Catálogo de recursos REST</w:t>
            </w:r>
            <w:r>
              <w:rPr>
                <w:color w:val="000000" w:themeColor="text1"/>
              </w:rPr>
            </w:r>
          </w:p>
        </w:tc>
        <w:tc>
          <w:tcPr>
            <w:shd w:val="clear" w:color="auto" w:fill="f2f5fa"/>
            <w:tcBorders/>
            <w:tcMar>
              <w:left w:w="90" w:type="dxa"/>
              <w:top w:w="60" w:type="dxa"/>
              <w:right w:w="90" w:type="dxa"/>
              <w:bottom w:w="60" w:type="dxa"/>
            </w:tcMar>
            <w:tcW w:w="1872"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Implementa</w:t>
            </w:r>
            <w:r>
              <w:rPr>
                <w:color w:val="000000" w:themeColor="text1"/>
              </w:rPr>
            </w:r>
          </w:p>
        </w:tc>
        <w:tc>
          <w:tcPr>
            <w:shd w:val="clear" w:color="auto" w:fill="f2f5fa"/>
            <w:tcBorders/>
            <w:tcMar>
              <w:left w:w="90" w:type="dxa"/>
              <w:top w:w="60" w:type="dxa"/>
              <w:right w:w="90" w:type="dxa"/>
              <w:bottom w:w="60" w:type="dxa"/>
            </w:tcMar>
            <w:tcW w:w="1498"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Sí</w:t>
            </w:r>
            <w:r>
              <w:rPr>
                <w:color w:val="000000" w:themeColor="text1"/>
              </w:rPr>
            </w:r>
          </w:p>
        </w:tc>
      </w:tr>
      <w:tr>
        <w:trPr>
          <w:cantSplit w:val="false"/>
        </w:trPr>
        <w:tc>
          <w:tcPr>
            <w:shd w:val="clear" w:color="auto" w:fill="ffffff"/>
            <w:tcBorders/>
            <w:tcMar>
              <w:left w:w="90" w:type="dxa"/>
              <w:top w:w="60" w:type="dxa"/>
              <w:right w:w="90" w:type="dxa"/>
              <w:bottom w:w="60" w:type="dxa"/>
            </w:tcMar>
            <w:tcW w:w="749"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CR-03</w:t>
            </w:r>
            <w:r>
              <w:rPr>
                <w:color w:val="000000" w:themeColor="text1"/>
              </w:rPr>
            </w:r>
          </w:p>
        </w:tc>
        <w:tc>
          <w:tcPr>
            <w:shd w:val="clear" w:color="auto" w:fill="ffffff"/>
            <w:tcBorders/>
            <w:tcMar>
              <w:left w:w="90" w:type="dxa"/>
              <w:top w:w="60" w:type="dxa"/>
              <w:right w:w="90" w:type="dxa"/>
              <w:bottom w:w="60" w:type="dxa"/>
            </w:tcMar>
            <w:tcW w:w="2434"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V-01 Capa 4 Infraestructura</w:t>
            </w:r>
            <w:r>
              <w:rPr>
                <w:color w:val="000000" w:themeColor="text1"/>
              </w:rPr>
            </w:r>
          </w:p>
        </w:tc>
        <w:tc>
          <w:tcPr>
            <w:shd w:val="clear" w:color="auto" w:fill="ffffff"/>
            <w:tcBorders/>
            <w:tcMar>
              <w:left w:w="90" w:type="dxa"/>
              <w:top w:w="60" w:type="dxa"/>
              <w:right w:w="90" w:type="dxa"/>
              <w:bottom w:w="60" w:type="dxa"/>
            </w:tcMar>
            <w:tcW w:w="2808"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V-04 Nodos de persistencia y servicios externos</w:t>
            </w:r>
            <w:r>
              <w:rPr>
                <w:color w:val="000000" w:themeColor="text1"/>
              </w:rPr>
            </w:r>
          </w:p>
        </w:tc>
        <w:tc>
          <w:tcPr>
            <w:shd w:val="clear" w:color="auto" w:fill="ffffff"/>
            <w:tcBorders/>
            <w:tcMar>
              <w:left w:w="90" w:type="dxa"/>
              <w:top w:w="60" w:type="dxa"/>
              <w:right w:w="90" w:type="dxa"/>
              <w:bottom w:w="60" w:type="dxa"/>
            </w:tcMar>
            <w:tcW w:w="1872"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Se despliega en</w:t>
            </w:r>
            <w:r>
              <w:rPr>
                <w:color w:val="000000" w:themeColor="text1"/>
              </w:rPr>
            </w:r>
          </w:p>
        </w:tc>
        <w:tc>
          <w:tcPr>
            <w:shd w:val="clear" w:color="auto" w:fill="ffffff"/>
            <w:tcBorders/>
            <w:tcMar>
              <w:left w:w="90" w:type="dxa"/>
              <w:top w:w="60" w:type="dxa"/>
              <w:right w:w="90" w:type="dxa"/>
              <w:bottom w:w="60" w:type="dxa"/>
            </w:tcMar>
            <w:tcW w:w="1498"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Sí</w:t>
            </w:r>
            <w:r>
              <w:rPr>
                <w:color w:val="000000" w:themeColor="text1"/>
              </w:rPr>
            </w:r>
          </w:p>
        </w:tc>
      </w:tr>
      <w:tr>
        <w:trPr>
          <w:cantSplit w:val="false"/>
        </w:trPr>
        <w:tc>
          <w:tcPr>
            <w:shd w:val="clear" w:color="auto" w:fill="f2f5fa"/>
            <w:tcBorders/>
            <w:tcMar>
              <w:left w:w="90" w:type="dxa"/>
              <w:top w:w="60" w:type="dxa"/>
              <w:right w:w="90" w:type="dxa"/>
              <w:bottom w:w="60" w:type="dxa"/>
            </w:tcMar>
            <w:tcW w:w="749"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CR-04</w:t>
            </w:r>
            <w:r>
              <w:rPr>
                <w:color w:val="000000" w:themeColor="text1"/>
              </w:rPr>
            </w:r>
          </w:p>
        </w:tc>
        <w:tc>
          <w:tcPr>
            <w:shd w:val="clear" w:color="auto" w:fill="f2f5fa"/>
            <w:tcBorders/>
            <w:tcMar>
              <w:left w:w="90" w:type="dxa"/>
              <w:top w:w="60" w:type="dxa"/>
              <w:right w:w="90" w:type="dxa"/>
              <w:bottom w:w="60" w:type="dxa"/>
            </w:tcMar>
            <w:tcW w:w="2434"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RNF-03 Seguridad</w:t>
            </w:r>
            <w:r>
              <w:rPr>
                <w:color w:val="000000" w:themeColor="text1"/>
              </w:rPr>
            </w:r>
          </w:p>
        </w:tc>
        <w:tc>
          <w:tcPr>
            <w:shd w:val="clear" w:color="auto" w:fill="f2f5fa"/>
            <w:tcBorders/>
            <w:tcMar>
              <w:left w:w="90" w:type="dxa"/>
              <w:top w:w="60" w:type="dxa"/>
              <w:right w:w="90" w:type="dxa"/>
              <w:bottom w:w="60" w:type="dxa"/>
            </w:tcMar>
            <w:tcW w:w="2808"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V-03 matrices + V-04 terminación TLS y cifrado</w:t>
            </w:r>
            <w:r>
              <w:rPr>
                <w:color w:val="000000" w:themeColor="text1"/>
              </w:rPr>
            </w:r>
          </w:p>
        </w:tc>
        <w:tc>
          <w:tcPr>
            <w:shd w:val="clear" w:color="auto" w:fill="f2f5fa"/>
            <w:tcBorders/>
            <w:tcMar>
              <w:left w:w="90" w:type="dxa"/>
              <w:top w:w="60" w:type="dxa"/>
              <w:right w:w="90" w:type="dxa"/>
              <w:bottom w:w="60" w:type="dxa"/>
            </w:tcMar>
            <w:tcW w:w="1872"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Se satisface mediante</w:t>
            </w:r>
            <w:r>
              <w:rPr>
                <w:color w:val="000000" w:themeColor="text1"/>
              </w:rPr>
            </w:r>
          </w:p>
        </w:tc>
        <w:tc>
          <w:tcPr>
            <w:shd w:val="clear" w:color="auto" w:fill="f2f5fa"/>
            <w:tcBorders/>
            <w:tcMar>
              <w:left w:w="90" w:type="dxa"/>
              <w:top w:w="60" w:type="dxa"/>
              <w:right w:w="90" w:type="dxa"/>
              <w:bottom w:w="60" w:type="dxa"/>
            </w:tcMar>
            <w:tcW w:w="1498"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Sí</w:t>
            </w:r>
            <w:r>
              <w:rPr>
                <w:color w:val="000000" w:themeColor="text1"/>
              </w:rPr>
            </w:r>
          </w:p>
        </w:tc>
      </w:tr>
      <w:tr>
        <w:trPr>
          <w:cantSplit w:val="false"/>
        </w:trPr>
        <w:tc>
          <w:tcPr>
            <w:shd w:val="clear" w:color="auto" w:fill="ffffff"/>
            <w:tcBorders/>
            <w:tcMar>
              <w:left w:w="90" w:type="dxa"/>
              <w:top w:w="60" w:type="dxa"/>
              <w:right w:w="90" w:type="dxa"/>
              <w:bottom w:w="60" w:type="dxa"/>
            </w:tcMar>
            <w:tcW w:w="749"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CR-05</w:t>
            </w:r>
            <w:r>
              <w:rPr>
                <w:color w:val="000000" w:themeColor="text1"/>
              </w:rPr>
            </w:r>
          </w:p>
        </w:tc>
        <w:tc>
          <w:tcPr>
            <w:shd w:val="clear" w:color="auto" w:fill="ffffff"/>
            <w:tcBorders/>
            <w:tcMar>
              <w:left w:w="90" w:type="dxa"/>
              <w:top w:w="60" w:type="dxa"/>
              <w:right w:w="90" w:type="dxa"/>
              <w:bottom w:w="60" w:type="dxa"/>
            </w:tcMar>
            <w:tcW w:w="2434"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Preocupación P-01 Carga esperada</w:t>
            </w:r>
            <w:r>
              <w:rPr>
                <w:color w:val="000000" w:themeColor="text1"/>
              </w:rPr>
            </w:r>
          </w:p>
        </w:tc>
        <w:tc>
          <w:tcPr>
            <w:shd w:val="clear" w:color="auto" w:fill="ffffff"/>
            <w:tcBorders/>
            <w:tcMar>
              <w:left w:w="90" w:type="dxa"/>
              <w:top w:w="60" w:type="dxa"/>
              <w:right w:w="90" w:type="dxa"/>
              <w:bottom w:w="60" w:type="dxa"/>
            </w:tcMar>
            <w:tcW w:w="2808"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V-04 instancias sin estado y réplica de lectura</w:t>
            </w:r>
            <w:r>
              <w:rPr>
                <w:color w:val="000000" w:themeColor="text1"/>
              </w:rPr>
            </w:r>
          </w:p>
        </w:tc>
        <w:tc>
          <w:tcPr>
            <w:shd w:val="clear" w:color="auto" w:fill="ffffff"/>
            <w:tcBorders/>
            <w:tcMar>
              <w:left w:w="90" w:type="dxa"/>
              <w:top w:w="60" w:type="dxa"/>
              <w:right w:w="90" w:type="dxa"/>
              <w:bottom w:w="60" w:type="dxa"/>
            </w:tcMar>
            <w:tcW w:w="1872"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Se aborda mediante</w:t>
            </w:r>
            <w:r>
              <w:rPr>
                <w:color w:val="000000" w:themeColor="text1"/>
              </w:rPr>
            </w:r>
          </w:p>
        </w:tc>
        <w:tc>
          <w:tcPr>
            <w:shd w:val="clear" w:color="auto" w:fill="ffffff"/>
            <w:tcBorders/>
            <w:tcMar>
              <w:left w:w="90" w:type="dxa"/>
              <w:top w:w="60" w:type="dxa"/>
              <w:right w:w="90" w:type="dxa"/>
              <w:bottom w:w="60" w:type="dxa"/>
            </w:tcMar>
            <w:tcW w:w="1498"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Sí</w:t>
            </w:r>
            <w:r>
              <w:rPr>
                <w:color w:val="000000" w:themeColor="text1"/>
              </w:rPr>
            </w:r>
          </w:p>
        </w:tc>
      </w:tr>
      <w:tr>
        <w:trPr>
          <w:cantSplit w:val="false"/>
        </w:trPr>
        <w:tc>
          <w:tcPr>
            <w:shd w:val="clear" w:color="auto" w:fill="f2f5fa"/>
            <w:tcBorders/>
            <w:tcMar>
              <w:left w:w="90" w:type="dxa"/>
              <w:top w:w="60" w:type="dxa"/>
              <w:right w:w="90" w:type="dxa"/>
              <w:bottom w:w="60" w:type="dxa"/>
            </w:tcMar>
            <w:tcW w:w="749"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CR-06</w:t>
            </w:r>
            <w:r>
              <w:rPr>
                <w:color w:val="000000" w:themeColor="text1"/>
              </w:rPr>
            </w:r>
          </w:p>
        </w:tc>
        <w:tc>
          <w:tcPr>
            <w:shd w:val="clear" w:color="auto" w:fill="f2f5fa"/>
            <w:tcBorders/>
            <w:tcMar>
              <w:left w:w="90" w:type="dxa"/>
              <w:top w:w="60" w:type="dxa"/>
              <w:right w:w="90" w:type="dxa"/>
              <w:bottom w:w="60" w:type="dxa"/>
            </w:tcMar>
            <w:tcW w:w="2434"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RF-01 a RF-10</w:t>
            </w:r>
            <w:r>
              <w:rPr>
                <w:color w:val="000000" w:themeColor="text1"/>
              </w:rPr>
            </w:r>
          </w:p>
        </w:tc>
        <w:tc>
          <w:tcPr>
            <w:shd w:val="clear" w:color="auto" w:fill="f2f5fa"/>
            <w:tcBorders/>
            <w:tcMar>
              <w:left w:w="90" w:type="dxa"/>
              <w:top w:w="60" w:type="dxa"/>
              <w:right w:w="90" w:type="dxa"/>
              <w:bottom w:w="60" w:type="dxa"/>
            </w:tcMar>
            <w:tcW w:w="2808"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V-02 Módulos y recursos expuestos</w:t>
            </w:r>
            <w:r>
              <w:rPr>
                <w:color w:val="000000" w:themeColor="text1"/>
              </w:rPr>
            </w:r>
          </w:p>
        </w:tc>
        <w:tc>
          <w:tcPr>
            <w:shd w:val="clear" w:color="auto" w:fill="f2f5fa"/>
            <w:tcBorders/>
            <w:tcMar>
              <w:left w:w="90" w:type="dxa"/>
              <w:top w:w="60" w:type="dxa"/>
              <w:right w:w="90" w:type="dxa"/>
              <w:bottom w:w="60" w:type="dxa"/>
            </w:tcMar>
            <w:tcW w:w="1872"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Se cubren en</w:t>
            </w:r>
            <w:r>
              <w:rPr>
                <w:color w:val="000000" w:themeColor="text1"/>
              </w:rPr>
            </w:r>
          </w:p>
        </w:tc>
        <w:tc>
          <w:tcPr>
            <w:shd w:val="clear" w:color="auto" w:fill="f2f5fa"/>
            <w:tcBorders/>
            <w:tcMar>
              <w:left w:w="90" w:type="dxa"/>
              <w:top w:w="60" w:type="dxa"/>
              <w:right w:w="90" w:type="dxa"/>
              <w:bottom w:w="60" w:type="dxa"/>
            </w:tcMar>
            <w:tcW w:w="1498"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Sí</w:t>
            </w:r>
            <w:r>
              <w:rPr>
                <w:color w:val="000000" w:themeColor="text1"/>
              </w:rPr>
            </w:r>
          </w:p>
        </w:tc>
      </w:tr>
      <w:tr>
        <w:trPr>
          <w:cantSplit w:val="false"/>
        </w:trPr>
        <w:tc>
          <w:tcPr>
            <w:shd w:val="clear" w:color="auto" w:fill="ffffff"/>
            <w:tcBorders/>
            <w:tcMar>
              <w:left w:w="90" w:type="dxa"/>
              <w:top w:w="60" w:type="dxa"/>
              <w:right w:w="90" w:type="dxa"/>
              <w:bottom w:w="60" w:type="dxa"/>
            </w:tcMar>
            <w:tcW w:w="749"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CR-07</w:t>
            </w:r>
            <w:r>
              <w:rPr>
                <w:color w:val="000000" w:themeColor="text1"/>
              </w:rPr>
            </w:r>
          </w:p>
        </w:tc>
        <w:tc>
          <w:tcPr>
            <w:shd w:val="clear" w:color="auto" w:fill="ffffff"/>
            <w:tcBorders/>
            <w:tcMar>
              <w:left w:w="90" w:type="dxa"/>
              <w:top w:w="60" w:type="dxa"/>
              <w:right w:w="90" w:type="dxa"/>
              <w:bottom w:w="60" w:type="dxa"/>
            </w:tcMar>
            <w:tcW w:w="2434"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ADR-01 Bandeja de salida transaccional</w:t>
            </w:r>
            <w:r>
              <w:rPr>
                <w:color w:val="000000" w:themeColor="text1"/>
              </w:rPr>
            </w:r>
          </w:p>
        </w:tc>
        <w:tc>
          <w:tcPr>
            <w:shd w:val="clear" w:color="auto" w:fill="ffffff"/>
            <w:tcBorders/>
            <w:tcMar>
              <w:left w:w="90" w:type="dxa"/>
              <w:top w:w="60" w:type="dxa"/>
              <w:right w:w="90" w:type="dxa"/>
              <w:bottom w:w="60" w:type="dxa"/>
            </w:tcMar>
            <w:tcW w:w="2808"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V-05 pasos 5, 9 y 10 del escenario</w:t>
            </w:r>
            <w:r>
              <w:rPr>
                <w:color w:val="000000" w:themeColor="text1"/>
              </w:rPr>
            </w:r>
          </w:p>
        </w:tc>
        <w:tc>
          <w:tcPr>
            <w:shd w:val="clear" w:color="auto" w:fill="ffffff"/>
            <w:tcBorders/>
            <w:tcMar>
              <w:left w:w="90" w:type="dxa"/>
              <w:top w:w="60" w:type="dxa"/>
              <w:right w:w="90" w:type="dxa"/>
              <w:bottom w:w="60" w:type="dxa"/>
            </w:tcMar>
            <w:tcW w:w="1872"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Se realiza en</w:t>
            </w:r>
            <w:r>
              <w:rPr>
                <w:color w:val="000000" w:themeColor="text1"/>
              </w:rPr>
            </w:r>
          </w:p>
        </w:tc>
        <w:tc>
          <w:tcPr>
            <w:shd w:val="clear" w:color="auto" w:fill="ffffff"/>
            <w:tcBorders/>
            <w:tcMar>
              <w:left w:w="90" w:type="dxa"/>
              <w:top w:w="60" w:type="dxa"/>
              <w:right w:w="90" w:type="dxa"/>
              <w:bottom w:w="60" w:type="dxa"/>
            </w:tcMar>
            <w:tcW w:w="1498"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Sí</w:t>
            </w:r>
            <w:r>
              <w:rPr>
                <w:color w:val="000000" w:themeColor="text1"/>
              </w:rPr>
            </w:r>
          </w:p>
        </w:tc>
      </w:tr>
      <w:tr>
        <w:trPr>
          <w:cantSplit w:val="false"/>
        </w:trPr>
        <w:tc>
          <w:tcPr>
            <w:shd w:val="clear" w:color="auto" w:fill="f2f5fa"/>
            <w:tcBorders/>
            <w:tcMar>
              <w:left w:w="90" w:type="dxa"/>
              <w:top w:w="60" w:type="dxa"/>
              <w:right w:w="90" w:type="dxa"/>
              <w:bottom w:w="60" w:type="dxa"/>
            </w:tcMar>
            <w:tcW w:w="749"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CR-08</w:t>
            </w:r>
            <w:r>
              <w:rPr>
                <w:color w:val="000000" w:themeColor="text1"/>
              </w:rPr>
            </w:r>
          </w:p>
        </w:tc>
        <w:tc>
          <w:tcPr>
            <w:shd w:val="clear" w:color="auto" w:fill="f2f5fa"/>
            <w:tcBorders/>
            <w:tcMar>
              <w:left w:w="90" w:type="dxa"/>
              <w:top w:w="60" w:type="dxa"/>
              <w:right w:w="90" w:type="dxa"/>
              <w:bottom w:w="60" w:type="dxa"/>
            </w:tcMar>
            <w:tcW w:w="2434"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PA-01 Dependencias hacia el dominio</w:t>
            </w:r>
            <w:r>
              <w:rPr>
                <w:color w:val="000000" w:themeColor="text1"/>
              </w:rPr>
            </w:r>
          </w:p>
        </w:tc>
        <w:tc>
          <w:tcPr>
            <w:shd w:val="clear" w:color="auto" w:fill="f2f5fa"/>
            <w:tcBorders/>
            <w:tcMar>
              <w:left w:w="90" w:type="dxa"/>
              <w:top w:w="60" w:type="dxa"/>
              <w:right w:w="90" w:type="dxa"/>
              <w:bottom w:w="60" w:type="dxa"/>
            </w:tcMar>
            <w:tcW w:w="2808"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V-01 regla de dependencia invertida entre capas 3 y 4</w:t>
            </w:r>
            <w:r>
              <w:rPr>
                <w:color w:val="000000" w:themeColor="text1"/>
              </w:rPr>
            </w:r>
          </w:p>
        </w:tc>
        <w:tc>
          <w:tcPr>
            <w:shd w:val="clear" w:color="auto" w:fill="f2f5fa"/>
            <w:tcBorders/>
            <w:tcMar>
              <w:left w:w="90" w:type="dxa"/>
              <w:top w:w="60" w:type="dxa"/>
              <w:right w:w="90" w:type="dxa"/>
              <w:bottom w:w="60" w:type="dxa"/>
            </w:tcMar>
            <w:tcW w:w="1872"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Se expresa en</w:t>
            </w:r>
            <w:r>
              <w:rPr>
                <w:color w:val="000000" w:themeColor="text1"/>
              </w:rPr>
            </w:r>
          </w:p>
        </w:tc>
        <w:tc>
          <w:tcPr>
            <w:shd w:val="clear" w:color="auto" w:fill="f2f5fa"/>
            <w:tcBorders/>
            <w:tcMar>
              <w:left w:w="90" w:type="dxa"/>
              <w:top w:w="60" w:type="dxa"/>
              <w:right w:w="90" w:type="dxa"/>
              <w:bottom w:w="60" w:type="dxa"/>
            </w:tcMar>
            <w:tcW w:w="1498"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Sí</w:t>
            </w:r>
            <w:r>
              <w:rPr>
                <w:color w:val="000000" w:themeColor="text1"/>
              </w:rPr>
            </w:r>
          </w:p>
        </w:tc>
      </w:tr>
      <w:tr>
        <w:trPr>
          <w:cantSplit w:val="false"/>
        </w:trPr>
        <w:tc>
          <w:tcPr>
            <w:shd w:val="clear" w:color="auto" w:fill="ffffff"/>
            <w:tcBorders/>
            <w:tcMar>
              <w:left w:w="90" w:type="dxa"/>
              <w:top w:w="60" w:type="dxa"/>
              <w:right w:w="90" w:type="dxa"/>
              <w:bottom w:w="60" w:type="dxa"/>
            </w:tcMar>
            <w:tcW w:w="749"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CR-09</w:t>
            </w:r>
            <w:r>
              <w:rPr>
                <w:color w:val="000000" w:themeColor="text1"/>
              </w:rPr>
            </w:r>
          </w:p>
        </w:tc>
        <w:tc>
          <w:tcPr>
            <w:shd w:val="clear" w:color="auto" w:fill="ffffff"/>
            <w:tcBorders/>
            <w:tcMar>
              <w:left w:w="90" w:type="dxa"/>
              <w:top w:w="60" w:type="dxa"/>
              <w:right w:w="90" w:type="dxa"/>
              <w:bottom w:w="60" w:type="dxa"/>
            </w:tcMar>
            <w:tcW w:w="2434"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PA-06 Auditoría de solo adición</w:t>
            </w:r>
            <w:r>
              <w:rPr>
                <w:color w:val="000000" w:themeColor="text1"/>
              </w:rPr>
            </w:r>
          </w:p>
        </w:tc>
        <w:tc>
          <w:tcPr>
            <w:shd w:val="clear" w:color="auto" w:fill="ffffff"/>
            <w:tcBorders/>
            <w:tcMar>
              <w:left w:w="90" w:type="dxa"/>
              <w:top w:w="60" w:type="dxa"/>
              <w:right w:w="90" w:type="dxa"/>
              <w:bottom w:w="60" w:type="dxa"/>
            </w:tcMar>
            <w:tcW w:w="2808"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V-03 matriz de accesos, fila de bitácora</w:t>
            </w:r>
            <w:r>
              <w:rPr>
                <w:color w:val="000000" w:themeColor="text1"/>
              </w:rPr>
            </w:r>
          </w:p>
        </w:tc>
        <w:tc>
          <w:tcPr>
            <w:shd w:val="clear" w:color="auto" w:fill="ffffff"/>
            <w:tcBorders/>
            <w:tcMar>
              <w:left w:w="90" w:type="dxa"/>
              <w:top w:w="60" w:type="dxa"/>
              <w:right w:w="90" w:type="dxa"/>
              <w:bottom w:w="60" w:type="dxa"/>
            </w:tcMar>
            <w:tcW w:w="1872"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Se verifica en</w:t>
            </w:r>
            <w:r>
              <w:rPr>
                <w:color w:val="000000" w:themeColor="text1"/>
              </w:rPr>
            </w:r>
          </w:p>
        </w:tc>
        <w:tc>
          <w:tcPr>
            <w:shd w:val="clear" w:color="auto" w:fill="ffffff"/>
            <w:tcBorders/>
            <w:tcMar>
              <w:left w:w="90" w:type="dxa"/>
              <w:top w:w="60" w:type="dxa"/>
              <w:right w:w="90" w:type="dxa"/>
              <w:bottom w:w="60" w:type="dxa"/>
            </w:tcMar>
            <w:tcW w:w="1498"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Sí</w:t>
            </w:r>
            <w:r>
              <w:rPr>
                <w:color w:val="000000" w:themeColor="text1"/>
              </w:rPr>
            </w:r>
          </w:p>
        </w:tc>
      </w:tr>
      <w:tr>
        <w:trPr>
          <w:cantSplit w:val="false"/>
        </w:trPr>
        <w:tc>
          <w:tcPr>
            <w:shd w:val="clear" w:color="auto" w:fill="f2f5fa"/>
            <w:tcBorders/>
            <w:tcMar>
              <w:left w:w="90" w:type="dxa"/>
              <w:top w:w="60" w:type="dxa"/>
              <w:right w:w="90" w:type="dxa"/>
              <w:bottom w:w="60" w:type="dxa"/>
            </w:tcMar>
            <w:tcW w:w="749"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CR-10</w:t>
            </w:r>
            <w:r>
              <w:rPr>
                <w:color w:val="000000" w:themeColor="text1"/>
              </w:rPr>
            </w:r>
          </w:p>
        </w:tc>
        <w:tc>
          <w:tcPr>
            <w:shd w:val="clear" w:color="auto" w:fill="f2f5fa"/>
            <w:tcBorders/>
            <w:tcMar>
              <w:left w:w="90" w:type="dxa"/>
              <w:top w:w="60" w:type="dxa"/>
              <w:right w:w="90" w:type="dxa"/>
              <w:bottom w:w="60" w:type="dxa"/>
            </w:tcMar>
            <w:tcW w:w="2434"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Riesgo R-01 Erosión de fronteras</w:t>
            </w:r>
            <w:r>
              <w:rPr>
                <w:color w:val="000000" w:themeColor="text1"/>
              </w:rPr>
            </w:r>
          </w:p>
        </w:tc>
        <w:tc>
          <w:tcPr>
            <w:shd w:val="clear" w:color="auto" w:fill="f2f5fa"/>
            <w:tcBorders/>
            <w:tcMar>
              <w:left w:w="90" w:type="dxa"/>
              <w:top w:w="60" w:type="dxa"/>
              <w:right w:w="90" w:type="dxa"/>
              <w:bottom w:w="60" w:type="dxa"/>
            </w:tcMar>
            <w:tcW w:w="2808"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V-02 esquemas separados por módulo</w:t>
            </w:r>
            <w:r>
              <w:rPr>
                <w:color w:val="000000" w:themeColor="text1"/>
              </w:rPr>
            </w:r>
          </w:p>
        </w:tc>
        <w:tc>
          <w:tcPr>
            <w:shd w:val="clear" w:color="auto" w:fill="f2f5fa"/>
            <w:tcBorders/>
            <w:tcMar>
              <w:left w:w="90" w:type="dxa"/>
              <w:top w:w="60" w:type="dxa"/>
              <w:right w:w="90" w:type="dxa"/>
              <w:bottom w:w="60" w:type="dxa"/>
            </w:tcMar>
            <w:tcW w:w="1872"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Se mitiga mediante</w:t>
            </w:r>
            <w:r>
              <w:rPr>
                <w:color w:val="000000" w:themeColor="text1"/>
              </w:rPr>
            </w:r>
          </w:p>
        </w:tc>
        <w:tc>
          <w:tcPr>
            <w:shd w:val="clear" w:color="auto" w:fill="f2f5fa"/>
            <w:tcBorders/>
            <w:tcMar>
              <w:left w:w="90" w:type="dxa"/>
              <w:top w:w="60" w:type="dxa"/>
              <w:right w:w="90" w:type="dxa"/>
              <w:bottom w:w="60" w:type="dxa"/>
            </w:tcMar>
            <w:tcW w:w="1498"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Parcial</w:t>
            </w:r>
            <w:r>
              <w:rPr>
                <w:color w:val="000000" w:themeColor="text1"/>
              </w:rPr>
            </w:r>
          </w:p>
        </w:tc>
      </w:tr>
    </w:tbl>
    <w:p>
      <w:pPr>
        <w:pBdr/>
        <w:spacing w:after="160"/>
        <w:ind/>
        <w:rPr>
          <w:color w:val="000000" w:themeColor="text1"/>
        </w:rPr>
      </w:pPr>
      <w:r>
        <w:rPr>
          <w:color w:val="000000" w:themeColor="text1"/>
          <w:lang w:val="es-ES" w:bidi="es-ES"/>
        </w:rPr>
      </w:r>
      <w:r>
        <w:rPr>
          <w:color w:val="000000" w:themeColor="text1"/>
        </w:rPr>
      </w:r>
    </w:p>
    <w:p>
      <w:pPr>
        <w:pStyle w:val="904"/>
        <w:keepNext w:val="true"/>
        <w:pBdr/>
        <w:spacing w:after="140" w:before="280"/>
        <w:ind/>
        <w:rPr>
          <w:color w:val="000000" w:themeColor="text1"/>
        </w:rPr>
      </w:pPr>
      <w:r/>
      <w:bookmarkStart w:id="39" w:name="_Toc39"/>
      <w:r>
        <w:rPr>
          <w:rFonts w:ascii="Calibri" w:hAnsi="Calibri" w:eastAsia="Calibri" w:cs="Calibri"/>
          <w:b/>
          <w:bCs/>
          <w:color w:val="000000" w:themeColor="text1"/>
          <w:sz w:val="25"/>
          <w:szCs w:val="25"/>
          <w:lang w:val="es-ES"/>
        </w:rPr>
        <w:t xml:space="preserve">2.11 Relación entre la arquitectura y los requisitos</w:t>
      </w:r>
      <w:r/>
      <w:bookmarkEnd w:id="39"/>
      <w:r/>
      <w:r>
        <w:rPr>
          <w:color w:val="000000" w:themeColor="text1"/>
        </w:rPr>
      </w:r>
    </w:p>
    <w:p>
      <w:pPr>
        <w:pBdr/>
        <w:spacing w:after="140" w:line="276" w:lineRule="auto"/>
        <w:ind/>
        <w:jc w:val="both"/>
        <w:rPr>
          <w:color w:val="000000" w:themeColor="text1"/>
        </w:rPr>
      </w:pPr>
      <w:r>
        <w:rPr>
          <w:rFonts w:ascii="Calibri" w:hAnsi="Calibri" w:eastAsia="Calibri" w:cs="Calibri"/>
          <w:color w:val="000000" w:themeColor="text1"/>
          <w:sz w:val="21"/>
          <w:szCs w:val="21"/>
          <w:lang w:val="es-ES"/>
        </w:rPr>
        <w:t xml:space="preserve">La plantilla de la asignatura formula aquí una prueba exigente: por cada requisito debe poder escribirse la frase «la arquitectura lo satisface porque…», y si no puede escribirse, debe ajustarse la arquitectura o el requisito. Las dos tablas siguientes aplican esa prueba a los diez ASR funcionales y a los nueve requisitos no funcionales.</w:t>
      </w:r>
      <w:r>
        <w:rPr>
          <w:color w:val="000000" w:themeColor="text1"/>
        </w:rPr>
      </w:r>
    </w:p>
    <w:p>
      <w:pPr>
        <w:pStyle w:val="905"/>
        <w:keepNext w:val="true"/>
        <w:pBdr/>
        <w:spacing w:after="120" w:before="220"/>
        <w:ind/>
        <w:rPr>
          <w:color w:val="000000" w:themeColor="text1"/>
        </w:rPr>
      </w:pPr>
      <w:r/>
      <w:bookmarkStart w:id="40" w:name="_Toc40"/>
      <w:r>
        <w:rPr>
          <w:rFonts w:ascii="Calibri" w:hAnsi="Calibri" w:eastAsia="Calibri" w:cs="Calibri"/>
          <w:b/>
          <w:bCs/>
          <w:color w:val="000000" w:themeColor="text1"/>
          <w:sz w:val="22"/>
          <w:szCs w:val="22"/>
          <w:lang w:val="es-ES"/>
        </w:rPr>
        <w:t xml:space="preserve">2.11.1 Con los requisitos funcionales</w:t>
      </w:r>
      <w:r/>
      <w:bookmarkEnd w:id="40"/>
      <w:r/>
      <w:r>
        <w:rPr>
          <w:color w:val="000000" w:themeColor="text1"/>
        </w:rPr>
      </w:r>
    </w:p>
    <w:tbl>
      <w:tblPr>
        <w:tblW w:w="9360" w:type="dxa"/>
        <w:tblBorders>
          <w:top w:val="single" w:color="8ea9db" w:sz="4" w:space="0"/>
          <w:left w:val="single" w:color="8ea9db" w:sz="4" w:space="0"/>
          <w:bottom w:val="single" w:color="8ea9db" w:sz="4" w:space="0"/>
          <w:right w:val="single" w:color="8ea9db" w:sz="4" w:space="0"/>
          <w:insideH w:val="single" w:color="b4c6e7" w:sz="2" w:space="0"/>
          <w:insideV w:val="single" w:color="b4c6e7" w:sz="2" w:space="0"/>
        </w:tblBorders>
        <w:tblLook w:val="04A0" w:firstRow="1" w:lastRow="0" w:firstColumn="1" w:lastColumn="0" w:noHBand="0" w:noVBand="1"/>
      </w:tblPr>
      <w:tblGrid>
        <w:gridCol w:w="655"/>
        <w:gridCol w:w="4399"/>
        <w:gridCol w:w="2808"/>
        <w:gridCol w:w="1498"/>
      </w:tblGrid>
      <w:tr>
        <w:trPr>
          <w:cantSplit w:val="false"/>
          <w:tblHeader/>
        </w:trPr>
        <w:tc>
          <w:tcPr>
            <w:shd w:val="clear" w:color="auto" w:fill="d9e2f3"/>
            <w:tcBorders/>
            <w:tcMar>
              <w:left w:w="90" w:type="dxa"/>
              <w:top w:w="60" w:type="dxa"/>
              <w:right w:w="90" w:type="dxa"/>
              <w:bottom w:w="60" w:type="dxa"/>
            </w:tcMar>
            <w:tcW w:w="655"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RF</w:t>
            </w:r>
            <w:r>
              <w:rPr>
                <w:color w:val="000000" w:themeColor="text1"/>
              </w:rPr>
            </w:r>
          </w:p>
        </w:tc>
        <w:tc>
          <w:tcPr>
            <w:shd w:val="clear" w:color="auto" w:fill="d9e2f3"/>
            <w:tcBorders/>
            <w:tcMar>
              <w:left w:w="90" w:type="dxa"/>
              <w:top w:w="60" w:type="dxa"/>
              <w:right w:w="90" w:type="dxa"/>
              <w:bottom w:w="60" w:type="dxa"/>
            </w:tcMar>
            <w:tcW w:w="4399"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¿Cómo la arquitectura lo satisface?</w:t>
            </w:r>
            <w:r>
              <w:rPr>
                <w:color w:val="000000" w:themeColor="text1"/>
              </w:rPr>
            </w:r>
          </w:p>
        </w:tc>
        <w:tc>
          <w:tcPr>
            <w:shd w:val="clear" w:color="auto" w:fill="d9e2f3"/>
            <w:tcBorders/>
            <w:tcMar>
              <w:left w:w="90" w:type="dxa"/>
              <w:top w:w="60" w:type="dxa"/>
              <w:right w:w="90" w:type="dxa"/>
              <w:bottom w:w="60" w:type="dxa"/>
            </w:tcMar>
            <w:tcW w:w="2808"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Componente o capa responsable</w:t>
            </w:r>
            <w:r>
              <w:rPr>
                <w:color w:val="000000" w:themeColor="text1"/>
              </w:rPr>
            </w:r>
          </w:p>
        </w:tc>
        <w:tc>
          <w:tcPr>
            <w:shd w:val="clear" w:color="auto" w:fill="d9e2f3"/>
            <w:tcBorders/>
            <w:tcMar>
              <w:left w:w="90" w:type="dxa"/>
              <w:top w:w="60" w:type="dxa"/>
              <w:right w:w="90" w:type="dxa"/>
              <w:bottom w:w="60" w:type="dxa"/>
            </w:tcMar>
            <w:tcW w:w="1498"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¿Se cumple?</w:t>
            </w:r>
            <w:r>
              <w:rPr>
                <w:color w:val="000000" w:themeColor="text1"/>
              </w:rPr>
            </w:r>
          </w:p>
        </w:tc>
      </w:tr>
      <w:tr>
        <w:trPr>
          <w:cantSplit w:val="false"/>
        </w:trPr>
        <w:tc>
          <w:tcPr>
            <w:shd w:val="clear" w:color="auto" w:fill="ffffff"/>
            <w:tcBorders/>
            <w:tcMar>
              <w:left w:w="90" w:type="dxa"/>
              <w:top w:w="60" w:type="dxa"/>
              <w:right w:w="90" w:type="dxa"/>
              <w:bottom w:w="60" w:type="dxa"/>
            </w:tcMar>
            <w:tcW w:w="655"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RF-01</w:t>
            </w:r>
            <w:r>
              <w:rPr>
                <w:color w:val="000000" w:themeColor="text1"/>
              </w:rPr>
            </w:r>
          </w:p>
        </w:tc>
        <w:tc>
          <w:tcPr>
            <w:shd w:val="clear" w:color="auto" w:fill="ffffff"/>
            <w:tcBorders/>
            <w:tcMar>
              <w:left w:w="90" w:type="dxa"/>
              <w:top w:w="60" w:type="dxa"/>
              <w:right w:w="90" w:type="dxa"/>
              <w:bottom w:w="60" w:type="dxa"/>
            </w:tcMar>
            <w:tcW w:w="4399"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M2 concentra la autenticación y el control de acceso por rol, aplicado como envoltura en la capa 2 conforme a PA-05, de modo que los cuatro roles se resuelven en un solo punto y ningún módulo reimplementa autorización.</w:t>
            </w:r>
            <w:r>
              <w:rPr>
                <w:color w:val="000000" w:themeColor="text1"/>
              </w:rPr>
            </w:r>
          </w:p>
        </w:tc>
        <w:tc>
          <w:tcPr>
            <w:shd w:val="clear" w:color="auto" w:fill="ffffff"/>
            <w:tcBorders/>
            <w:tcMar>
              <w:left w:w="90" w:type="dxa"/>
              <w:top w:w="60" w:type="dxa"/>
              <w:right w:w="90" w:type="dxa"/>
              <w:bottom w:w="60" w:type="dxa"/>
            </w:tcMar>
            <w:tcW w:w="2808"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Capa 2 + M1 + M2</w:t>
            </w:r>
            <w:r>
              <w:rPr>
                <w:color w:val="000000" w:themeColor="text1"/>
              </w:rPr>
            </w:r>
          </w:p>
        </w:tc>
        <w:tc>
          <w:tcPr>
            <w:shd w:val="clear" w:color="auto" w:fill="ffffff"/>
            <w:tcBorders/>
            <w:tcMar>
              <w:left w:w="90" w:type="dxa"/>
              <w:top w:w="60" w:type="dxa"/>
              <w:right w:w="90" w:type="dxa"/>
              <w:bottom w:w="60" w:type="dxa"/>
            </w:tcMar>
            <w:tcW w:w="1498"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Sí</w:t>
            </w:r>
            <w:r>
              <w:rPr>
                <w:color w:val="000000" w:themeColor="text1"/>
              </w:rPr>
            </w:r>
          </w:p>
        </w:tc>
      </w:tr>
      <w:tr>
        <w:trPr>
          <w:cantSplit w:val="false"/>
        </w:trPr>
        <w:tc>
          <w:tcPr>
            <w:shd w:val="clear" w:color="auto" w:fill="f2f5fa"/>
            <w:tcBorders/>
            <w:tcMar>
              <w:left w:w="90" w:type="dxa"/>
              <w:top w:w="60" w:type="dxa"/>
              <w:right w:w="90" w:type="dxa"/>
              <w:bottom w:w="60" w:type="dxa"/>
            </w:tcMar>
            <w:tcW w:w="655"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RF-02</w:t>
            </w:r>
            <w:r>
              <w:rPr>
                <w:color w:val="000000" w:themeColor="text1"/>
              </w:rPr>
            </w:r>
          </w:p>
        </w:tc>
        <w:tc>
          <w:tcPr>
            <w:shd w:val="clear" w:color="auto" w:fill="f2f5fa"/>
            <w:tcBorders/>
            <w:tcMar>
              <w:left w:w="90" w:type="dxa"/>
              <w:top w:w="60" w:type="dxa"/>
              <w:right w:w="90" w:type="dxa"/>
              <w:bottom w:w="60" w:type="dxa"/>
            </w:tcMar>
            <w:tcW w:w="4399"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La consolidación es una invariante de dominio alojada en M3, dentro del núcleo hexagonal: se ejecuta y se prueba sin base de datos, y su corrección no depende del almacenamiento.</w:t>
            </w:r>
            <w:r>
              <w:rPr>
                <w:color w:val="000000" w:themeColor="text1"/>
              </w:rPr>
            </w:r>
          </w:p>
        </w:tc>
        <w:tc>
          <w:tcPr>
            <w:shd w:val="clear" w:color="auto" w:fill="f2f5fa"/>
            <w:tcBorders/>
            <w:tcMar>
              <w:left w:w="90" w:type="dxa"/>
              <w:top w:w="60" w:type="dxa"/>
              <w:right w:w="90" w:type="dxa"/>
              <w:bottom w:w="60" w:type="dxa"/>
            </w:tcMar>
            <w:tcW w:w="2808"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Capa 3 · M3</w:t>
            </w:r>
            <w:r>
              <w:rPr>
                <w:color w:val="000000" w:themeColor="text1"/>
              </w:rPr>
            </w:r>
          </w:p>
        </w:tc>
        <w:tc>
          <w:tcPr>
            <w:shd w:val="clear" w:color="auto" w:fill="f2f5fa"/>
            <w:tcBorders/>
            <w:tcMar>
              <w:left w:w="90" w:type="dxa"/>
              <w:top w:w="60" w:type="dxa"/>
              <w:right w:w="90" w:type="dxa"/>
              <w:bottom w:w="60" w:type="dxa"/>
            </w:tcMar>
            <w:tcW w:w="1498"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Sí</w:t>
            </w:r>
            <w:r>
              <w:rPr>
                <w:color w:val="000000" w:themeColor="text1"/>
              </w:rPr>
            </w:r>
          </w:p>
        </w:tc>
      </w:tr>
      <w:tr>
        <w:trPr>
          <w:cantSplit w:val="false"/>
        </w:trPr>
        <w:tc>
          <w:tcPr>
            <w:shd w:val="clear" w:color="auto" w:fill="ffffff"/>
            <w:tcBorders/>
            <w:tcMar>
              <w:left w:w="90" w:type="dxa"/>
              <w:top w:w="60" w:type="dxa"/>
              <w:right w:w="90" w:type="dxa"/>
              <w:bottom w:w="60" w:type="dxa"/>
            </w:tcMar>
            <w:tcW w:w="655"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RF-03</w:t>
            </w:r>
            <w:r>
              <w:rPr>
                <w:color w:val="000000" w:themeColor="text1"/>
              </w:rPr>
            </w:r>
          </w:p>
        </w:tc>
        <w:tc>
          <w:tcPr>
            <w:shd w:val="clear" w:color="auto" w:fill="ffffff"/>
            <w:tcBorders/>
            <w:tcMar>
              <w:left w:w="90" w:type="dxa"/>
              <w:top w:w="60" w:type="dxa"/>
              <w:right w:w="90" w:type="dxa"/>
              <w:bottom w:w="60" w:type="dxa"/>
            </w:tcMar>
            <w:tcW w:w="4399"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M5 opera exclusivamente en lectura sobre la réplica dedicada por ADR-03, con índices compuestos sobre los cuatro criterios de filtrado, aislando la carga de búsqueda del camino de escritura.</w:t>
            </w:r>
            <w:r>
              <w:rPr>
                <w:color w:val="000000" w:themeColor="text1"/>
              </w:rPr>
            </w:r>
          </w:p>
        </w:tc>
        <w:tc>
          <w:tcPr>
            <w:shd w:val="clear" w:color="auto" w:fill="ffffff"/>
            <w:tcBorders/>
            <w:tcMar>
              <w:left w:w="90" w:type="dxa"/>
              <w:top w:w="60" w:type="dxa"/>
              <w:right w:w="90" w:type="dxa"/>
              <w:bottom w:w="60" w:type="dxa"/>
            </w:tcMar>
            <w:tcW w:w="2808"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M5 + réplica de lectura (V-04)</w:t>
            </w:r>
            <w:r>
              <w:rPr>
                <w:color w:val="000000" w:themeColor="text1"/>
              </w:rPr>
            </w:r>
          </w:p>
        </w:tc>
        <w:tc>
          <w:tcPr>
            <w:shd w:val="clear" w:color="auto" w:fill="ffffff"/>
            <w:tcBorders/>
            <w:tcMar>
              <w:left w:w="90" w:type="dxa"/>
              <w:top w:w="60" w:type="dxa"/>
              <w:right w:w="90" w:type="dxa"/>
              <w:bottom w:w="60" w:type="dxa"/>
            </w:tcMar>
            <w:tcW w:w="1498"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Sí</w:t>
            </w:r>
            <w:r>
              <w:rPr>
                <w:color w:val="000000" w:themeColor="text1"/>
              </w:rPr>
            </w:r>
          </w:p>
        </w:tc>
      </w:tr>
      <w:tr>
        <w:trPr>
          <w:cantSplit w:val="false"/>
        </w:trPr>
        <w:tc>
          <w:tcPr>
            <w:shd w:val="clear" w:color="auto" w:fill="f2f5fa"/>
            <w:tcBorders/>
            <w:tcMar>
              <w:left w:w="90" w:type="dxa"/>
              <w:top w:w="60" w:type="dxa"/>
              <w:right w:w="90" w:type="dxa"/>
              <w:bottom w:w="60" w:type="dxa"/>
            </w:tcMar>
            <w:tcW w:w="655"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RF-04</w:t>
            </w:r>
            <w:r>
              <w:rPr>
                <w:color w:val="000000" w:themeColor="text1"/>
              </w:rPr>
            </w:r>
          </w:p>
        </w:tc>
        <w:tc>
          <w:tcPr>
            <w:shd w:val="clear" w:color="auto" w:fill="f2f5fa"/>
            <w:tcBorders/>
            <w:tcMar>
              <w:left w:w="90" w:type="dxa"/>
              <w:top w:w="60" w:type="dxa"/>
              <w:right w:w="90" w:type="dxa"/>
              <w:bottom w:w="60" w:type="dxa"/>
            </w:tcMar>
            <w:tcW w:w="4399"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M6 implementa el ciclo como máquina de estados explícita con el contador de rondas como invariante; la transición y su registro en bitácora ocurren en una única transacción.</w:t>
            </w:r>
            <w:r>
              <w:rPr>
                <w:color w:val="000000" w:themeColor="text1"/>
              </w:rPr>
            </w:r>
          </w:p>
        </w:tc>
        <w:tc>
          <w:tcPr>
            <w:shd w:val="clear" w:color="auto" w:fill="f2f5fa"/>
            <w:tcBorders/>
            <w:tcMar>
              <w:left w:w="90" w:type="dxa"/>
              <w:top w:w="60" w:type="dxa"/>
              <w:right w:w="90" w:type="dxa"/>
              <w:bottom w:w="60" w:type="dxa"/>
            </w:tcMar>
            <w:tcW w:w="2808"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Capa 3 · M6</w:t>
            </w:r>
            <w:r>
              <w:rPr>
                <w:color w:val="000000" w:themeColor="text1"/>
              </w:rPr>
            </w:r>
          </w:p>
        </w:tc>
        <w:tc>
          <w:tcPr>
            <w:shd w:val="clear" w:color="auto" w:fill="f2f5fa"/>
            <w:tcBorders/>
            <w:tcMar>
              <w:left w:w="90" w:type="dxa"/>
              <w:top w:w="60" w:type="dxa"/>
              <w:right w:w="90" w:type="dxa"/>
              <w:bottom w:w="60" w:type="dxa"/>
            </w:tcMar>
            <w:tcW w:w="1498"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Sí</w:t>
            </w:r>
            <w:r>
              <w:rPr>
                <w:color w:val="000000" w:themeColor="text1"/>
              </w:rPr>
            </w:r>
          </w:p>
        </w:tc>
      </w:tr>
      <w:tr>
        <w:trPr>
          <w:cantSplit w:val="false"/>
        </w:trPr>
        <w:tc>
          <w:tcPr>
            <w:shd w:val="clear" w:color="auto" w:fill="ffffff"/>
            <w:tcBorders/>
            <w:tcMar>
              <w:left w:w="90" w:type="dxa"/>
              <w:top w:w="60" w:type="dxa"/>
              <w:right w:w="90" w:type="dxa"/>
              <w:bottom w:w="60" w:type="dxa"/>
            </w:tcMar>
            <w:tcW w:w="655"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RF-05</w:t>
            </w:r>
            <w:r>
              <w:rPr>
                <w:color w:val="000000" w:themeColor="text1"/>
              </w:rPr>
            </w:r>
          </w:p>
        </w:tc>
        <w:tc>
          <w:tcPr>
            <w:shd w:val="clear" w:color="auto" w:fill="ffffff"/>
            <w:tcBorders/>
            <w:tcMar>
              <w:left w:w="90" w:type="dxa"/>
              <w:top w:w="60" w:type="dxa"/>
              <w:right w:w="90" w:type="dxa"/>
              <w:bottom w:w="60" w:type="dxa"/>
            </w:tcMar>
            <w:tcW w:w="4399"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La reserva es una invariante de M4; la liberación a las 48 horas la ejecuta el proceso trabajador, que no depende de que ningún usuario acceda al sistema en ese momento.</w:t>
            </w:r>
            <w:r>
              <w:rPr>
                <w:color w:val="000000" w:themeColor="text1"/>
              </w:rPr>
            </w:r>
          </w:p>
        </w:tc>
        <w:tc>
          <w:tcPr>
            <w:shd w:val="clear" w:color="auto" w:fill="ffffff"/>
            <w:tcBorders/>
            <w:tcMar>
              <w:left w:w="90" w:type="dxa"/>
              <w:top w:w="60" w:type="dxa"/>
              <w:right w:w="90" w:type="dxa"/>
              <w:bottom w:w="60" w:type="dxa"/>
            </w:tcMar>
            <w:tcW w:w="2808"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M4 + trabajador asíncrono</w:t>
            </w:r>
            <w:r>
              <w:rPr>
                <w:color w:val="000000" w:themeColor="text1"/>
              </w:rPr>
            </w:r>
          </w:p>
        </w:tc>
        <w:tc>
          <w:tcPr>
            <w:shd w:val="clear" w:color="auto" w:fill="ffffff"/>
            <w:tcBorders/>
            <w:tcMar>
              <w:left w:w="90" w:type="dxa"/>
              <w:top w:w="60" w:type="dxa"/>
              <w:right w:w="90" w:type="dxa"/>
              <w:bottom w:w="60" w:type="dxa"/>
            </w:tcMar>
            <w:tcW w:w="1498"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Sí</w:t>
            </w:r>
            <w:r>
              <w:rPr>
                <w:color w:val="000000" w:themeColor="text1"/>
              </w:rPr>
            </w:r>
          </w:p>
        </w:tc>
      </w:tr>
      <w:tr>
        <w:trPr>
          <w:cantSplit w:val="false"/>
        </w:trPr>
        <w:tc>
          <w:tcPr>
            <w:shd w:val="clear" w:color="auto" w:fill="f2f5fa"/>
            <w:tcBorders/>
            <w:tcMar>
              <w:left w:w="90" w:type="dxa"/>
              <w:top w:w="60" w:type="dxa"/>
              <w:right w:w="90" w:type="dxa"/>
              <w:bottom w:w="60" w:type="dxa"/>
            </w:tcMar>
            <w:tcW w:w="655"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RF-06</w:t>
            </w:r>
            <w:r>
              <w:rPr>
                <w:color w:val="000000" w:themeColor="text1"/>
              </w:rPr>
            </w:r>
          </w:p>
        </w:tc>
        <w:tc>
          <w:tcPr>
            <w:shd w:val="clear" w:color="auto" w:fill="f2f5fa"/>
            <w:tcBorders/>
            <w:tcMar>
              <w:left w:w="90" w:type="dxa"/>
              <w:top w:w="60" w:type="dxa"/>
              <w:right w:w="90" w:type="dxa"/>
              <w:bottom w:w="60" w:type="dxa"/>
            </w:tcMar>
            <w:tcW w:w="4399"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M7 no expone la conversación por decisión propia: reacciona al evento de adjudicación publicado por M6, lo que hace de la precondición una consecuencia estructural y no una comprobación que pueda olvidarse.</w:t>
            </w:r>
            <w:r>
              <w:rPr>
                <w:color w:val="000000" w:themeColor="text1"/>
              </w:rPr>
            </w:r>
          </w:p>
        </w:tc>
        <w:tc>
          <w:tcPr>
            <w:shd w:val="clear" w:color="auto" w:fill="f2f5fa"/>
            <w:tcBorders/>
            <w:tcMar>
              <w:left w:w="90" w:type="dxa"/>
              <w:top w:w="60" w:type="dxa"/>
              <w:right w:w="90" w:type="dxa"/>
              <w:bottom w:w="60" w:type="dxa"/>
            </w:tcMar>
            <w:tcW w:w="2808"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M6 → evento → M7</w:t>
            </w:r>
            <w:r>
              <w:rPr>
                <w:color w:val="000000" w:themeColor="text1"/>
              </w:rPr>
            </w:r>
          </w:p>
        </w:tc>
        <w:tc>
          <w:tcPr>
            <w:shd w:val="clear" w:color="auto" w:fill="f2f5fa"/>
            <w:tcBorders/>
            <w:tcMar>
              <w:left w:w="90" w:type="dxa"/>
              <w:top w:w="60" w:type="dxa"/>
              <w:right w:w="90" w:type="dxa"/>
              <w:bottom w:w="60" w:type="dxa"/>
            </w:tcMar>
            <w:tcW w:w="1498"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Sí</w:t>
            </w:r>
            <w:r>
              <w:rPr>
                <w:color w:val="000000" w:themeColor="text1"/>
              </w:rPr>
            </w:r>
          </w:p>
        </w:tc>
      </w:tr>
      <w:tr>
        <w:trPr>
          <w:cantSplit w:val="false"/>
        </w:trPr>
        <w:tc>
          <w:tcPr>
            <w:shd w:val="clear" w:color="auto" w:fill="ffffff"/>
            <w:tcBorders/>
            <w:tcMar>
              <w:left w:w="90" w:type="dxa"/>
              <w:top w:w="60" w:type="dxa"/>
              <w:right w:w="90" w:type="dxa"/>
              <w:bottom w:w="60" w:type="dxa"/>
            </w:tcMar>
            <w:tcW w:w="655"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RF-07</w:t>
            </w:r>
            <w:r>
              <w:rPr>
                <w:color w:val="000000" w:themeColor="text1"/>
              </w:rPr>
            </w:r>
          </w:p>
        </w:tc>
        <w:tc>
          <w:tcPr>
            <w:shd w:val="clear" w:color="auto" w:fill="ffffff"/>
            <w:tcBorders/>
            <w:tcMar>
              <w:left w:w="90" w:type="dxa"/>
              <w:top w:w="60" w:type="dxa"/>
              <w:right w:w="90" w:type="dxa"/>
              <w:bottom w:w="60" w:type="dxa"/>
            </w:tcMar>
            <w:tcW w:w="4399"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El envío ocurre fuera del ciclo de petición conforme a PA-03, con bandeja de salida transaccional (ADR-01) que garantiza la entrega e interruptor de circuito (ADR-02) que acota el fallo externo.</w:t>
            </w:r>
            <w:r>
              <w:rPr>
                <w:color w:val="000000" w:themeColor="text1"/>
              </w:rPr>
            </w:r>
          </w:p>
        </w:tc>
        <w:tc>
          <w:tcPr>
            <w:shd w:val="clear" w:color="auto" w:fill="ffffff"/>
            <w:tcBorders/>
            <w:tcMar>
              <w:left w:w="90" w:type="dxa"/>
              <w:top w:w="60" w:type="dxa"/>
              <w:right w:w="90" w:type="dxa"/>
              <w:bottom w:w="60" w:type="dxa"/>
            </w:tcMar>
            <w:tcW w:w="2808"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Trabajador + adaptador de notificación</w:t>
            </w:r>
            <w:r>
              <w:rPr>
                <w:color w:val="000000" w:themeColor="text1"/>
              </w:rPr>
            </w:r>
          </w:p>
        </w:tc>
        <w:tc>
          <w:tcPr>
            <w:shd w:val="clear" w:color="auto" w:fill="ffffff"/>
            <w:tcBorders/>
            <w:tcMar>
              <w:left w:w="90" w:type="dxa"/>
              <w:top w:w="60" w:type="dxa"/>
              <w:right w:w="90" w:type="dxa"/>
              <w:bottom w:w="60" w:type="dxa"/>
            </w:tcMar>
            <w:tcW w:w="1498"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Sí</w:t>
            </w:r>
            <w:r>
              <w:rPr>
                <w:color w:val="000000" w:themeColor="text1"/>
              </w:rPr>
            </w:r>
          </w:p>
        </w:tc>
      </w:tr>
      <w:tr>
        <w:trPr>
          <w:cantSplit w:val="false"/>
        </w:trPr>
        <w:tc>
          <w:tcPr>
            <w:shd w:val="clear" w:color="auto" w:fill="f2f5fa"/>
            <w:tcBorders/>
            <w:tcMar>
              <w:left w:w="90" w:type="dxa"/>
              <w:top w:w="60" w:type="dxa"/>
              <w:right w:w="90" w:type="dxa"/>
              <w:bottom w:w="60" w:type="dxa"/>
            </w:tcMar>
            <w:tcW w:w="655"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RF-08</w:t>
            </w:r>
            <w:r>
              <w:rPr>
                <w:color w:val="000000" w:themeColor="text1"/>
              </w:rPr>
            </w:r>
          </w:p>
        </w:tc>
        <w:tc>
          <w:tcPr>
            <w:shd w:val="clear" w:color="auto" w:fill="f2f5fa"/>
            <w:tcBorders/>
            <w:tcMar>
              <w:left w:w="90" w:type="dxa"/>
              <w:top w:w="60" w:type="dxa"/>
              <w:right w:w="90" w:type="dxa"/>
              <w:bottom w:w="60" w:type="dxa"/>
            </w:tcMar>
            <w:tcW w:w="4399"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Las tres tareas programadas residen en el proceso trabajador, con la misma base de código y las mismas reglas de dominio que la aplicación, evitando la duplicación de lógica en guiones separados.</w:t>
            </w:r>
            <w:r>
              <w:rPr>
                <w:color w:val="000000" w:themeColor="text1"/>
              </w:rPr>
            </w:r>
          </w:p>
        </w:tc>
        <w:tc>
          <w:tcPr>
            <w:shd w:val="clear" w:color="auto" w:fill="f2f5fa"/>
            <w:tcBorders/>
            <w:tcMar>
              <w:left w:w="90" w:type="dxa"/>
              <w:top w:w="60" w:type="dxa"/>
              <w:right w:w="90" w:type="dxa"/>
              <w:bottom w:w="60" w:type="dxa"/>
            </w:tcMar>
            <w:tcW w:w="2808"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Trabajador asíncrono</w:t>
            </w:r>
            <w:r>
              <w:rPr>
                <w:color w:val="000000" w:themeColor="text1"/>
              </w:rPr>
            </w:r>
          </w:p>
        </w:tc>
        <w:tc>
          <w:tcPr>
            <w:shd w:val="clear" w:color="auto" w:fill="f2f5fa"/>
            <w:tcBorders/>
            <w:tcMar>
              <w:left w:w="90" w:type="dxa"/>
              <w:top w:w="60" w:type="dxa"/>
              <w:right w:w="90" w:type="dxa"/>
              <w:bottom w:w="60" w:type="dxa"/>
            </w:tcMar>
            <w:tcW w:w="1498"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Sí</w:t>
            </w:r>
            <w:r>
              <w:rPr>
                <w:color w:val="000000" w:themeColor="text1"/>
              </w:rPr>
            </w:r>
          </w:p>
        </w:tc>
      </w:tr>
      <w:tr>
        <w:trPr>
          <w:cantSplit w:val="false"/>
        </w:trPr>
        <w:tc>
          <w:tcPr>
            <w:shd w:val="clear" w:color="auto" w:fill="ffffff"/>
            <w:tcBorders/>
            <w:tcMar>
              <w:left w:w="90" w:type="dxa"/>
              <w:top w:w="60" w:type="dxa"/>
              <w:right w:w="90" w:type="dxa"/>
              <w:bottom w:w="60" w:type="dxa"/>
            </w:tcMar>
            <w:tcW w:w="655"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RF-09</w:t>
            </w:r>
            <w:r>
              <w:rPr>
                <w:color w:val="000000" w:themeColor="text1"/>
              </w:rPr>
            </w:r>
          </w:p>
        </w:tc>
        <w:tc>
          <w:tcPr>
            <w:shd w:val="clear" w:color="auto" w:fill="ffffff"/>
            <w:tcBorders/>
            <w:tcMar>
              <w:left w:w="90" w:type="dxa"/>
              <w:top w:w="60" w:type="dxa"/>
              <w:right w:w="90" w:type="dxa"/>
              <w:bottom w:w="60" w:type="dxa"/>
            </w:tcMar>
            <w:tcW w:w="4399"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M8 se suscribe a los eventos de cierre de transacción de M6 y de apertura de disputa de M9; la suspensión de la evaluación es una reacción a un evento y no una consulta periódica de estado.</w:t>
            </w:r>
            <w:r>
              <w:rPr>
                <w:color w:val="000000" w:themeColor="text1"/>
              </w:rPr>
            </w:r>
          </w:p>
        </w:tc>
        <w:tc>
          <w:tcPr>
            <w:shd w:val="clear" w:color="auto" w:fill="ffffff"/>
            <w:tcBorders/>
            <w:tcMar>
              <w:left w:w="90" w:type="dxa"/>
              <w:top w:w="60" w:type="dxa"/>
              <w:right w:w="90" w:type="dxa"/>
              <w:bottom w:w="60" w:type="dxa"/>
            </w:tcMar>
            <w:tcW w:w="2808"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M8 sobre eventos de M6 y M9</w:t>
            </w:r>
            <w:r>
              <w:rPr>
                <w:color w:val="000000" w:themeColor="text1"/>
              </w:rPr>
            </w:r>
          </w:p>
        </w:tc>
        <w:tc>
          <w:tcPr>
            <w:shd w:val="clear" w:color="auto" w:fill="ffffff"/>
            <w:tcBorders/>
            <w:tcMar>
              <w:left w:w="90" w:type="dxa"/>
              <w:top w:w="60" w:type="dxa"/>
              <w:right w:w="90" w:type="dxa"/>
              <w:bottom w:w="60" w:type="dxa"/>
            </w:tcMar>
            <w:tcW w:w="1498"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Sí</w:t>
            </w:r>
            <w:r>
              <w:rPr>
                <w:color w:val="000000" w:themeColor="text1"/>
              </w:rPr>
            </w:r>
          </w:p>
        </w:tc>
      </w:tr>
      <w:tr>
        <w:trPr>
          <w:cantSplit w:val="false"/>
        </w:trPr>
        <w:tc>
          <w:tcPr>
            <w:shd w:val="clear" w:color="auto" w:fill="f2f5fa"/>
            <w:tcBorders/>
            <w:tcMar>
              <w:left w:w="90" w:type="dxa"/>
              <w:top w:w="60" w:type="dxa"/>
              <w:right w:w="90" w:type="dxa"/>
              <w:bottom w:w="60" w:type="dxa"/>
            </w:tcMar>
            <w:tcW w:w="655"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RF-10</w:t>
            </w:r>
            <w:r>
              <w:rPr>
                <w:color w:val="000000" w:themeColor="text1"/>
              </w:rPr>
            </w:r>
          </w:p>
        </w:tc>
        <w:tc>
          <w:tcPr>
            <w:shd w:val="clear" w:color="auto" w:fill="f2f5fa"/>
            <w:tcBorders/>
            <w:tcMar>
              <w:left w:w="90" w:type="dxa"/>
              <w:top w:w="60" w:type="dxa"/>
              <w:right w:w="90" w:type="dxa"/>
              <w:bottom w:w="60" w:type="dxa"/>
            </w:tcMar>
            <w:tcW w:w="4399"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La inmutabilidad se impone en el gestor de base de datos mediante revocación de permisos (ADR-05), no en el código; el borrado programado a 30 días lo ejecuta el trabajador.</w:t>
            </w:r>
            <w:r>
              <w:rPr>
                <w:color w:val="000000" w:themeColor="text1"/>
              </w:rPr>
            </w:r>
          </w:p>
        </w:tc>
        <w:tc>
          <w:tcPr>
            <w:shd w:val="clear" w:color="auto" w:fill="f2f5fa"/>
            <w:tcBorders/>
            <w:tcMar>
              <w:left w:w="90" w:type="dxa"/>
              <w:top w:w="60" w:type="dxa"/>
              <w:right w:w="90" w:type="dxa"/>
              <w:bottom w:w="60" w:type="dxa"/>
            </w:tcMar>
            <w:tcW w:w="2808"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M9 + capa 4 + trabajador</w:t>
            </w:r>
            <w:r>
              <w:rPr>
                <w:color w:val="000000" w:themeColor="text1"/>
              </w:rPr>
            </w:r>
          </w:p>
        </w:tc>
        <w:tc>
          <w:tcPr>
            <w:shd w:val="clear" w:color="auto" w:fill="f2f5fa"/>
            <w:tcBorders/>
            <w:tcMar>
              <w:left w:w="90" w:type="dxa"/>
              <w:top w:w="60" w:type="dxa"/>
              <w:right w:w="90" w:type="dxa"/>
              <w:bottom w:w="60" w:type="dxa"/>
            </w:tcMar>
            <w:tcW w:w="1498"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Sí</w:t>
            </w:r>
            <w:r>
              <w:rPr>
                <w:color w:val="000000" w:themeColor="text1"/>
              </w:rPr>
            </w:r>
          </w:p>
        </w:tc>
      </w:tr>
    </w:tbl>
    <w:p>
      <w:pPr>
        <w:pBdr/>
        <w:spacing w:after="160"/>
        <w:ind/>
        <w:rPr>
          <w:color w:val="000000" w:themeColor="text1"/>
        </w:rPr>
      </w:pPr>
      <w:r>
        <w:rPr>
          <w:color w:val="000000" w:themeColor="text1"/>
          <w:lang w:val="es-ES" w:bidi="es-ES"/>
        </w:rPr>
      </w:r>
      <w:r>
        <w:rPr>
          <w:color w:val="000000" w:themeColor="text1"/>
        </w:rPr>
      </w:r>
    </w:p>
    <w:p>
      <w:pPr>
        <w:pStyle w:val="905"/>
        <w:keepNext w:val="true"/>
        <w:pBdr/>
        <w:spacing w:after="120" w:before="220"/>
        <w:ind/>
        <w:rPr>
          <w:color w:val="000000" w:themeColor="text1"/>
        </w:rPr>
      </w:pPr>
      <w:r/>
      <w:bookmarkStart w:id="41" w:name="_Toc41"/>
      <w:r>
        <w:rPr>
          <w:rFonts w:ascii="Calibri" w:hAnsi="Calibri" w:eastAsia="Calibri" w:cs="Calibri"/>
          <w:b/>
          <w:bCs/>
          <w:color w:val="000000" w:themeColor="text1"/>
          <w:sz w:val="22"/>
          <w:szCs w:val="22"/>
          <w:lang w:val="es-ES"/>
        </w:rPr>
        <w:t xml:space="preserve">2.11.2 Con los requisitos no funcionales</w:t>
      </w:r>
      <w:r/>
      <w:bookmarkEnd w:id="41"/>
      <w:r/>
      <w:r>
        <w:rPr>
          <w:color w:val="000000" w:themeColor="text1"/>
        </w:rPr>
      </w:r>
    </w:p>
    <w:tbl>
      <w:tblPr>
        <w:tblW w:w="9360" w:type="dxa"/>
        <w:tblBorders>
          <w:top w:val="single" w:color="8ea9db" w:sz="4" w:space="0"/>
          <w:left w:val="single" w:color="8ea9db" w:sz="4" w:space="0"/>
          <w:bottom w:val="single" w:color="8ea9db" w:sz="4" w:space="0"/>
          <w:right w:val="single" w:color="8ea9db" w:sz="4" w:space="0"/>
          <w:insideH w:val="single" w:color="b4c6e7" w:sz="2" w:space="0"/>
          <w:insideV w:val="single" w:color="b4c6e7" w:sz="2" w:space="0"/>
        </w:tblBorders>
        <w:tblLook w:val="04A0" w:firstRow="1" w:lastRow="0" w:firstColumn="1" w:lastColumn="0" w:noHBand="0" w:noVBand="1"/>
      </w:tblPr>
      <w:tblGrid>
        <w:gridCol w:w="1591"/>
        <w:gridCol w:w="1123"/>
        <w:gridCol w:w="4680"/>
        <w:gridCol w:w="1966"/>
      </w:tblGrid>
      <w:tr>
        <w:trPr>
          <w:cantSplit w:val="false"/>
          <w:tblHeader/>
        </w:trPr>
        <w:tc>
          <w:tcPr>
            <w:shd w:val="clear" w:color="auto" w:fill="d9e2f3"/>
            <w:tcBorders/>
            <w:tcMar>
              <w:left w:w="90" w:type="dxa"/>
              <w:top w:w="60" w:type="dxa"/>
              <w:right w:w="90" w:type="dxa"/>
              <w:bottom w:w="60" w:type="dxa"/>
            </w:tcMar>
            <w:tcW w:w="1591"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RNF</w:t>
            </w:r>
            <w:r>
              <w:rPr>
                <w:color w:val="000000" w:themeColor="text1"/>
              </w:rPr>
            </w:r>
          </w:p>
        </w:tc>
        <w:tc>
          <w:tcPr>
            <w:shd w:val="clear" w:color="auto" w:fill="d9e2f3"/>
            <w:tcBorders/>
            <w:tcMar>
              <w:left w:w="90" w:type="dxa"/>
              <w:top w:w="60" w:type="dxa"/>
              <w:right w:w="90" w:type="dxa"/>
              <w:bottom w:w="60" w:type="dxa"/>
            </w:tcMar>
            <w:tcW w:w="1123"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Preocupación</w:t>
            </w:r>
            <w:r>
              <w:rPr>
                <w:color w:val="000000" w:themeColor="text1"/>
              </w:rPr>
            </w:r>
          </w:p>
        </w:tc>
        <w:tc>
          <w:tcPr>
            <w:shd w:val="clear" w:color="auto" w:fill="d9e2f3"/>
            <w:tcBorders/>
            <w:tcMar>
              <w:left w:w="90" w:type="dxa"/>
              <w:top w:w="60" w:type="dxa"/>
              <w:right w:w="90" w:type="dxa"/>
              <w:bottom w:w="60" w:type="dxa"/>
            </w:tcMar>
            <w:tcW w:w="4680"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¿Qué característica de la arquitectura lo cumple?</w:t>
            </w:r>
            <w:r>
              <w:rPr>
                <w:color w:val="000000" w:themeColor="text1"/>
              </w:rPr>
            </w:r>
          </w:p>
        </w:tc>
        <w:tc>
          <w:tcPr>
            <w:shd w:val="clear" w:color="auto" w:fill="d9e2f3"/>
            <w:tcBorders/>
            <w:tcMar>
              <w:left w:w="90" w:type="dxa"/>
              <w:top w:w="60" w:type="dxa"/>
              <w:right w:w="90" w:type="dxa"/>
              <w:bottom w:w="60" w:type="dxa"/>
            </w:tcMar>
            <w:tcW w:w="1966"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¿Se cumple?</w:t>
            </w:r>
            <w:r>
              <w:rPr>
                <w:color w:val="000000" w:themeColor="text1"/>
              </w:rPr>
            </w:r>
          </w:p>
        </w:tc>
      </w:tr>
      <w:tr>
        <w:trPr>
          <w:cantSplit w:val="false"/>
        </w:trPr>
        <w:tc>
          <w:tcPr>
            <w:shd w:val="clear" w:color="auto" w:fill="ffffff"/>
            <w:tcBorders/>
            <w:tcMar>
              <w:left w:w="90" w:type="dxa"/>
              <w:top w:w="60" w:type="dxa"/>
              <w:right w:w="90" w:type="dxa"/>
              <w:bottom w:w="60" w:type="dxa"/>
            </w:tcMar>
            <w:tcW w:w="1591"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RNF-01 Rendimiento</w:t>
            </w:r>
            <w:r>
              <w:rPr>
                <w:color w:val="000000" w:themeColor="text1"/>
              </w:rPr>
            </w:r>
          </w:p>
        </w:tc>
        <w:tc>
          <w:tcPr>
            <w:shd w:val="clear" w:color="auto" w:fill="ffffff"/>
            <w:tcBorders/>
            <w:tcMar>
              <w:left w:w="90" w:type="dxa"/>
              <w:top w:w="60" w:type="dxa"/>
              <w:right w:w="90" w:type="dxa"/>
              <w:bottom w:w="60" w:type="dxa"/>
            </w:tcMar>
            <w:tcW w:w="1123"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P-01, P-08</w:t>
            </w:r>
            <w:r>
              <w:rPr>
                <w:color w:val="000000" w:themeColor="text1"/>
              </w:rPr>
            </w:r>
          </w:p>
        </w:tc>
        <w:tc>
          <w:tcPr>
            <w:shd w:val="clear" w:color="auto" w:fill="ffffff"/>
            <w:tcBorders/>
            <w:tcMar>
              <w:left w:w="90" w:type="dxa"/>
              <w:top w:w="60" w:type="dxa"/>
              <w:right w:w="90" w:type="dxa"/>
              <w:bottom w:w="60" w:type="dxa"/>
            </w:tcMar>
            <w:tcW w:w="4680"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Interfaz desacoplada con activos servidos por red de distribución (ADR-06); caché distribuida; efectos diferidos fuera del ciclo de petición; réplica de lectura para las consultas pesadas.</w:t>
            </w:r>
            <w:r>
              <w:rPr>
                <w:color w:val="000000" w:themeColor="text1"/>
              </w:rPr>
            </w:r>
          </w:p>
        </w:tc>
        <w:tc>
          <w:tcPr>
            <w:shd w:val="clear" w:color="auto" w:fill="ffffff"/>
            <w:tcBorders/>
            <w:tcMar>
              <w:left w:w="90" w:type="dxa"/>
              <w:top w:w="60" w:type="dxa"/>
              <w:right w:w="90" w:type="dxa"/>
              <w:bottom w:w="60" w:type="dxa"/>
            </w:tcMar>
            <w:tcW w:w="1966"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Sí — pendiente de prueba de carga</w:t>
            </w:r>
            <w:r>
              <w:rPr>
                <w:color w:val="000000" w:themeColor="text1"/>
              </w:rPr>
            </w:r>
          </w:p>
        </w:tc>
      </w:tr>
      <w:tr>
        <w:trPr>
          <w:cantSplit w:val="false"/>
        </w:trPr>
        <w:tc>
          <w:tcPr>
            <w:shd w:val="clear" w:color="auto" w:fill="f2f5fa"/>
            <w:tcBorders/>
            <w:tcMar>
              <w:left w:w="90" w:type="dxa"/>
              <w:top w:w="60" w:type="dxa"/>
              <w:right w:w="90" w:type="dxa"/>
              <w:bottom w:w="60" w:type="dxa"/>
            </w:tcMar>
            <w:tcW w:w="1591"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RNF-02 Disponibilidad</w:t>
            </w:r>
            <w:r>
              <w:rPr>
                <w:color w:val="000000" w:themeColor="text1"/>
              </w:rPr>
            </w:r>
          </w:p>
        </w:tc>
        <w:tc>
          <w:tcPr>
            <w:shd w:val="clear" w:color="auto" w:fill="f2f5fa"/>
            <w:tcBorders/>
            <w:tcMar>
              <w:left w:w="90" w:type="dxa"/>
              <w:top w:w="60" w:type="dxa"/>
              <w:right w:w="90" w:type="dxa"/>
              <w:bottom w:w="60" w:type="dxa"/>
            </w:tcMar>
            <w:tcW w:w="1123"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P-06</w:t>
            </w:r>
            <w:r>
              <w:rPr>
                <w:color w:val="000000" w:themeColor="text1"/>
              </w:rPr>
            </w:r>
          </w:p>
        </w:tc>
        <w:tc>
          <w:tcPr>
            <w:shd w:val="clear" w:color="auto" w:fill="f2f5fa"/>
            <w:tcBorders/>
            <w:tcMar>
              <w:left w:w="90" w:type="dxa"/>
              <w:top w:w="60" w:type="dxa"/>
              <w:right w:w="90" w:type="dxa"/>
              <w:bottom w:w="60" w:type="dxa"/>
            </w:tcMar>
            <w:tcW w:w="4680"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Mínimo de dos instancias tras el balanceador, sondas de vitalidad con reinicio automático y ventanas de mantenimiento comunicadas.</w:t>
            </w:r>
            <w:r>
              <w:rPr>
                <w:color w:val="000000" w:themeColor="text1"/>
              </w:rPr>
            </w:r>
          </w:p>
        </w:tc>
        <w:tc>
          <w:tcPr>
            <w:shd w:val="clear" w:color="auto" w:fill="f2f5fa"/>
            <w:tcBorders/>
            <w:tcMar>
              <w:left w:w="90" w:type="dxa"/>
              <w:top w:w="60" w:type="dxa"/>
              <w:right w:w="90" w:type="dxa"/>
              <w:bottom w:w="60" w:type="dxa"/>
            </w:tcMar>
            <w:tcW w:w="1966"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Sí</w:t>
            </w:r>
            <w:r>
              <w:rPr>
                <w:color w:val="000000" w:themeColor="text1"/>
              </w:rPr>
            </w:r>
          </w:p>
        </w:tc>
      </w:tr>
      <w:tr>
        <w:trPr>
          <w:cantSplit w:val="false"/>
        </w:trPr>
        <w:tc>
          <w:tcPr>
            <w:shd w:val="clear" w:color="auto" w:fill="ffffff"/>
            <w:tcBorders/>
            <w:tcMar>
              <w:left w:w="90" w:type="dxa"/>
              <w:top w:w="60" w:type="dxa"/>
              <w:right w:w="90" w:type="dxa"/>
              <w:bottom w:w="60" w:type="dxa"/>
            </w:tcMar>
            <w:tcW w:w="1591"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RNF-03 Seguridad</w:t>
            </w:r>
            <w:r>
              <w:rPr>
                <w:color w:val="000000" w:themeColor="text1"/>
              </w:rPr>
            </w:r>
          </w:p>
        </w:tc>
        <w:tc>
          <w:tcPr>
            <w:shd w:val="clear" w:color="auto" w:fill="ffffff"/>
            <w:tcBorders/>
            <w:tcMar>
              <w:left w:w="90" w:type="dxa"/>
              <w:top w:w="60" w:type="dxa"/>
              <w:right w:w="90" w:type="dxa"/>
              <w:bottom w:w="60" w:type="dxa"/>
            </w:tcMar>
            <w:tcW w:w="1123"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P-02</w:t>
            </w:r>
            <w:r>
              <w:rPr>
                <w:color w:val="000000" w:themeColor="text1"/>
              </w:rPr>
            </w:r>
          </w:p>
        </w:tc>
        <w:tc>
          <w:tcPr>
            <w:shd w:val="clear" w:color="auto" w:fill="ffffff"/>
            <w:tcBorders/>
            <w:tcMar>
              <w:left w:w="90" w:type="dxa"/>
              <w:top w:w="60" w:type="dxa"/>
              <w:right w:w="90" w:type="dxa"/>
              <w:bottom w:w="60" w:type="dxa"/>
            </w:tcMar>
            <w:tcW w:w="4680"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Terminación TLS 1.3, cifrado AES-256 en reposo, limitación de peticiones por IP, control de acceso por rol en la frontera e invariantes verificadas en el dominio (PA-05).</w:t>
            </w:r>
            <w:r>
              <w:rPr>
                <w:color w:val="000000" w:themeColor="text1"/>
              </w:rPr>
            </w:r>
          </w:p>
        </w:tc>
        <w:tc>
          <w:tcPr>
            <w:shd w:val="clear" w:color="auto" w:fill="ffffff"/>
            <w:tcBorders/>
            <w:tcMar>
              <w:left w:w="90" w:type="dxa"/>
              <w:top w:w="60" w:type="dxa"/>
              <w:right w:w="90" w:type="dxa"/>
              <w:bottom w:w="60" w:type="dxa"/>
            </w:tcMar>
            <w:tcW w:w="1966"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Sí</w:t>
            </w:r>
            <w:r>
              <w:rPr>
                <w:color w:val="000000" w:themeColor="text1"/>
              </w:rPr>
            </w:r>
          </w:p>
        </w:tc>
      </w:tr>
      <w:tr>
        <w:trPr>
          <w:cantSplit w:val="false"/>
        </w:trPr>
        <w:tc>
          <w:tcPr>
            <w:shd w:val="clear" w:color="auto" w:fill="f2f5fa"/>
            <w:tcBorders/>
            <w:tcMar>
              <w:left w:w="90" w:type="dxa"/>
              <w:top w:w="60" w:type="dxa"/>
              <w:right w:w="90" w:type="dxa"/>
              <w:bottom w:w="60" w:type="dxa"/>
            </w:tcMar>
            <w:tcW w:w="1591"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RNF-04 Mantenibilidad</w:t>
            </w:r>
            <w:r>
              <w:rPr>
                <w:color w:val="000000" w:themeColor="text1"/>
              </w:rPr>
            </w:r>
          </w:p>
        </w:tc>
        <w:tc>
          <w:tcPr>
            <w:shd w:val="clear" w:color="auto" w:fill="f2f5fa"/>
            <w:tcBorders/>
            <w:tcMar>
              <w:left w:w="90" w:type="dxa"/>
              <w:top w:w="60" w:type="dxa"/>
              <w:right w:w="90" w:type="dxa"/>
              <w:bottom w:w="60" w:type="dxa"/>
            </w:tcMar>
            <w:tcW w:w="1123"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P-03, P-07</w:t>
            </w:r>
            <w:r>
              <w:rPr>
                <w:color w:val="000000" w:themeColor="text1"/>
              </w:rPr>
            </w:r>
          </w:p>
        </w:tc>
        <w:tc>
          <w:tcPr>
            <w:shd w:val="clear" w:color="auto" w:fill="f2f5fa"/>
            <w:tcBorders/>
            <w:tcMar>
              <w:left w:w="90" w:type="dxa"/>
              <w:top w:w="60" w:type="dxa"/>
              <w:right w:w="90" w:type="dxa"/>
              <w:bottom w:w="60" w:type="dxa"/>
            </w:tcMar>
            <w:tcW w:w="4680"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Núcleo hexagonal comprobable sin infraestructura, lo que hace alcanzable el 80 % de cobertura; módulos con fronteras explícitas que permiten añadir capacidades sin modificar las existentes.</w:t>
            </w:r>
            <w:r>
              <w:rPr>
                <w:color w:val="000000" w:themeColor="text1"/>
              </w:rPr>
            </w:r>
          </w:p>
        </w:tc>
        <w:tc>
          <w:tcPr>
            <w:shd w:val="clear" w:color="auto" w:fill="f2f5fa"/>
            <w:tcBorders/>
            <w:tcMar>
              <w:left w:w="90" w:type="dxa"/>
              <w:top w:w="60" w:type="dxa"/>
              <w:right w:w="90" w:type="dxa"/>
              <w:bottom w:w="60" w:type="dxa"/>
            </w:tcMar>
            <w:tcW w:w="1966"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Sí</w:t>
            </w:r>
            <w:r>
              <w:rPr>
                <w:color w:val="000000" w:themeColor="text1"/>
              </w:rPr>
            </w:r>
          </w:p>
        </w:tc>
      </w:tr>
      <w:tr>
        <w:trPr>
          <w:cantSplit w:val="false"/>
        </w:trPr>
        <w:tc>
          <w:tcPr>
            <w:shd w:val="clear" w:color="auto" w:fill="ffffff"/>
            <w:tcBorders/>
            <w:tcMar>
              <w:left w:w="90" w:type="dxa"/>
              <w:top w:w="60" w:type="dxa"/>
              <w:right w:w="90" w:type="dxa"/>
              <w:bottom w:w="60" w:type="dxa"/>
            </w:tcMar>
            <w:tcW w:w="1591"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RNF-05 Escalabilidad</w:t>
            </w:r>
            <w:r>
              <w:rPr>
                <w:color w:val="000000" w:themeColor="text1"/>
              </w:rPr>
            </w:r>
          </w:p>
        </w:tc>
        <w:tc>
          <w:tcPr>
            <w:shd w:val="clear" w:color="auto" w:fill="ffffff"/>
            <w:tcBorders/>
            <w:tcMar>
              <w:left w:w="90" w:type="dxa"/>
              <w:top w:w="60" w:type="dxa"/>
              <w:right w:w="90" w:type="dxa"/>
              <w:bottom w:w="60" w:type="dxa"/>
            </w:tcMar>
            <w:tcW w:w="1123"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P-01</w:t>
            </w:r>
            <w:r>
              <w:rPr>
                <w:color w:val="000000" w:themeColor="text1"/>
              </w:rPr>
            </w:r>
          </w:p>
        </w:tc>
        <w:tc>
          <w:tcPr>
            <w:shd w:val="clear" w:color="auto" w:fill="ffffff"/>
            <w:tcBorders/>
            <w:tcMar>
              <w:left w:w="90" w:type="dxa"/>
              <w:top w:w="60" w:type="dxa"/>
              <w:right w:w="90" w:type="dxa"/>
              <w:bottom w:w="60" w:type="dxa"/>
            </w:tcMar>
            <w:tcW w:w="4680"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Instancias sin estado por ADR-04 que se replican tras el balanceador; réplica de lectura; el trabajador escala de forma independiente de la aplicación.</w:t>
            </w:r>
            <w:r>
              <w:rPr>
                <w:color w:val="000000" w:themeColor="text1"/>
              </w:rPr>
            </w:r>
          </w:p>
        </w:tc>
        <w:tc>
          <w:tcPr>
            <w:shd w:val="clear" w:color="auto" w:fill="ffffff"/>
            <w:tcBorders/>
            <w:tcMar>
              <w:left w:w="90" w:type="dxa"/>
              <w:top w:w="60" w:type="dxa"/>
              <w:right w:w="90" w:type="dxa"/>
              <w:bottom w:w="60" w:type="dxa"/>
            </w:tcMar>
            <w:tcW w:w="1966"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Sí</w:t>
            </w:r>
            <w:r>
              <w:rPr>
                <w:color w:val="000000" w:themeColor="text1"/>
              </w:rPr>
            </w:r>
          </w:p>
        </w:tc>
      </w:tr>
      <w:tr>
        <w:trPr>
          <w:cantSplit w:val="false"/>
        </w:trPr>
        <w:tc>
          <w:tcPr>
            <w:shd w:val="clear" w:color="auto" w:fill="f2f5fa"/>
            <w:tcBorders/>
            <w:tcMar>
              <w:left w:w="90" w:type="dxa"/>
              <w:top w:w="60" w:type="dxa"/>
              <w:right w:w="90" w:type="dxa"/>
              <w:bottom w:w="60" w:type="dxa"/>
            </w:tcMar>
            <w:tcW w:w="1591"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RNF-06 Interoperabilidad</w:t>
            </w:r>
            <w:r>
              <w:rPr>
                <w:color w:val="000000" w:themeColor="text1"/>
              </w:rPr>
            </w:r>
          </w:p>
        </w:tc>
        <w:tc>
          <w:tcPr>
            <w:shd w:val="clear" w:color="auto" w:fill="f2f5fa"/>
            <w:tcBorders/>
            <w:tcMar>
              <w:left w:w="90" w:type="dxa"/>
              <w:top w:w="60" w:type="dxa"/>
              <w:right w:w="90" w:type="dxa"/>
              <w:bottom w:w="60" w:type="dxa"/>
            </w:tcMar>
            <w:tcW w:w="1123"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P-05</w:t>
            </w:r>
            <w:r>
              <w:rPr>
                <w:color w:val="000000" w:themeColor="text1"/>
              </w:rPr>
            </w:r>
          </w:p>
        </w:tc>
        <w:tc>
          <w:tcPr>
            <w:shd w:val="clear" w:color="auto" w:fill="f2f5fa"/>
            <w:tcBorders/>
            <w:tcMar>
              <w:left w:w="90" w:type="dxa"/>
              <w:top w:w="60" w:type="dxa"/>
              <w:right w:w="90" w:type="dxa"/>
              <w:bottom w:w="60" w:type="dxa"/>
            </w:tcMar>
            <w:tcW w:w="4680"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Contrato OpenAPI 3.0 escrito antes de la implementación (PA-07); el proveedor de mensajería se consume a través de un puerto abstracto y es sustituible cambiando un solo adaptador.</w:t>
            </w:r>
            <w:r>
              <w:rPr>
                <w:color w:val="000000" w:themeColor="text1"/>
              </w:rPr>
            </w:r>
          </w:p>
        </w:tc>
        <w:tc>
          <w:tcPr>
            <w:shd w:val="clear" w:color="auto" w:fill="f2f5fa"/>
            <w:tcBorders/>
            <w:tcMar>
              <w:left w:w="90" w:type="dxa"/>
              <w:top w:w="60" w:type="dxa"/>
              <w:right w:w="90" w:type="dxa"/>
              <w:bottom w:w="60" w:type="dxa"/>
            </w:tcMar>
            <w:tcW w:w="1966"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Sí</w:t>
            </w:r>
            <w:r>
              <w:rPr>
                <w:color w:val="000000" w:themeColor="text1"/>
              </w:rPr>
            </w:r>
          </w:p>
        </w:tc>
      </w:tr>
      <w:tr>
        <w:trPr>
          <w:cantSplit w:val="false"/>
        </w:trPr>
        <w:tc>
          <w:tcPr>
            <w:shd w:val="clear" w:color="auto" w:fill="ffffff"/>
            <w:tcBorders/>
            <w:tcMar>
              <w:left w:w="90" w:type="dxa"/>
              <w:top w:w="60" w:type="dxa"/>
              <w:right w:w="90" w:type="dxa"/>
              <w:bottom w:w="60" w:type="dxa"/>
            </w:tcMar>
            <w:tcW w:w="1591"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RNF-07 Fiabilidad</w:t>
            </w:r>
            <w:r>
              <w:rPr>
                <w:color w:val="000000" w:themeColor="text1"/>
              </w:rPr>
            </w:r>
          </w:p>
        </w:tc>
        <w:tc>
          <w:tcPr>
            <w:shd w:val="clear" w:color="auto" w:fill="ffffff"/>
            <w:tcBorders/>
            <w:tcMar>
              <w:left w:w="90" w:type="dxa"/>
              <w:top w:w="60" w:type="dxa"/>
              <w:right w:w="90" w:type="dxa"/>
              <w:bottom w:w="60" w:type="dxa"/>
            </w:tcMar>
            <w:tcW w:w="1123"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P-06</w:t>
            </w:r>
            <w:r>
              <w:rPr>
                <w:color w:val="000000" w:themeColor="text1"/>
              </w:rPr>
            </w:r>
          </w:p>
        </w:tc>
        <w:tc>
          <w:tcPr>
            <w:shd w:val="clear" w:color="auto" w:fill="ffffff"/>
            <w:tcBorders/>
            <w:tcMar>
              <w:left w:w="90" w:type="dxa"/>
              <w:top w:w="60" w:type="dxa"/>
              <w:right w:w="90" w:type="dxa"/>
              <w:bottom w:w="60" w:type="dxa"/>
            </w:tcMar>
            <w:tcW w:w="4680"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Respaldos completos e incrementales programados en el trabajador; archivado automático de la auditoría; restauración de prueba periódica.</w:t>
            </w:r>
            <w:r>
              <w:rPr>
                <w:color w:val="000000" w:themeColor="text1"/>
              </w:rPr>
            </w:r>
          </w:p>
        </w:tc>
        <w:tc>
          <w:tcPr>
            <w:shd w:val="clear" w:color="auto" w:fill="ffffff"/>
            <w:tcBorders/>
            <w:tcMar>
              <w:left w:w="90" w:type="dxa"/>
              <w:top w:w="60" w:type="dxa"/>
              <w:right w:w="90" w:type="dxa"/>
              <w:bottom w:w="60" w:type="dxa"/>
            </w:tcMar>
            <w:tcW w:w="1966"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Sí</w:t>
            </w:r>
            <w:r>
              <w:rPr>
                <w:color w:val="000000" w:themeColor="text1"/>
              </w:rPr>
            </w:r>
          </w:p>
        </w:tc>
      </w:tr>
      <w:tr>
        <w:trPr>
          <w:cantSplit w:val="false"/>
        </w:trPr>
        <w:tc>
          <w:tcPr>
            <w:shd w:val="clear" w:color="auto" w:fill="f2f5fa"/>
            <w:tcBorders/>
            <w:tcMar>
              <w:left w:w="90" w:type="dxa"/>
              <w:top w:w="60" w:type="dxa"/>
              <w:right w:w="90" w:type="dxa"/>
              <w:bottom w:w="60" w:type="dxa"/>
            </w:tcMar>
            <w:tcW w:w="1591"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RNF-08 Costo</w:t>
            </w:r>
            <w:r>
              <w:rPr>
                <w:color w:val="000000" w:themeColor="text1"/>
              </w:rPr>
            </w:r>
          </w:p>
        </w:tc>
        <w:tc>
          <w:tcPr>
            <w:shd w:val="clear" w:color="auto" w:fill="f2f5fa"/>
            <w:tcBorders/>
            <w:tcMar>
              <w:left w:w="90" w:type="dxa"/>
              <w:top w:w="60" w:type="dxa"/>
              <w:right w:w="90" w:type="dxa"/>
              <w:bottom w:w="60" w:type="dxa"/>
            </w:tcMar>
            <w:tcW w:w="1123"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P-04, P-07</w:t>
            </w:r>
            <w:r>
              <w:rPr>
                <w:color w:val="000000" w:themeColor="text1"/>
              </w:rPr>
            </w:r>
          </w:p>
        </w:tc>
        <w:tc>
          <w:tcPr>
            <w:shd w:val="clear" w:color="auto" w:fill="f2f5fa"/>
            <w:tcBorders/>
            <w:tcMar>
              <w:left w:w="90" w:type="dxa"/>
              <w:top w:w="60" w:type="dxa"/>
              <w:right w:w="90" w:type="dxa"/>
              <w:bottom w:w="60" w:type="dxa"/>
            </w:tcMar>
            <w:tcW w:w="4680"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Un artefacto desplegable y un trabajador; ausencia de orquestador, malla de servicios y trazado distribuido; base de datos única gestionada; tecnologías sin costo de licencia.</w:t>
            </w:r>
            <w:r>
              <w:rPr>
                <w:color w:val="000000" w:themeColor="text1"/>
              </w:rPr>
            </w:r>
          </w:p>
        </w:tc>
        <w:tc>
          <w:tcPr>
            <w:shd w:val="clear" w:color="auto" w:fill="f2f5fa"/>
            <w:tcBorders/>
            <w:tcMar>
              <w:left w:w="90" w:type="dxa"/>
              <w:top w:w="60" w:type="dxa"/>
              <w:right w:w="90" w:type="dxa"/>
              <w:bottom w:w="60" w:type="dxa"/>
            </w:tcMar>
            <w:tcW w:w="1966"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Sí</w:t>
            </w:r>
            <w:r>
              <w:rPr>
                <w:color w:val="000000" w:themeColor="text1"/>
              </w:rPr>
            </w:r>
          </w:p>
        </w:tc>
      </w:tr>
      <w:tr>
        <w:trPr>
          <w:cantSplit w:val="false"/>
        </w:trPr>
        <w:tc>
          <w:tcPr>
            <w:shd w:val="clear" w:color="auto" w:fill="ffffff"/>
            <w:tcBorders/>
            <w:tcMar>
              <w:left w:w="90" w:type="dxa"/>
              <w:top w:w="60" w:type="dxa"/>
              <w:right w:w="90" w:type="dxa"/>
              <w:bottom w:w="60" w:type="dxa"/>
            </w:tcMar>
            <w:tcW w:w="1591"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RNF-09 Usabilidad</w:t>
            </w:r>
            <w:r>
              <w:rPr>
                <w:color w:val="000000" w:themeColor="text1"/>
              </w:rPr>
            </w:r>
          </w:p>
        </w:tc>
        <w:tc>
          <w:tcPr>
            <w:shd w:val="clear" w:color="auto" w:fill="ffffff"/>
            <w:tcBorders/>
            <w:tcMar>
              <w:left w:w="90" w:type="dxa"/>
              <w:top w:w="60" w:type="dxa"/>
              <w:right w:w="90" w:type="dxa"/>
              <w:bottom w:w="60" w:type="dxa"/>
            </w:tcMar>
            <w:tcW w:w="1123"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P-08</w:t>
            </w:r>
            <w:r>
              <w:rPr>
                <w:color w:val="000000" w:themeColor="text1"/>
              </w:rPr>
            </w:r>
          </w:p>
        </w:tc>
        <w:tc>
          <w:tcPr>
            <w:shd w:val="clear" w:color="auto" w:fill="ffffff"/>
            <w:tcBorders/>
            <w:tcMar>
              <w:left w:w="90" w:type="dxa"/>
              <w:top w:w="60" w:type="dxa"/>
              <w:right w:w="90" w:type="dxa"/>
              <w:bottom w:w="60" w:type="dxa"/>
            </w:tcMar>
            <w:tcW w:w="4680"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La interfaz desacoplada permite controlar con precisión el peso entregado y la adaptación desde 320 px; el presupuesto de 2,5 MB se verifica en la integración continua.</w:t>
            </w:r>
            <w:r>
              <w:rPr>
                <w:color w:val="000000" w:themeColor="text1"/>
              </w:rPr>
            </w:r>
          </w:p>
        </w:tc>
        <w:tc>
          <w:tcPr>
            <w:shd w:val="clear" w:color="auto" w:fill="ffffff"/>
            <w:tcBorders/>
            <w:tcMar>
              <w:left w:w="90" w:type="dxa"/>
              <w:top w:w="60" w:type="dxa"/>
              <w:right w:w="90" w:type="dxa"/>
              <w:bottom w:w="60" w:type="dxa"/>
            </w:tcMar>
            <w:tcW w:w="1966"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Parcial — la accesibilidad WCAG es de prioridad Podría</w:t>
            </w:r>
            <w:r>
              <w:rPr>
                <w:color w:val="000000" w:themeColor="text1"/>
              </w:rPr>
            </w:r>
          </w:p>
        </w:tc>
      </w:tr>
    </w:tbl>
    <w:p>
      <w:pPr>
        <w:pBdr/>
        <w:spacing w:after="160"/>
        <w:ind/>
        <w:rPr>
          <w:color w:val="000000" w:themeColor="text1"/>
        </w:rPr>
      </w:pPr>
      <w:r>
        <w:rPr>
          <w:color w:val="000000" w:themeColor="text1"/>
          <w:lang w:val="es-ES" w:bidi="es-ES"/>
        </w:rPr>
      </w:r>
      <w:r>
        <w:rPr>
          <w:color w:val="000000" w:themeColor="text1"/>
        </w:rPr>
      </w:r>
    </w:p>
    <w:p>
      <w:pPr>
        <w:pBdr/>
        <w:spacing w:after="140" w:line="276" w:lineRule="auto"/>
        <w:ind/>
        <w:jc w:val="both"/>
        <w:rPr>
          <w:color w:val="000000" w:themeColor="text1"/>
        </w:rPr>
      </w:pPr>
      <w:r>
        <w:rPr>
          <w:rFonts w:ascii="Calibri" w:hAnsi="Calibri" w:eastAsia="Calibri" w:cs="Calibri"/>
          <w:color w:val="000000" w:themeColor="text1"/>
          <w:sz w:val="21"/>
          <w:szCs w:val="21"/>
          <w:lang w:val="es-ES"/>
        </w:rPr>
        <w:t xml:space="preserve">Dos casillas merecen comentario. RNF-01 se declara satisfecho por diseño pero pendiente de verificación empírica: la arquitectura contiene las estrategias necesarias, aunque el cumplimiento de los umbrales solo podrá afirmarse tras ejecutar las pruebas previstas en los criterios de aceptación de SYS-NFN-05 y SYS-NFN-08. RNF-09 se declara parcial porque la operabilidad completa por teclado de SYS-NFN-12 tiene prioridad «Podría» en el catálogo y no forma parte del compromiso del MVP; se registra como deuda consciente y no como omisión.</w:t>
      </w:r>
      <w:r>
        <w:rPr>
          <w:color w:val="000000" w:themeColor="text1"/>
        </w:rPr>
      </w:r>
    </w:p>
    <w:p>
      <w:pPr>
        <w:pStyle w:val="904"/>
        <w:keepNext w:val="true"/>
        <w:pBdr/>
        <w:spacing w:after="140" w:before="280"/>
        <w:ind/>
        <w:rPr>
          <w:color w:val="000000" w:themeColor="text1"/>
        </w:rPr>
      </w:pPr>
      <w:r/>
      <w:bookmarkStart w:id="42" w:name="_Toc42"/>
      <w:r>
        <w:rPr>
          <w:rFonts w:ascii="Calibri" w:hAnsi="Calibri" w:eastAsia="Calibri" w:cs="Calibri"/>
          <w:b/>
          <w:bCs/>
          <w:color w:val="000000" w:themeColor="text1"/>
          <w:sz w:val="25"/>
          <w:szCs w:val="25"/>
          <w:lang w:val="es-ES"/>
        </w:rPr>
        <w:t xml:space="preserve">2.12 Verificación de cubrimiento</w:t>
      </w:r>
      <w:r/>
      <w:bookmarkEnd w:id="42"/>
      <w:r/>
      <w:r>
        <w:rPr>
          <w:color w:val="000000" w:themeColor="text1"/>
        </w:rPr>
      </w:r>
    </w:p>
    <w:p>
      <w:pPr>
        <w:pBdr/>
        <w:spacing w:after="140" w:line="276" w:lineRule="auto"/>
        <w:ind/>
        <w:jc w:val="both"/>
        <w:rPr>
          <w:color w:val="000000" w:themeColor="text1"/>
        </w:rPr>
      </w:pPr>
      <w:r>
        <w:rPr>
          <w:rFonts w:ascii="Calibri" w:hAnsi="Calibri" w:eastAsia="Calibri" w:cs="Calibri"/>
          <w:color w:val="000000" w:themeColor="text1"/>
          <w:sz w:val="21"/>
          <w:szCs w:val="21"/>
          <w:lang w:val="es-ES"/>
        </w:rPr>
        <w:t xml:space="preserve">La última sección de la plantilla verifica el cumplimiento de los requisitos que la Cláusula 6 de la norma impone a toda Descripción de Arquitectura, con la instrucción de completar o documentar el riesgo allí donde la verificación no sea plena.</w:t>
      </w:r>
      <w:r>
        <w:rPr>
          <w:color w:val="000000" w:themeColor="text1"/>
        </w:rPr>
      </w:r>
    </w:p>
    <w:tbl>
      <w:tblPr>
        <w:tblW w:w="9360" w:type="dxa"/>
        <w:tblBorders>
          <w:top w:val="single" w:color="8ea9db" w:sz="4" w:space="0"/>
          <w:left w:val="single" w:color="8ea9db" w:sz="4" w:space="0"/>
          <w:bottom w:val="single" w:color="8ea9db" w:sz="4" w:space="0"/>
          <w:right w:val="single" w:color="8ea9db" w:sz="4" w:space="0"/>
          <w:insideH w:val="single" w:color="b4c6e7" w:sz="2" w:space="0"/>
          <w:insideV w:val="single" w:color="b4c6e7" w:sz="2" w:space="0"/>
        </w:tblBorders>
        <w:tblLook w:val="04A0" w:firstRow="1" w:lastRow="0" w:firstColumn="1" w:lastColumn="0" w:noHBand="0" w:noVBand="1"/>
      </w:tblPr>
      <w:tblGrid>
        <w:gridCol w:w="3557"/>
        <w:gridCol w:w="1123"/>
        <w:gridCol w:w="4680"/>
      </w:tblGrid>
      <w:tr>
        <w:trPr>
          <w:cantSplit w:val="false"/>
          <w:tblHeader/>
        </w:trPr>
        <w:tc>
          <w:tcPr>
            <w:shd w:val="clear" w:color="auto" w:fill="d9e2f3"/>
            <w:tcBorders/>
            <w:tcMar>
              <w:left w:w="90" w:type="dxa"/>
              <w:top w:w="60" w:type="dxa"/>
              <w:right w:w="90" w:type="dxa"/>
              <w:bottom w:w="60" w:type="dxa"/>
            </w:tcMar>
            <w:tcW w:w="3557"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Requisito de la norma ISO/IEC/IEEE 42010:2022</w:t>
            </w:r>
            <w:r>
              <w:rPr>
                <w:color w:val="000000" w:themeColor="text1"/>
              </w:rPr>
            </w:r>
          </w:p>
        </w:tc>
        <w:tc>
          <w:tcPr>
            <w:shd w:val="clear" w:color="auto" w:fill="d9e2f3"/>
            <w:tcBorders/>
            <w:tcMar>
              <w:left w:w="90" w:type="dxa"/>
              <w:top w:w="60" w:type="dxa"/>
              <w:right w:w="90" w:type="dxa"/>
              <w:bottom w:w="60" w:type="dxa"/>
            </w:tcMar>
            <w:tcW w:w="1123"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¿Verificado?</w:t>
            </w:r>
            <w:r>
              <w:rPr>
                <w:color w:val="000000" w:themeColor="text1"/>
              </w:rPr>
            </w:r>
          </w:p>
        </w:tc>
        <w:tc>
          <w:tcPr>
            <w:shd w:val="clear" w:color="auto" w:fill="d9e2f3"/>
            <w:tcBorders/>
            <w:tcMar>
              <w:left w:w="90" w:type="dxa"/>
              <w:top w:w="60" w:type="dxa"/>
              <w:right w:w="90" w:type="dxa"/>
              <w:bottom w:w="60" w:type="dxa"/>
            </w:tcMar>
            <w:tcW w:w="4680"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Observaciones</w:t>
            </w:r>
            <w:r>
              <w:rPr>
                <w:color w:val="000000" w:themeColor="text1"/>
              </w:rPr>
            </w:r>
          </w:p>
        </w:tc>
      </w:tr>
      <w:tr>
        <w:trPr>
          <w:cantSplit w:val="false"/>
        </w:trPr>
        <w:tc>
          <w:tcPr>
            <w:shd w:val="clear" w:color="auto" w:fill="ffffff"/>
            <w:tcBorders/>
            <w:tcMar>
              <w:left w:w="90" w:type="dxa"/>
              <w:top w:w="60" w:type="dxa"/>
              <w:right w:w="90" w:type="dxa"/>
              <w:bottom w:w="60" w:type="dxa"/>
            </w:tcMar>
            <w:tcW w:w="3557" w:type="dxa"/>
            <w:vAlign w:val="center"/>
          </w:tcPr>
          <w:p>
            <w:pPr>
              <w:pBdr/>
              <w:spacing w:after="40" w:before="40" w:line="240" w:lineRule="auto"/>
              <w:ind/>
              <w:jc w:val="left"/>
              <w:rPr>
                <w:color w:val="000000" w:themeColor="text1"/>
              </w:rPr>
            </w:pPr>
            <w:r>
              <w:rPr>
                <w:rFonts w:ascii="Calibri" w:hAnsi="Calibri" w:eastAsia="Calibri" w:cs="Calibri"/>
                <w:color w:val="000000" w:themeColor="text1"/>
                <w:sz w:val="16"/>
                <w:szCs w:val="16"/>
                <w:lang w:val="es-ES"/>
              </w:rPr>
              <w:t xml:space="preserve">Se identificaron los interesados y sus preocupaciones.</w:t>
            </w:r>
            <w:r>
              <w:rPr>
                <w:color w:val="000000" w:themeColor="text1"/>
              </w:rPr>
            </w:r>
          </w:p>
        </w:tc>
        <w:tc>
          <w:tcPr>
            <w:shd w:val="clear" w:color="auto" w:fill="ffffff"/>
            <w:tcBorders/>
            <w:tcMar>
              <w:left w:w="90" w:type="dxa"/>
              <w:top w:w="60" w:type="dxa"/>
              <w:right w:w="90" w:type="dxa"/>
              <w:bottom w:w="60" w:type="dxa"/>
            </w:tcMar>
            <w:tcW w:w="1123" w:type="dxa"/>
            <w:vAlign w:val="center"/>
          </w:tcPr>
          <w:p>
            <w:pPr>
              <w:pBdr/>
              <w:spacing w:after="40" w:before="40" w:line="240" w:lineRule="auto"/>
              <w:ind/>
              <w:jc w:val="left"/>
              <w:rPr>
                <w:color w:val="000000" w:themeColor="text1"/>
              </w:rPr>
            </w:pPr>
            <w:r>
              <w:rPr>
                <w:rFonts w:ascii="Calibri" w:hAnsi="Calibri" w:eastAsia="Calibri" w:cs="Calibri"/>
                <w:color w:val="000000" w:themeColor="text1"/>
                <w:sz w:val="16"/>
                <w:szCs w:val="16"/>
                <w:lang w:val="es-ES"/>
              </w:rPr>
              <w:t xml:space="preserve">Sí</w:t>
            </w:r>
            <w:r>
              <w:rPr>
                <w:color w:val="000000" w:themeColor="text1"/>
              </w:rPr>
            </w:r>
          </w:p>
        </w:tc>
        <w:tc>
          <w:tcPr>
            <w:shd w:val="clear" w:color="auto" w:fill="ffffff"/>
            <w:tcBorders/>
            <w:tcMar>
              <w:left w:w="90" w:type="dxa"/>
              <w:top w:w="60" w:type="dxa"/>
              <w:right w:w="90" w:type="dxa"/>
              <w:bottom w:w="60" w:type="dxa"/>
            </w:tcMar>
            <w:tcW w:w="4680" w:type="dxa"/>
            <w:vAlign w:val="center"/>
          </w:tcPr>
          <w:p>
            <w:pPr>
              <w:pBdr/>
              <w:spacing w:after="40" w:before="40" w:line="240" w:lineRule="auto"/>
              <w:ind/>
              <w:jc w:val="left"/>
              <w:rPr>
                <w:color w:val="000000" w:themeColor="text1"/>
              </w:rPr>
            </w:pPr>
            <w:r>
              <w:rPr>
                <w:rFonts w:ascii="Calibri" w:hAnsi="Calibri" w:eastAsia="Calibri" w:cs="Calibri"/>
                <w:color w:val="000000" w:themeColor="text1"/>
                <w:sz w:val="16"/>
                <w:szCs w:val="16"/>
                <w:lang w:val="es-ES"/>
              </w:rPr>
              <w:t xml:space="preserve">Seis interesados (I-01 a I-06) y ocho preocupaciones (P-01 a P-08) en la sección 2.3. Se documenta la exclusión razonada de los afectados negativamente.</w:t>
            </w:r>
            <w:r>
              <w:rPr>
                <w:color w:val="000000" w:themeColor="text1"/>
              </w:rPr>
            </w:r>
          </w:p>
        </w:tc>
      </w:tr>
      <w:tr>
        <w:trPr>
          <w:cantSplit w:val="false"/>
        </w:trPr>
        <w:tc>
          <w:tcPr>
            <w:shd w:val="clear" w:color="auto" w:fill="f2f5fa"/>
            <w:tcBorders/>
            <w:tcMar>
              <w:left w:w="90" w:type="dxa"/>
              <w:top w:w="60" w:type="dxa"/>
              <w:right w:w="90" w:type="dxa"/>
              <w:bottom w:w="60" w:type="dxa"/>
            </w:tcMar>
            <w:tcW w:w="3557" w:type="dxa"/>
            <w:vAlign w:val="center"/>
          </w:tcPr>
          <w:p>
            <w:pPr>
              <w:pBdr/>
              <w:spacing w:after="40" w:before="40" w:line="240" w:lineRule="auto"/>
              <w:ind/>
              <w:jc w:val="left"/>
              <w:rPr>
                <w:color w:val="000000" w:themeColor="text1"/>
              </w:rPr>
            </w:pPr>
            <w:r>
              <w:rPr>
                <w:rFonts w:ascii="Calibri" w:hAnsi="Calibri" w:eastAsia="Calibri" w:cs="Calibri"/>
                <w:color w:val="000000" w:themeColor="text1"/>
                <w:sz w:val="16"/>
                <w:szCs w:val="16"/>
                <w:lang w:val="es-ES"/>
              </w:rPr>
              <w:t xml:space="preserve">Se definieron las perspectivas de los interesados.</w:t>
            </w:r>
            <w:r>
              <w:rPr>
                <w:color w:val="000000" w:themeColor="text1"/>
              </w:rPr>
            </w:r>
          </w:p>
        </w:tc>
        <w:tc>
          <w:tcPr>
            <w:shd w:val="clear" w:color="auto" w:fill="f2f5fa"/>
            <w:tcBorders/>
            <w:tcMar>
              <w:left w:w="90" w:type="dxa"/>
              <w:top w:w="60" w:type="dxa"/>
              <w:right w:w="90" w:type="dxa"/>
              <w:bottom w:w="60" w:type="dxa"/>
            </w:tcMar>
            <w:tcW w:w="1123" w:type="dxa"/>
            <w:vAlign w:val="center"/>
          </w:tcPr>
          <w:p>
            <w:pPr>
              <w:pBdr/>
              <w:spacing w:after="40" w:before="40" w:line="240" w:lineRule="auto"/>
              <w:ind/>
              <w:jc w:val="left"/>
              <w:rPr>
                <w:color w:val="000000" w:themeColor="text1"/>
              </w:rPr>
            </w:pPr>
            <w:r>
              <w:rPr>
                <w:rFonts w:ascii="Calibri" w:hAnsi="Calibri" w:eastAsia="Calibri" w:cs="Calibri"/>
                <w:color w:val="000000" w:themeColor="text1"/>
                <w:sz w:val="16"/>
                <w:szCs w:val="16"/>
                <w:lang w:val="es-ES"/>
              </w:rPr>
              <w:t xml:space="preserve">Sí</w:t>
            </w:r>
            <w:r>
              <w:rPr>
                <w:color w:val="000000" w:themeColor="text1"/>
              </w:rPr>
            </w:r>
          </w:p>
        </w:tc>
        <w:tc>
          <w:tcPr>
            <w:shd w:val="clear" w:color="auto" w:fill="f2f5fa"/>
            <w:tcBorders/>
            <w:tcMar>
              <w:left w:w="90" w:type="dxa"/>
              <w:top w:w="60" w:type="dxa"/>
              <w:right w:w="90" w:type="dxa"/>
              <w:bottom w:w="60" w:type="dxa"/>
            </w:tcMar>
            <w:tcW w:w="4680" w:type="dxa"/>
            <w:vAlign w:val="center"/>
          </w:tcPr>
          <w:p>
            <w:pPr>
              <w:pBdr/>
              <w:spacing w:after="40" w:before="40" w:line="240" w:lineRule="auto"/>
              <w:ind/>
              <w:jc w:val="left"/>
              <w:rPr>
                <w:color w:val="000000" w:themeColor="text1"/>
              </w:rPr>
            </w:pPr>
            <w:r>
              <w:rPr>
                <w:rFonts w:ascii="Calibri" w:hAnsi="Calibri" w:eastAsia="Calibri" w:cs="Calibri"/>
                <w:color w:val="000000" w:themeColor="text1"/>
                <w:sz w:val="16"/>
                <w:szCs w:val="16"/>
                <w:lang w:val="es-ES"/>
              </w:rPr>
              <w:t xml:space="preserve">Cuatro perspectivas (S-01 a S-04) con sus sostenedores y las preocupaciones que generan.</w:t>
            </w:r>
            <w:r>
              <w:rPr>
                <w:color w:val="000000" w:themeColor="text1"/>
              </w:rPr>
            </w:r>
          </w:p>
        </w:tc>
      </w:tr>
      <w:tr>
        <w:trPr>
          <w:cantSplit w:val="false"/>
        </w:trPr>
        <w:tc>
          <w:tcPr>
            <w:shd w:val="clear" w:color="auto" w:fill="ffffff"/>
            <w:tcBorders/>
            <w:tcMar>
              <w:left w:w="90" w:type="dxa"/>
              <w:top w:w="60" w:type="dxa"/>
              <w:right w:w="90" w:type="dxa"/>
              <w:bottom w:w="60" w:type="dxa"/>
            </w:tcMar>
            <w:tcW w:w="3557" w:type="dxa"/>
            <w:vAlign w:val="center"/>
          </w:tcPr>
          <w:p>
            <w:pPr>
              <w:pBdr/>
              <w:spacing w:after="40" w:before="40" w:line="240" w:lineRule="auto"/>
              <w:ind/>
              <w:jc w:val="left"/>
              <w:rPr>
                <w:color w:val="000000" w:themeColor="text1"/>
              </w:rPr>
            </w:pPr>
            <w:r>
              <w:rPr>
                <w:rFonts w:ascii="Calibri" w:hAnsi="Calibri" w:eastAsia="Calibri" w:cs="Calibri"/>
                <w:color w:val="000000" w:themeColor="text1"/>
                <w:sz w:val="16"/>
                <w:szCs w:val="16"/>
                <w:lang w:val="es-ES"/>
              </w:rPr>
              <w:t xml:space="preserve">Se identificaron los aspectos relevantes de la EdI.</w:t>
            </w:r>
            <w:r>
              <w:rPr>
                <w:color w:val="000000" w:themeColor="text1"/>
              </w:rPr>
            </w:r>
          </w:p>
        </w:tc>
        <w:tc>
          <w:tcPr>
            <w:shd w:val="clear" w:color="auto" w:fill="ffffff"/>
            <w:tcBorders/>
            <w:tcMar>
              <w:left w:w="90" w:type="dxa"/>
              <w:top w:w="60" w:type="dxa"/>
              <w:right w:w="90" w:type="dxa"/>
              <w:bottom w:w="60" w:type="dxa"/>
            </w:tcMar>
            <w:tcW w:w="1123" w:type="dxa"/>
            <w:vAlign w:val="center"/>
          </w:tcPr>
          <w:p>
            <w:pPr>
              <w:pBdr/>
              <w:spacing w:after="40" w:before="40" w:line="240" w:lineRule="auto"/>
              <w:ind/>
              <w:jc w:val="left"/>
              <w:rPr>
                <w:color w:val="000000" w:themeColor="text1"/>
              </w:rPr>
            </w:pPr>
            <w:r>
              <w:rPr>
                <w:rFonts w:ascii="Calibri" w:hAnsi="Calibri" w:eastAsia="Calibri" w:cs="Calibri"/>
                <w:color w:val="000000" w:themeColor="text1"/>
                <w:sz w:val="16"/>
                <w:szCs w:val="16"/>
                <w:lang w:val="es-ES"/>
              </w:rPr>
              <w:t xml:space="preserve">Sí</w:t>
            </w:r>
            <w:r>
              <w:rPr>
                <w:color w:val="000000" w:themeColor="text1"/>
              </w:rPr>
            </w:r>
          </w:p>
        </w:tc>
        <w:tc>
          <w:tcPr>
            <w:shd w:val="clear" w:color="auto" w:fill="ffffff"/>
            <w:tcBorders/>
            <w:tcMar>
              <w:left w:w="90" w:type="dxa"/>
              <w:top w:w="60" w:type="dxa"/>
              <w:right w:w="90" w:type="dxa"/>
              <w:bottom w:w="60" w:type="dxa"/>
            </w:tcMar>
            <w:tcW w:w="4680" w:type="dxa"/>
            <w:vAlign w:val="center"/>
          </w:tcPr>
          <w:p>
            <w:pPr>
              <w:pBdr/>
              <w:spacing w:after="40" w:before="40" w:line="240" w:lineRule="auto"/>
              <w:ind/>
              <w:jc w:val="left"/>
              <w:rPr>
                <w:color w:val="000000" w:themeColor="text1"/>
              </w:rPr>
            </w:pPr>
            <w:r>
              <w:rPr>
                <w:rFonts w:ascii="Calibri" w:hAnsi="Calibri" w:eastAsia="Calibri" w:cs="Calibri"/>
                <w:color w:val="000000" w:themeColor="text1"/>
                <w:sz w:val="16"/>
                <w:szCs w:val="16"/>
                <w:lang w:val="es-ES"/>
              </w:rPr>
              <w:t xml:space="preserve">Cuatro aspectos (A-01 a A-04) en la sección 2.4, cada uno vinculado a las preocupaciones que ayuda a abordar.</w:t>
            </w:r>
            <w:r>
              <w:rPr>
                <w:color w:val="000000" w:themeColor="text1"/>
              </w:rPr>
            </w:r>
          </w:p>
        </w:tc>
      </w:tr>
      <w:tr>
        <w:trPr>
          <w:cantSplit w:val="false"/>
        </w:trPr>
        <w:tc>
          <w:tcPr>
            <w:shd w:val="clear" w:color="auto" w:fill="f2f5fa"/>
            <w:tcBorders/>
            <w:tcMar>
              <w:left w:w="90" w:type="dxa"/>
              <w:top w:w="60" w:type="dxa"/>
              <w:right w:w="90" w:type="dxa"/>
              <w:bottom w:w="60" w:type="dxa"/>
            </w:tcMar>
            <w:tcW w:w="3557" w:type="dxa"/>
            <w:vAlign w:val="center"/>
          </w:tcPr>
          <w:p>
            <w:pPr>
              <w:pBdr/>
              <w:spacing w:after="40" w:before="40" w:line="240" w:lineRule="auto"/>
              <w:ind/>
              <w:jc w:val="left"/>
              <w:rPr>
                <w:color w:val="000000" w:themeColor="text1"/>
              </w:rPr>
            </w:pPr>
            <w:r>
              <w:rPr>
                <w:rFonts w:ascii="Calibri" w:hAnsi="Calibri" w:eastAsia="Calibri" w:cs="Calibri"/>
                <w:color w:val="000000" w:themeColor="text1"/>
                <w:sz w:val="16"/>
                <w:szCs w:val="16"/>
                <w:lang w:val="es-ES"/>
              </w:rPr>
              <w:t xml:space="preserve">Cada preocupación está cubierta por al menos un punto de vista.</w:t>
            </w:r>
            <w:r>
              <w:rPr>
                <w:color w:val="000000" w:themeColor="text1"/>
              </w:rPr>
            </w:r>
          </w:p>
        </w:tc>
        <w:tc>
          <w:tcPr>
            <w:shd w:val="clear" w:color="auto" w:fill="f2f5fa"/>
            <w:tcBorders/>
            <w:tcMar>
              <w:left w:w="90" w:type="dxa"/>
              <w:top w:w="60" w:type="dxa"/>
              <w:right w:w="90" w:type="dxa"/>
              <w:bottom w:w="60" w:type="dxa"/>
            </w:tcMar>
            <w:tcW w:w="1123" w:type="dxa"/>
            <w:vAlign w:val="center"/>
          </w:tcPr>
          <w:p>
            <w:pPr>
              <w:pBdr/>
              <w:spacing w:after="40" w:before="40" w:line="240" w:lineRule="auto"/>
              <w:ind/>
              <w:jc w:val="left"/>
              <w:rPr>
                <w:color w:val="000000" w:themeColor="text1"/>
              </w:rPr>
            </w:pPr>
            <w:r>
              <w:rPr>
                <w:rFonts w:ascii="Calibri" w:hAnsi="Calibri" w:eastAsia="Calibri" w:cs="Calibri"/>
                <w:color w:val="000000" w:themeColor="text1"/>
                <w:sz w:val="16"/>
                <w:szCs w:val="16"/>
                <w:lang w:val="es-ES"/>
              </w:rPr>
              <w:t xml:space="preserve">Sí</w:t>
            </w:r>
            <w:r>
              <w:rPr>
                <w:color w:val="000000" w:themeColor="text1"/>
              </w:rPr>
            </w:r>
          </w:p>
        </w:tc>
        <w:tc>
          <w:tcPr>
            <w:shd w:val="clear" w:color="auto" w:fill="f2f5fa"/>
            <w:tcBorders/>
            <w:tcMar>
              <w:left w:w="90" w:type="dxa"/>
              <w:top w:w="60" w:type="dxa"/>
              <w:right w:w="90" w:type="dxa"/>
              <w:bottom w:w="60" w:type="dxa"/>
            </w:tcMar>
            <w:tcW w:w="4680" w:type="dxa"/>
            <w:vAlign w:val="center"/>
          </w:tcPr>
          <w:p>
            <w:pPr>
              <w:pBdr/>
              <w:spacing w:after="40" w:before="40" w:line="240" w:lineRule="auto"/>
              <w:ind/>
              <w:jc w:val="left"/>
              <w:rPr>
                <w:color w:val="000000" w:themeColor="text1"/>
              </w:rPr>
            </w:pPr>
            <w:r>
              <w:rPr>
                <w:rFonts w:ascii="Calibri" w:hAnsi="Calibri" w:eastAsia="Calibri" w:cs="Calibri"/>
                <w:color w:val="000000" w:themeColor="text1"/>
                <w:sz w:val="16"/>
                <w:szCs w:val="16"/>
                <w:lang w:val="es-ES"/>
              </w:rPr>
              <w:t xml:space="preserve">Verificado en la tabla de cierre de la sección 2.8; las ocho preocupaciones tienen asignación explícita.</w:t>
            </w:r>
            <w:r>
              <w:rPr>
                <w:color w:val="000000" w:themeColor="text1"/>
              </w:rPr>
            </w:r>
          </w:p>
        </w:tc>
      </w:tr>
      <w:tr>
        <w:trPr>
          <w:cantSplit w:val="false"/>
        </w:trPr>
        <w:tc>
          <w:tcPr>
            <w:shd w:val="clear" w:color="auto" w:fill="ffffff"/>
            <w:tcBorders/>
            <w:tcMar>
              <w:left w:w="90" w:type="dxa"/>
              <w:top w:w="60" w:type="dxa"/>
              <w:right w:w="90" w:type="dxa"/>
              <w:bottom w:w="60" w:type="dxa"/>
            </w:tcMar>
            <w:tcW w:w="3557" w:type="dxa"/>
            <w:vAlign w:val="center"/>
          </w:tcPr>
          <w:p>
            <w:pPr>
              <w:pBdr/>
              <w:spacing w:after="40" w:before="40" w:line="240" w:lineRule="auto"/>
              <w:ind/>
              <w:jc w:val="left"/>
              <w:rPr>
                <w:color w:val="000000" w:themeColor="text1"/>
              </w:rPr>
            </w:pPr>
            <w:r>
              <w:rPr>
                <w:rFonts w:ascii="Calibri" w:hAnsi="Calibri" w:eastAsia="Calibri" w:cs="Calibri"/>
                <w:color w:val="000000" w:themeColor="text1"/>
                <w:sz w:val="16"/>
                <w:szCs w:val="16"/>
                <w:lang w:val="es-ES"/>
              </w:rPr>
              <w:t xml:space="preserve">Cada perspectiva está representada por al menos una vista.</w:t>
            </w:r>
            <w:r>
              <w:rPr>
                <w:color w:val="000000" w:themeColor="text1"/>
              </w:rPr>
            </w:r>
          </w:p>
        </w:tc>
        <w:tc>
          <w:tcPr>
            <w:shd w:val="clear" w:color="auto" w:fill="ffffff"/>
            <w:tcBorders/>
            <w:tcMar>
              <w:left w:w="90" w:type="dxa"/>
              <w:top w:w="60" w:type="dxa"/>
              <w:right w:w="90" w:type="dxa"/>
              <w:bottom w:w="60" w:type="dxa"/>
            </w:tcMar>
            <w:tcW w:w="1123" w:type="dxa"/>
            <w:vAlign w:val="center"/>
          </w:tcPr>
          <w:p>
            <w:pPr>
              <w:pBdr/>
              <w:spacing w:after="40" w:before="40" w:line="240" w:lineRule="auto"/>
              <w:ind/>
              <w:jc w:val="left"/>
              <w:rPr>
                <w:color w:val="000000" w:themeColor="text1"/>
              </w:rPr>
            </w:pPr>
            <w:r>
              <w:rPr>
                <w:rFonts w:ascii="Calibri" w:hAnsi="Calibri" w:eastAsia="Calibri" w:cs="Calibri"/>
                <w:color w:val="000000" w:themeColor="text1"/>
                <w:sz w:val="16"/>
                <w:szCs w:val="16"/>
                <w:lang w:val="es-ES"/>
              </w:rPr>
              <w:t xml:space="preserve">Sí</w:t>
            </w:r>
            <w:r>
              <w:rPr>
                <w:color w:val="000000" w:themeColor="text1"/>
              </w:rPr>
            </w:r>
          </w:p>
        </w:tc>
        <w:tc>
          <w:tcPr>
            <w:shd w:val="clear" w:color="auto" w:fill="ffffff"/>
            <w:tcBorders/>
            <w:tcMar>
              <w:left w:w="90" w:type="dxa"/>
              <w:top w:w="60" w:type="dxa"/>
              <w:right w:w="90" w:type="dxa"/>
              <w:bottom w:w="60" w:type="dxa"/>
            </w:tcMar>
            <w:tcW w:w="4680" w:type="dxa"/>
            <w:vAlign w:val="center"/>
          </w:tcPr>
          <w:p>
            <w:pPr>
              <w:pBdr/>
              <w:spacing w:after="40" w:before="40" w:line="240" w:lineRule="auto"/>
              <w:ind/>
              <w:jc w:val="left"/>
              <w:rPr>
                <w:color w:val="000000" w:themeColor="text1"/>
              </w:rPr>
            </w:pPr>
            <w:r>
              <w:rPr>
                <w:rFonts w:ascii="Calibri" w:hAnsi="Calibri" w:eastAsia="Calibri" w:cs="Calibri"/>
                <w:color w:val="000000" w:themeColor="text1"/>
                <w:sz w:val="16"/>
                <w:szCs w:val="16"/>
                <w:lang w:val="es-ES"/>
              </w:rPr>
              <w:t xml:space="preserve">S-01 en V-04; S-02 en V-02, V-04 y V-05; S-03 en V-01, V-02, V-03 y V-05; S-04 en V-03.</w:t>
            </w:r>
            <w:r>
              <w:rPr>
                <w:color w:val="000000" w:themeColor="text1"/>
              </w:rPr>
            </w:r>
          </w:p>
        </w:tc>
      </w:tr>
      <w:tr>
        <w:trPr>
          <w:cantSplit w:val="false"/>
        </w:trPr>
        <w:tc>
          <w:tcPr>
            <w:shd w:val="clear" w:color="auto" w:fill="f2f5fa"/>
            <w:tcBorders/>
            <w:tcMar>
              <w:left w:w="90" w:type="dxa"/>
              <w:top w:w="60" w:type="dxa"/>
              <w:right w:w="90" w:type="dxa"/>
              <w:bottom w:w="60" w:type="dxa"/>
            </w:tcMar>
            <w:tcW w:w="3557" w:type="dxa"/>
            <w:vAlign w:val="center"/>
          </w:tcPr>
          <w:p>
            <w:pPr>
              <w:pBdr/>
              <w:spacing w:after="40" w:before="40" w:line="240" w:lineRule="auto"/>
              <w:ind/>
              <w:jc w:val="left"/>
              <w:rPr>
                <w:color w:val="000000" w:themeColor="text1"/>
              </w:rPr>
            </w:pPr>
            <w:r>
              <w:rPr>
                <w:rFonts w:ascii="Calibri" w:hAnsi="Calibri" w:eastAsia="Calibri" w:cs="Calibri"/>
                <w:color w:val="000000" w:themeColor="text1"/>
                <w:sz w:val="16"/>
                <w:szCs w:val="16"/>
                <w:lang w:val="es-ES"/>
              </w:rPr>
              <w:t xml:space="preserve">Se documentó decisión, alternativas y justificación.</w:t>
            </w:r>
            <w:r>
              <w:rPr>
                <w:color w:val="000000" w:themeColor="text1"/>
              </w:rPr>
            </w:r>
          </w:p>
        </w:tc>
        <w:tc>
          <w:tcPr>
            <w:shd w:val="clear" w:color="auto" w:fill="f2f5fa"/>
            <w:tcBorders/>
            <w:tcMar>
              <w:left w:w="90" w:type="dxa"/>
              <w:top w:w="60" w:type="dxa"/>
              <w:right w:w="90" w:type="dxa"/>
              <w:bottom w:w="60" w:type="dxa"/>
            </w:tcMar>
            <w:tcW w:w="1123" w:type="dxa"/>
            <w:vAlign w:val="center"/>
          </w:tcPr>
          <w:p>
            <w:pPr>
              <w:pBdr/>
              <w:spacing w:after="40" w:before="40" w:line="240" w:lineRule="auto"/>
              <w:ind/>
              <w:jc w:val="left"/>
              <w:rPr>
                <w:color w:val="000000" w:themeColor="text1"/>
              </w:rPr>
            </w:pPr>
            <w:r>
              <w:rPr>
                <w:rFonts w:ascii="Calibri" w:hAnsi="Calibri" w:eastAsia="Calibri" w:cs="Calibri"/>
                <w:color w:val="000000" w:themeColor="text1"/>
                <w:sz w:val="16"/>
                <w:szCs w:val="16"/>
                <w:lang w:val="es-ES"/>
              </w:rPr>
              <w:t xml:space="preserve">Sí</w:t>
            </w:r>
            <w:r>
              <w:rPr>
                <w:color w:val="000000" w:themeColor="text1"/>
              </w:rPr>
            </w:r>
          </w:p>
        </w:tc>
        <w:tc>
          <w:tcPr>
            <w:shd w:val="clear" w:color="auto" w:fill="f2f5fa"/>
            <w:tcBorders/>
            <w:tcMar>
              <w:left w:w="90" w:type="dxa"/>
              <w:top w:w="60" w:type="dxa"/>
              <w:right w:w="90" w:type="dxa"/>
              <w:bottom w:w="60" w:type="dxa"/>
            </w:tcMar>
            <w:tcW w:w="4680" w:type="dxa"/>
            <w:vAlign w:val="center"/>
          </w:tcPr>
          <w:p>
            <w:pPr>
              <w:pBdr/>
              <w:spacing w:after="40" w:before="40" w:line="240" w:lineRule="auto"/>
              <w:ind/>
              <w:jc w:val="left"/>
              <w:rPr>
                <w:color w:val="000000" w:themeColor="text1"/>
              </w:rPr>
            </w:pPr>
            <w:r>
              <w:rPr>
                <w:rFonts w:ascii="Calibri" w:hAnsi="Calibri" w:eastAsia="Calibri" w:cs="Calibri"/>
                <w:color w:val="000000" w:themeColor="text1"/>
                <w:sz w:val="16"/>
                <w:szCs w:val="16"/>
                <w:lang w:val="es-ES"/>
              </w:rPr>
              <w:t xml:space="preserve">Tres alternativas completas evaluadas con matriz ponderada, análisis de sensibilidad y seis decisiones complementarias en formato ADR.</w:t>
            </w:r>
            <w:r>
              <w:rPr>
                <w:color w:val="000000" w:themeColor="text1"/>
              </w:rPr>
            </w:r>
          </w:p>
        </w:tc>
      </w:tr>
      <w:tr>
        <w:trPr>
          <w:cantSplit w:val="false"/>
        </w:trPr>
        <w:tc>
          <w:tcPr>
            <w:shd w:val="clear" w:color="auto" w:fill="ffffff"/>
            <w:tcBorders/>
            <w:tcMar>
              <w:left w:w="90" w:type="dxa"/>
              <w:top w:w="60" w:type="dxa"/>
              <w:right w:w="90" w:type="dxa"/>
              <w:bottom w:w="60" w:type="dxa"/>
            </w:tcMar>
            <w:tcW w:w="3557" w:type="dxa"/>
            <w:vAlign w:val="center"/>
          </w:tcPr>
          <w:p>
            <w:pPr>
              <w:pBdr/>
              <w:spacing w:after="40" w:before="40" w:line="240" w:lineRule="auto"/>
              <w:ind/>
              <w:jc w:val="left"/>
              <w:rPr>
                <w:color w:val="000000" w:themeColor="text1"/>
              </w:rPr>
            </w:pPr>
            <w:r>
              <w:rPr>
                <w:rFonts w:ascii="Calibri" w:hAnsi="Calibri" w:eastAsia="Calibri" w:cs="Calibri"/>
                <w:color w:val="000000" w:themeColor="text1"/>
                <w:sz w:val="16"/>
                <w:szCs w:val="16"/>
                <w:lang w:val="es-ES"/>
              </w:rPr>
              <w:t xml:space="preserve">Se demostró cómo se cubren los requisitos funcionales.</w:t>
            </w:r>
            <w:r>
              <w:rPr>
                <w:color w:val="000000" w:themeColor="text1"/>
              </w:rPr>
            </w:r>
          </w:p>
        </w:tc>
        <w:tc>
          <w:tcPr>
            <w:shd w:val="clear" w:color="auto" w:fill="ffffff"/>
            <w:tcBorders/>
            <w:tcMar>
              <w:left w:w="90" w:type="dxa"/>
              <w:top w:w="60" w:type="dxa"/>
              <w:right w:w="90" w:type="dxa"/>
              <w:bottom w:w="60" w:type="dxa"/>
            </w:tcMar>
            <w:tcW w:w="1123" w:type="dxa"/>
            <w:vAlign w:val="center"/>
          </w:tcPr>
          <w:p>
            <w:pPr>
              <w:pBdr/>
              <w:spacing w:after="40" w:before="40" w:line="240" w:lineRule="auto"/>
              <w:ind/>
              <w:jc w:val="left"/>
              <w:rPr>
                <w:color w:val="000000" w:themeColor="text1"/>
              </w:rPr>
            </w:pPr>
            <w:r>
              <w:rPr>
                <w:rFonts w:ascii="Calibri" w:hAnsi="Calibri" w:eastAsia="Calibri" w:cs="Calibri"/>
                <w:color w:val="000000" w:themeColor="text1"/>
                <w:sz w:val="16"/>
                <w:szCs w:val="16"/>
                <w:lang w:val="es-ES"/>
              </w:rPr>
              <w:t xml:space="preserve">Sí</w:t>
            </w:r>
            <w:r>
              <w:rPr>
                <w:color w:val="000000" w:themeColor="text1"/>
              </w:rPr>
            </w:r>
          </w:p>
        </w:tc>
        <w:tc>
          <w:tcPr>
            <w:shd w:val="clear" w:color="auto" w:fill="ffffff"/>
            <w:tcBorders/>
            <w:tcMar>
              <w:left w:w="90" w:type="dxa"/>
              <w:top w:w="60" w:type="dxa"/>
              <w:right w:w="90" w:type="dxa"/>
              <w:bottom w:w="60" w:type="dxa"/>
            </w:tcMar>
            <w:tcW w:w="4680" w:type="dxa"/>
            <w:vAlign w:val="center"/>
          </w:tcPr>
          <w:p>
            <w:pPr>
              <w:pBdr/>
              <w:spacing w:after="40" w:before="40" w:line="240" w:lineRule="auto"/>
              <w:ind/>
              <w:jc w:val="left"/>
              <w:rPr>
                <w:color w:val="000000" w:themeColor="text1"/>
              </w:rPr>
            </w:pPr>
            <w:r>
              <w:rPr>
                <w:rFonts w:ascii="Calibri" w:hAnsi="Calibri" w:eastAsia="Calibri" w:cs="Calibri"/>
                <w:color w:val="000000" w:themeColor="text1"/>
                <w:sz w:val="16"/>
                <w:szCs w:val="16"/>
                <w:lang w:val="es-ES"/>
              </w:rPr>
              <w:t xml:space="preserve">Diez ASR funcionales con componente responsable identificado en la sección 2.11.1.</w:t>
            </w:r>
            <w:r>
              <w:rPr>
                <w:color w:val="000000" w:themeColor="text1"/>
              </w:rPr>
            </w:r>
          </w:p>
        </w:tc>
      </w:tr>
      <w:tr>
        <w:trPr>
          <w:cantSplit w:val="false"/>
        </w:trPr>
        <w:tc>
          <w:tcPr>
            <w:shd w:val="clear" w:color="auto" w:fill="f2f5fa"/>
            <w:tcBorders/>
            <w:tcMar>
              <w:left w:w="90" w:type="dxa"/>
              <w:top w:w="60" w:type="dxa"/>
              <w:right w:w="90" w:type="dxa"/>
              <w:bottom w:w="60" w:type="dxa"/>
            </w:tcMar>
            <w:tcW w:w="3557" w:type="dxa"/>
            <w:vAlign w:val="center"/>
          </w:tcPr>
          <w:p>
            <w:pPr>
              <w:pBdr/>
              <w:spacing w:after="40" w:before="40" w:line="240" w:lineRule="auto"/>
              <w:ind/>
              <w:jc w:val="left"/>
              <w:rPr>
                <w:color w:val="000000" w:themeColor="text1"/>
              </w:rPr>
            </w:pPr>
            <w:r>
              <w:rPr>
                <w:rFonts w:ascii="Calibri" w:hAnsi="Calibri" w:eastAsia="Calibri" w:cs="Calibri"/>
                <w:color w:val="000000" w:themeColor="text1"/>
                <w:sz w:val="16"/>
                <w:szCs w:val="16"/>
                <w:lang w:val="es-ES"/>
              </w:rPr>
              <w:t xml:space="preserve">Se demostró cómo se cubren los requisitos no funcionales.</w:t>
            </w:r>
            <w:r>
              <w:rPr>
                <w:color w:val="000000" w:themeColor="text1"/>
              </w:rPr>
            </w:r>
          </w:p>
        </w:tc>
        <w:tc>
          <w:tcPr>
            <w:shd w:val="clear" w:color="auto" w:fill="f2f5fa"/>
            <w:tcBorders/>
            <w:tcMar>
              <w:left w:w="90" w:type="dxa"/>
              <w:top w:w="60" w:type="dxa"/>
              <w:right w:w="90" w:type="dxa"/>
              <w:bottom w:w="60" w:type="dxa"/>
            </w:tcMar>
            <w:tcW w:w="1123" w:type="dxa"/>
            <w:vAlign w:val="center"/>
          </w:tcPr>
          <w:p>
            <w:pPr>
              <w:pBdr/>
              <w:spacing w:after="40" w:before="40" w:line="240" w:lineRule="auto"/>
              <w:ind/>
              <w:jc w:val="left"/>
              <w:rPr>
                <w:color w:val="000000" w:themeColor="text1"/>
              </w:rPr>
            </w:pPr>
            <w:r>
              <w:rPr>
                <w:rFonts w:ascii="Calibri" w:hAnsi="Calibri" w:eastAsia="Calibri" w:cs="Calibri"/>
                <w:color w:val="000000" w:themeColor="text1"/>
                <w:sz w:val="16"/>
                <w:szCs w:val="16"/>
                <w:lang w:val="es-ES"/>
              </w:rPr>
              <w:t xml:space="preserve">Parcial</w:t>
            </w:r>
            <w:r>
              <w:rPr>
                <w:color w:val="000000" w:themeColor="text1"/>
              </w:rPr>
            </w:r>
          </w:p>
        </w:tc>
        <w:tc>
          <w:tcPr>
            <w:shd w:val="clear" w:color="auto" w:fill="f2f5fa"/>
            <w:tcBorders/>
            <w:tcMar>
              <w:left w:w="90" w:type="dxa"/>
              <w:top w:w="60" w:type="dxa"/>
              <w:right w:w="90" w:type="dxa"/>
              <w:bottom w:w="60" w:type="dxa"/>
            </w:tcMar>
            <w:tcW w:w="4680" w:type="dxa"/>
            <w:vAlign w:val="center"/>
          </w:tcPr>
          <w:p>
            <w:pPr>
              <w:pBdr/>
              <w:spacing w:after="40" w:before="40" w:line="240" w:lineRule="auto"/>
              <w:ind/>
              <w:jc w:val="left"/>
              <w:rPr>
                <w:color w:val="000000" w:themeColor="text1"/>
              </w:rPr>
            </w:pPr>
            <w:r>
              <w:rPr>
                <w:rFonts w:ascii="Calibri" w:hAnsi="Calibri" w:eastAsia="Calibri" w:cs="Calibri"/>
                <w:color w:val="000000" w:themeColor="text1"/>
                <w:sz w:val="16"/>
                <w:szCs w:val="16"/>
                <w:lang w:val="es-ES"/>
              </w:rPr>
              <w:t xml:space="preserve">Ocho de nueve plenamente satisfechos. RNF-09 parcial por la prioridad «Podría» de la accesibilidad WCAG; RNF-01 pendiente de verificación empírica mediante prueba de carga.</w:t>
            </w:r>
            <w:r>
              <w:rPr>
                <w:color w:val="000000" w:themeColor="text1"/>
              </w:rPr>
            </w:r>
          </w:p>
        </w:tc>
      </w:tr>
      <w:tr>
        <w:trPr>
          <w:cantSplit w:val="false"/>
        </w:trPr>
        <w:tc>
          <w:tcPr>
            <w:shd w:val="clear" w:color="auto" w:fill="ffffff"/>
            <w:tcBorders/>
            <w:tcMar>
              <w:left w:w="90" w:type="dxa"/>
              <w:top w:w="60" w:type="dxa"/>
              <w:right w:w="90" w:type="dxa"/>
              <w:bottom w:w="60" w:type="dxa"/>
            </w:tcMar>
            <w:tcW w:w="3557" w:type="dxa"/>
            <w:vAlign w:val="center"/>
          </w:tcPr>
          <w:p>
            <w:pPr>
              <w:pBdr/>
              <w:spacing w:after="40" w:before="40" w:line="240" w:lineRule="auto"/>
              <w:ind/>
              <w:jc w:val="left"/>
              <w:rPr>
                <w:color w:val="000000" w:themeColor="text1"/>
              </w:rPr>
            </w:pPr>
            <w:r>
              <w:rPr>
                <w:rFonts w:ascii="Calibri" w:hAnsi="Calibri" w:eastAsia="Calibri" w:cs="Calibri"/>
                <w:color w:val="000000" w:themeColor="text1"/>
                <w:sz w:val="16"/>
                <w:szCs w:val="16"/>
                <w:lang w:val="es-ES"/>
              </w:rPr>
              <w:t xml:space="preserve">Se registraron correspondencias entre elementos.</w:t>
            </w:r>
            <w:r>
              <w:rPr>
                <w:color w:val="000000" w:themeColor="text1"/>
              </w:rPr>
            </w:r>
          </w:p>
        </w:tc>
        <w:tc>
          <w:tcPr>
            <w:shd w:val="clear" w:color="auto" w:fill="ffffff"/>
            <w:tcBorders/>
            <w:tcMar>
              <w:left w:w="90" w:type="dxa"/>
              <w:top w:w="60" w:type="dxa"/>
              <w:right w:w="90" w:type="dxa"/>
              <w:bottom w:w="60" w:type="dxa"/>
            </w:tcMar>
            <w:tcW w:w="1123" w:type="dxa"/>
            <w:vAlign w:val="center"/>
          </w:tcPr>
          <w:p>
            <w:pPr>
              <w:pBdr/>
              <w:spacing w:after="40" w:before="40" w:line="240" w:lineRule="auto"/>
              <w:ind/>
              <w:jc w:val="left"/>
              <w:rPr>
                <w:color w:val="000000" w:themeColor="text1"/>
              </w:rPr>
            </w:pPr>
            <w:r>
              <w:rPr>
                <w:rFonts w:ascii="Calibri" w:hAnsi="Calibri" w:eastAsia="Calibri" w:cs="Calibri"/>
                <w:color w:val="000000" w:themeColor="text1"/>
                <w:sz w:val="16"/>
                <w:szCs w:val="16"/>
                <w:lang w:val="es-ES"/>
              </w:rPr>
              <w:t xml:space="preserve">Sí</w:t>
            </w:r>
            <w:r>
              <w:rPr>
                <w:color w:val="000000" w:themeColor="text1"/>
              </w:rPr>
            </w:r>
          </w:p>
        </w:tc>
        <w:tc>
          <w:tcPr>
            <w:shd w:val="clear" w:color="auto" w:fill="ffffff"/>
            <w:tcBorders/>
            <w:tcMar>
              <w:left w:w="90" w:type="dxa"/>
              <w:top w:w="60" w:type="dxa"/>
              <w:right w:w="90" w:type="dxa"/>
              <w:bottom w:w="60" w:type="dxa"/>
            </w:tcMar>
            <w:tcW w:w="4680" w:type="dxa"/>
            <w:vAlign w:val="center"/>
          </w:tcPr>
          <w:p>
            <w:pPr>
              <w:pBdr/>
              <w:spacing w:after="40" w:before="40" w:line="240" w:lineRule="auto"/>
              <w:ind/>
              <w:jc w:val="left"/>
              <w:rPr>
                <w:color w:val="000000" w:themeColor="text1"/>
              </w:rPr>
            </w:pPr>
            <w:r>
              <w:rPr>
                <w:rFonts w:ascii="Calibri" w:hAnsi="Calibri" w:eastAsia="Calibri" w:cs="Calibri"/>
                <w:color w:val="000000" w:themeColor="text1"/>
                <w:sz w:val="16"/>
                <w:szCs w:val="16"/>
                <w:lang w:val="es-ES"/>
              </w:rPr>
              <w:t xml:space="preserve">Diez correspondencias (CR-01 a CR-10), una de ellas declarada parcial con su inconsistencia documentada.</w:t>
            </w:r>
            <w:r>
              <w:rPr>
                <w:color w:val="000000" w:themeColor="text1"/>
              </w:rPr>
            </w:r>
          </w:p>
        </w:tc>
      </w:tr>
      <w:tr>
        <w:trPr>
          <w:cantSplit w:val="false"/>
        </w:trPr>
        <w:tc>
          <w:tcPr>
            <w:shd w:val="clear" w:color="auto" w:fill="f2f5fa"/>
            <w:tcBorders/>
            <w:tcMar>
              <w:left w:w="90" w:type="dxa"/>
              <w:top w:w="60" w:type="dxa"/>
              <w:right w:w="90" w:type="dxa"/>
              <w:bottom w:w="60" w:type="dxa"/>
            </w:tcMar>
            <w:tcW w:w="3557" w:type="dxa"/>
            <w:vAlign w:val="center"/>
          </w:tcPr>
          <w:p>
            <w:pPr>
              <w:pBdr/>
              <w:spacing w:after="40" w:before="40" w:line="240" w:lineRule="auto"/>
              <w:ind/>
              <w:jc w:val="left"/>
              <w:rPr>
                <w:color w:val="000000" w:themeColor="text1"/>
              </w:rPr>
            </w:pPr>
            <w:r>
              <w:rPr>
                <w:rFonts w:ascii="Calibri" w:hAnsi="Calibri" w:eastAsia="Calibri" w:cs="Calibri"/>
                <w:color w:val="000000" w:themeColor="text1"/>
                <w:sz w:val="16"/>
                <w:szCs w:val="16"/>
                <w:lang w:val="es-ES"/>
              </w:rPr>
              <w:t xml:space="preserve">Se identificaron riesgos y limitaciones conocidas.</w:t>
            </w:r>
            <w:r>
              <w:rPr>
                <w:color w:val="000000" w:themeColor="text1"/>
              </w:rPr>
            </w:r>
          </w:p>
        </w:tc>
        <w:tc>
          <w:tcPr>
            <w:shd w:val="clear" w:color="auto" w:fill="f2f5fa"/>
            <w:tcBorders/>
            <w:tcMar>
              <w:left w:w="90" w:type="dxa"/>
              <w:top w:w="60" w:type="dxa"/>
              <w:right w:w="90" w:type="dxa"/>
              <w:bottom w:w="60" w:type="dxa"/>
            </w:tcMar>
            <w:tcW w:w="1123" w:type="dxa"/>
            <w:vAlign w:val="center"/>
          </w:tcPr>
          <w:p>
            <w:pPr>
              <w:pBdr/>
              <w:spacing w:after="40" w:before="40" w:line="240" w:lineRule="auto"/>
              <w:ind/>
              <w:jc w:val="left"/>
              <w:rPr>
                <w:color w:val="000000" w:themeColor="text1"/>
              </w:rPr>
            </w:pPr>
            <w:r>
              <w:rPr>
                <w:rFonts w:ascii="Calibri" w:hAnsi="Calibri" w:eastAsia="Calibri" w:cs="Calibri"/>
                <w:color w:val="000000" w:themeColor="text1"/>
                <w:sz w:val="16"/>
                <w:szCs w:val="16"/>
                <w:lang w:val="es-ES"/>
              </w:rPr>
              <w:t xml:space="preserve">Sí</w:t>
            </w:r>
            <w:r>
              <w:rPr>
                <w:color w:val="000000" w:themeColor="text1"/>
              </w:rPr>
            </w:r>
          </w:p>
        </w:tc>
        <w:tc>
          <w:tcPr>
            <w:shd w:val="clear" w:color="auto" w:fill="f2f5fa"/>
            <w:tcBorders/>
            <w:tcMar>
              <w:left w:w="90" w:type="dxa"/>
              <w:top w:w="60" w:type="dxa"/>
              <w:right w:w="90" w:type="dxa"/>
              <w:bottom w:w="60" w:type="dxa"/>
            </w:tcMar>
            <w:tcW w:w="4680" w:type="dxa"/>
            <w:vAlign w:val="center"/>
          </w:tcPr>
          <w:p>
            <w:pPr>
              <w:pBdr/>
              <w:spacing w:after="40" w:before="40" w:line="240" w:lineRule="auto"/>
              <w:ind/>
              <w:jc w:val="left"/>
              <w:rPr>
                <w:color w:val="000000" w:themeColor="text1"/>
              </w:rPr>
            </w:pPr>
            <w:r>
              <w:rPr>
                <w:rFonts w:ascii="Calibri" w:hAnsi="Calibri" w:eastAsia="Calibri" w:cs="Calibri"/>
                <w:color w:val="000000" w:themeColor="text1"/>
                <w:sz w:val="16"/>
                <w:szCs w:val="16"/>
                <w:lang w:val="es-ES"/>
              </w:rPr>
              <w:t xml:space="preserve">Cinco riesgos aceptados con mitigación e indicador de alerta en la sección 2.7.3, más dos inconsistencias entre vistas: la frontera de solo lectura de M5, registrada en la sección 2.9, y la correspondencia parcial CR-10, registrada en la 2.10.</w:t>
            </w:r>
            <w:r>
              <w:rPr>
                <w:color w:val="000000" w:themeColor="text1"/>
              </w:rPr>
            </w:r>
          </w:p>
        </w:tc>
      </w:tr>
    </w:tbl>
    <w:p>
      <w:pPr>
        <w:pBdr/>
        <w:spacing w:after="160"/>
        <w:ind/>
        <w:rPr>
          <w:color w:val="000000" w:themeColor="text1"/>
        </w:rPr>
      </w:pPr>
      <w:r>
        <w:rPr>
          <w:color w:val="000000" w:themeColor="text1"/>
          <w:lang w:val="es-ES" w:bidi="es-ES"/>
        </w:rPr>
      </w:r>
      <w:r>
        <w:rPr>
          <w:color w:val="000000" w:themeColor="text1"/>
        </w:rPr>
      </w:r>
    </w:p>
    <w:p>
      <w:pPr>
        <w:pStyle w:val="904"/>
        <w:keepNext w:val="true"/>
        <w:pBdr/>
        <w:spacing w:after="140" w:before="280"/>
        <w:ind/>
        <w:rPr>
          <w:color w:val="000000" w:themeColor="text1"/>
        </w:rPr>
      </w:pPr>
      <w:r/>
      <w:bookmarkStart w:id="43" w:name="_Toc43"/>
      <w:r>
        <w:rPr>
          <w:rFonts w:ascii="Calibri" w:hAnsi="Calibri" w:eastAsia="Calibri" w:cs="Calibri"/>
          <w:b/>
          <w:bCs/>
          <w:color w:val="000000" w:themeColor="text1"/>
          <w:sz w:val="25"/>
          <w:szCs w:val="25"/>
          <w:lang w:val="es-ES"/>
        </w:rPr>
        <w:t xml:space="preserve">2.13 Evaluación de la arquitectura</w:t>
      </w:r>
      <w:r/>
      <w:bookmarkEnd w:id="43"/>
      <w:r/>
      <w:r>
        <w:rPr>
          <w:color w:val="000000" w:themeColor="text1"/>
        </w:rPr>
      </w:r>
    </w:p>
    <w:p>
      <w:pPr>
        <w:pBdr/>
        <w:spacing w:after="140" w:line="276" w:lineRule="auto"/>
        <w:ind/>
        <w:jc w:val="both"/>
        <w:rPr>
          <w:color w:val="000000" w:themeColor="text1"/>
        </w:rPr>
      </w:pPr>
      <w:r>
        <w:rPr>
          <w:rFonts w:ascii="Calibri" w:hAnsi="Calibri" w:eastAsia="Calibri" w:cs="Calibri"/>
          <w:color w:val="000000" w:themeColor="text1"/>
          <w:sz w:val="21"/>
          <w:szCs w:val="21"/>
          <w:lang w:val="es-ES"/>
        </w:rPr>
        <w:t xml:space="preserve">El SWEBOK distingue con nitidez dos actividades que suelen confundirse: el análisis ocurre de forma continua durante todo el proceso y lo realiza el propio equipo, mientras que la evaluación se lleva a cabo típicamente por terceros independientes en hitos definidos, a modo de auditoría. Este documento contiene análisis; la evaluación externa corresponde a la revisión docente. No obstante, el equipo aplicó dos instrumentos de autoevaluación.</w:t>
      </w:r>
      <w:r>
        <w:rPr>
          <w:color w:val="000000" w:themeColor="text1"/>
        </w:rPr>
      </w:r>
    </w:p>
    <w:p>
      <w:pPr>
        <w:pStyle w:val="905"/>
        <w:keepNext w:val="true"/>
        <w:pBdr/>
        <w:spacing w:after="120" w:before="220"/>
        <w:ind/>
        <w:rPr>
          <w:color w:val="000000" w:themeColor="text1"/>
        </w:rPr>
      </w:pPr>
      <w:r/>
      <w:bookmarkStart w:id="44" w:name="_Toc44"/>
      <w:r>
        <w:rPr>
          <w:rFonts w:ascii="Calibri" w:hAnsi="Calibri" w:eastAsia="Calibri" w:cs="Calibri"/>
          <w:b/>
          <w:bCs/>
          <w:color w:val="000000" w:themeColor="text1"/>
          <w:sz w:val="22"/>
          <w:szCs w:val="22"/>
          <w:lang w:val="es-ES"/>
        </w:rPr>
        <w:t xml:space="preserve">2.13.1 Las virtudes vitruvianas y la pregunta de factibilidad</w:t>
      </w:r>
      <w:r/>
      <w:bookmarkEnd w:id="44"/>
      <w:r/>
      <w:r>
        <w:rPr>
          <w:color w:val="000000" w:themeColor="text1"/>
        </w:rPr>
      </w:r>
    </w:p>
    <w:p>
      <w:pPr>
        <w:pBdr/>
        <w:spacing w:after="140" w:line="276" w:lineRule="auto"/>
        <w:ind/>
        <w:jc w:val="both"/>
        <w:rPr>
          <w:color w:val="000000" w:themeColor="text1"/>
        </w:rPr>
      </w:pPr>
      <w:r>
        <w:rPr>
          <w:rFonts w:ascii="Calibri" w:hAnsi="Calibri" w:eastAsia="Calibri" w:cs="Calibri"/>
          <w:color w:val="000000" w:themeColor="text1"/>
          <w:sz w:val="21"/>
          <w:szCs w:val="21"/>
          <w:lang w:val="es-ES"/>
        </w:rPr>
      </w:r>
      <w:r>
        <w:rPr>
          <w:color w:val="000000" w:themeColor="text1"/>
        </w:rPr>
        <w:t xml:space="preserve">La guía retoma las tres virtudes que Marco Vitruvio Polión atribuyó al arquitecto en el siglo I a. C. —firmitas, utilitas y venustas— y las actualiza al software. A ellas el SWEBOK añade una cuarta pregunta, ajena al canon vitruviano pero indispensable en ingeniería: la de si construir el sistema resulta factible y costo-efectivo. La tabla siguiente responde las cuatro.</w:t>
      </w:r>
    </w:p>
    <w:tbl>
      <w:tblPr>
        <w:tblW w:w="9360" w:type="dxa"/>
        <w:tblBorders>
          <w:top w:val="single" w:color="8ea9db" w:sz="4" w:space="0"/>
          <w:left w:val="single" w:color="8ea9db" w:sz="4" w:space="0"/>
          <w:bottom w:val="single" w:color="8ea9db" w:sz="4" w:space="0"/>
          <w:right w:val="single" w:color="8ea9db" w:sz="4" w:space="0"/>
          <w:insideH w:val="single" w:color="b4c6e7" w:sz="2" w:space="0"/>
          <w:insideV w:val="single" w:color="b4c6e7" w:sz="2" w:space="0"/>
        </w:tblBorders>
        <w:tblLook w:val="04A0" w:firstRow="1" w:lastRow="0" w:firstColumn="1" w:lastColumn="0" w:noHBand="0" w:noVBand="1"/>
      </w:tblPr>
      <w:tblGrid>
        <w:gridCol w:w="1591"/>
        <w:gridCol w:w="2527"/>
        <w:gridCol w:w="5242"/>
      </w:tblGrid>
      <w:tr>
        <w:trPr>
          <w:cantSplit w:val="false"/>
          <w:tblHeader/>
        </w:trPr>
        <w:tc>
          <w:tcPr>
            <w:shd w:val="clear" w:color="auto" w:fill="d9e2f3"/>
            <w:tcBorders/>
            <w:tcMar>
              <w:left w:w="90" w:type="dxa"/>
              <w:top w:w="60" w:type="dxa"/>
              <w:right w:w="90" w:type="dxa"/>
              <w:bottom w:w="60" w:type="dxa"/>
            </w:tcMar>
            <w:tcW w:w="1591"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Virtud</w:t>
            </w:r>
            <w:r>
              <w:rPr>
                <w:color w:val="000000" w:themeColor="text1"/>
              </w:rPr>
            </w:r>
          </w:p>
        </w:tc>
        <w:tc>
          <w:tcPr>
            <w:shd w:val="clear" w:color="auto" w:fill="d9e2f3"/>
            <w:tcBorders/>
            <w:tcMar>
              <w:left w:w="90" w:type="dxa"/>
              <w:top w:w="60" w:type="dxa"/>
              <w:right w:w="90" w:type="dxa"/>
              <w:bottom w:w="60" w:type="dxa"/>
            </w:tcMar>
            <w:tcW w:w="2527"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Pregunta de evaluación</w:t>
            </w:r>
            <w:r>
              <w:rPr>
                <w:color w:val="000000" w:themeColor="text1"/>
              </w:rPr>
            </w:r>
          </w:p>
        </w:tc>
        <w:tc>
          <w:tcPr>
            <w:shd w:val="clear" w:color="auto" w:fill="d9e2f3"/>
            <w:tcBorders/>
            <w:tcMar>
              <w:left w:w="90" w:type="dxa"/>
              <w:top w:w="60" w:type="dxa"/>
              <w:right w:w="90" w:type="dxa"/>
              <w:bottom w:w="60" w:type="dxa"/>
            </w:tcMar>
            <w:tcW w:w="5242"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Respuesta razonada para AbasteceNi</w:t>
            </w:r>
            <w:r>
              <w:rPr>
                <w:color w:val="000000" w:themeColor="text1"/>
              </w:rPr>
            </w:r>
          </w:p>
        </w:tc>
      </w:tr>
      <w:tr>
        <w:trPr>
          <w:cantSplit w:val="false"/>
        </w:trPr>
        <w:tc>
          <w:tcPr>
            <w:shd w:val="clear" w:color="auto" w:fill="ffffff"/>
            <w:tcBorders/>
            <w:tcMar>
              <w:left w:w="90" w:type="dxa"/>
              <w:top w:w="60" w:type="dxa"/>
              <w:right w:w="90" w:type="dxa"/>
              <w:bottom w:w="60" w:type="dxa"/>
            </w:tcMar>
            <w:tcW w:w="1591"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Firmitas — solidez</w:t>
            </w:r>
            <w:r>
              <w:rPr>
                <w:color w:val="000000" w:themeColor="text1"/>
              </w:rPr>
            </w:r>
          </w:p>
        </w:tc>
        <w:tc>
          <w:tcPr>
            <w:shd w:val="clear" w:color="auto" w:fill="ffffff"/>
            <w:tcBorders/>
            <w:tcMar>
              <w:left w:w="90" w:type="dxa"/>
              <w:top w:w="60" w:type="dxa"/>
              <w:right w:w="90" w:type="dxa"/>
              <w:bottom w:w="60" w:type="dxa"/>
            </w:tcMar>
            <w:tcW w:w="2527"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¿Es robusto a lo largo de toda su vida y evolución posible?</w:t>
            </w:r>
            <w:r>
              <w:rPr>
                <w:color w:val="000000" w:themeColor="text1"/>
              </w:rPr>
            </w:r>
          </w:p>
        </w:tc>
        <w:tc>
          <w:tcPr>
            <w:shd w:val="clear" w:color="auto" w:fill="ffffff"/>
            <w:tcBorders/>
            <w:tcMar>
              <w:left w:w="90" w:type="dxa"/>
              <w:top w:w="60" w:type="dxa"/>
              <w:right w:w="90" w:type="dxa"/>
              <w:bottom w:w="60" w:type="dxa"/>
            </w:tcMar>
            <w:tcW w:w="5242"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Moderadamente. Las fronteras modulares y la inversión de dependencias ofrecen un camino de evolución hacia servicios independientes sin rediseño, y las capacidades excluidas del MVP —pagos y logística— se incorporan como módulos nuevos. La robustez depende, sin embargo, de sostener la disciplina que R-01 identifica como el riesgo más probable.</w:t>
            </w:r>
            <w:r>
              <w:rPr>
                <w:color w:val="000000" w:themeColor="text1"/>
              </w:rPr>
            </w:r>
          </w:p>
        </w:tc>
      </w:tr>
      <w:tr>
        <w:trPr>
          <w:cantSplit w:val="false"/>
        </w:trPr>
        <w:tc>
          <w:tcPr>
            <w:shd w:val="clear" w:color="auto" w:fill="f2f5fa"/>
            <w:tcBorders/>
            <w:tcMar>
              <w:left w:w="90" w:type="dxa"/>
              <w:top w:w="60" w:type="dxa"/>
              <w:right w:w="90" w:type="dxa"/>
              <w:bottom w:w="60" w:type="dxa"/>
            </w:tcMar>
            <w:tcW w:w="1591"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Utilitas — aptitud</w:t>
            </w:r>
            <w:r>
              <w:rPr>
                <w:color w:val="000000" w:themeColor="text1"/>
              </w:rPr>
            </w:r>
          </w:p>
        </w:tc>
        <w:tc>
          <w:tcPr>
            <w:shd w:val="clear" w:color="auto" w:fill="f2f5fa"/>
            <w:tcBorders/>
            <w:tcMar>
              <w:left w:w="90" w:type="dxa"/>
              <w:top w:w="60" w:type="dxa"/>
              <w:right w:w="90" w:type="dxa"/>
              <w:bottom w:w="60" w:type="dxa"/>
            </w:tcMar>
            <w:tcW w:w="2527"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¿Es apto para el uso previsto por sus interesados?</w:t>
            </w:r>
            <w:r>
              <w:rPr>
                <w:color w:val="000000" w:themeColor="text1"/>
              </w:rPr>
            </w:r>
          </w:p>
        </w:tc>
        <w:tc>
          <w:tcPr>
            <w:shd w:val="clear" w:color="auto" w:fill="f2f5fa"/>
            <w:tcBorders/>
            <w:tcMar>
              <w:left w:w="90" w:type="dxa"/>
              <w:top w:w="60" w:type="dxa"/>
              <w:right w:w="90" w:type="dxa"/>
              <w:bottom w:w="60" w:type="dxa"/>
            </w:tcMar>
            <w:tcW w:w="5242"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Sí. Los diez ASR funcionales tienen componente responsable identificado y ocho de los nueve requisitos no funcionales quedan plenamente satisfechos. La aptitud se sostiene especialmente en las decisiones que atienden el contexto real: redes lentas, teléfonos modestos y un tercero poco confiable.</w:t>
            </w:r>
            <w:r>
              <w:rPr>
                <w:color w:val="000000" w:themeColor="text1"/>
              </w:rPr>
            </w:r>
          </w:p>
        </w:tc>
      </w:tr>
      <w:tr>
        <w:trPr>
          <w:cantSplit w:val="false"/>
        </w:trPr>
        <w:tc>
          <w:tcPr>
            <w:shd w:val="clear" w:color="auto" w:fill="ffffff"/>
            <w:tcBorders/>
            <w:tcMar>
              <w:left w:w="90" w:type="dxa"/>
              <w:top w:w="60" w:type="dxa"/>
              <w:right w:w="90" w:type="dxa"/>
              <w:bottom w:w="60" w:type="dxa"/>
            </w:tcMar>
            <w:tcW w:w="1591"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Factibilidad</w:t>
            </w:r>
            <w:r>
              <w:rPr>
                <w:color w:val="000000" w:themeColor="text1"/>
              </w:rPr>
            </w:r>
          </w:p>
        </w:tc>
        <w:tc>
          <w:tcPr>
            <w:shd w:val="clear" w:color="auto" w:fill="ffffff"/>
            <w:tcBorders/>
            <w:tcMar>
              <w:left w:w="90" w:type="dxa"/>
              <w:top w:w="60" w:type="dxa"/>
              <w:right w:w="90" w:type="dxa"/>
              <w:bottom w:w="60" w:type="dxa"/>
            </w:tcMar>
            <w:tcW w:w="2527"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¿Es factible y costo-efectivo construirlo?</w:t>
            </w:r>
            <w:r>
              <w:rPr>
                <w:color w:val="000000" w:themeColor="text1"/>
              </w:rPr>
            </w:r>
          </w:p>
        </w:tc>
        <w:tc>
          <w:tcPr>
            <w:shd w:val="clear" w:color="auto" w:fill="ffffff"/>
            <w:tcBorders/>
            <w:tcMar>
              <w:left w:w="90" w:type="dxa"/>
              <w:top w:w="60" w:type="dxa"/>
              <w:right w:w="90" w:type="dxa"/>
              <w:bottom w:w="60" w:type="dxa"/>
            </w:tcMar>
            <w:tcW w:w="5242"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Sí, y es el argumento decisivo. Un artefacto desplegable y un trabajador constituyen la menor cantidad de piezas compatible con los atributos exigidos, lo que resulta proporcional a un equipo de dos personas sin operador de infraestructura.</w:t>
            </w:r>
            <w:r>
              <w:rPr>
                <w:color w:val="000000" w:themeColor="text1"/>
              </w:rPr>
            </w:r>
          </w:p>
        </w:tc>
      </w:tr>
      <w:tr>
        <w:trPr>
          <w:cantSplit w:val="false"/>
        </w:trPr>
        <w:tc>
          <w:tcPr>
            <w:shd w:val="clear" w:color="auto" w:fill="f2f5fa"/>
            <w:tcBorders/>
            <w:tcMar>
              <w:left w:w="90" w:type="dxa"/>
              <w:top w:w="60" w:type="dxa"/>
              <w:right w:w="90" w:type="dxa"/>
              <w:bottom w:w="60" w:type="dxa"/>
            </w:tcMar>
            <w:tcW w:w="1591"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Venustas — claridad</w:t>
            </w:r>
            <w:r>
              <w:rPr>
                <w:color w:val="000000" w:themeColor="text1"/>
              </w:rPr>
            </w:r>
          </w:p>
        </w:tc>
        <w:tc>
          <w:tcPr>
            <w:shd w:val="clear" w:color="auto" w:fill="f2f5fa"/>
            <w:tcBorders/>
            <w:tcMar>
              <w:left w:w="90" w:type="dxa"/>
              <w:top w:w="60" w:type="dxa"/>
              <w:right w:w="90" w:type="dxa"/>
              <w:bottom w:w="60" w:type="dxa"/>
            </w:tcMar>
            <w:tcW w:w="2527"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¿Es claro y comprensible para quienes deben construirlo, usarlo y mantenerlo?</w:t>
            </w:r>
            <w:r>
              <w:rPr>
                <w:color w:val="000000" w:themeColor="text1"/>
              </w:rPr>
            </w:r>
          </w:p>
        </w:tc>
        <w:tc>
          <w:tcPr>
            <w:shd w:val="clear" w:color="auto" w:fill="f2f5fa"/>
            <w:tcBorders/>
            <w:tcMar>
              <w:left w:w="90" w:type="dxa"/>
              <w:top w:w="60" w:type="dxa"/>
              <w:right w:w="90" w:type="dxa"/>
              <w:bottom w:w="60" w:type="dxa"/>
            </w:tcMar>
            <w:tcW w:w="5242"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Sí. Cuatro capas con una regla de dependencia enunciable en una frase, nueve módulos que reproducen exactamente los del catálogo de requisitos y siete principios vinculantes. Un desarrollador que se incorpore puede situar cualquier pieza de código sin recorrer todo el sistema.</w:t>
            </w:r>
            <w:r>
              <w:rPr>
                <w:color w:val="000000" w:themeColor="text1"/>
              </w:rPr>
            </w:r>
          </w:p>
        </w:tc>
      </w:tr>
    </w:tbl>
    <w:p>
      <w:pPr>
        <w:pBdr/>
        <w:spacing w:after="160"/>
        <w:ind/>
        <w:rPr>
          <w:color w:val="000000" w:themeColor="text1"/>
        </w:rPr>
      </w:pPr>
      <w:r>
        <w:rPr>
          <w:color w:val="000000" w:themeColor="text1"/>
          <w:lang w:val="es-ES" w:bidi="es-ES"/>
        </w:rPr>
      </w:r>
      <w:r>
        <w:rPr>
          <w:color w:val="000000" w:themeColor="text1"/>
        </w:rPr>
      </w:r>
    </w:p>
    <w:p>
      <w:pPr>
        <w:pStyle w:val="905"/>
        <w:keepNext w:val="true"/>
        <w:pBdr/>
        <w:spacing w:after="120" w:before="220"/>
        <w:ind/>
        <w:rPr>
          <w:color w:val="000000" w:themeColor="text1"/>
        </w:rPr>
      </w:pPr>
      <w:r/>
      <w:bookmarkStart w:id="45" w:name="_Toc45"/>
      <w:r>
        <w:rPr>
          <w:rFonts w:ascii="Calibri" w:hAnsi="Calibri" w:eastAsia="Calibri" w:cs="Calibri"/>
          <w:b/>
          <w:bCs/>
          <w:color w:val="000000" w:themeColor="text1"/>
          <w:sz w:val="22"/>
          <w:szCs w:val="22"/>
          <w:lang w:val="es-ES"/>
        </w:rPr>
        <w:t xml:space="preserve">2.13.2 Compensaciones evaluadas</w:t>
      </w:r>
      <w:r/>
      <w:bookmarkEnd w:id="45"/>
      <w:r/>
      <w:r>
        <w:rPr>
          <w:color w:val="000000" w:themeColor="text1"/>
        </w:rPr>
      </w:r>
    </w:p>
    <w:p>
      <w:pPr>
        <w:pBdr/>
        <w:spacing w:after="140" w:line="276" w:lineRule="auto"/>
        <w:ind/>
        <w:jc w:val="both"/>
        <w:rPr>
          <w:color w:val="000000" w:themeColor="text1"/>
        </w:rPr>
      </w:pPr>
      <w:r>
        <w:rPr>
          <w:rFonts w:ascii="Calibri" w:hAnsi="Calibri" w:eastAsia="Calibri" w:cs="Calibri"/>
          <w:color w:val="000000" w:themeColor="text1"/>
          <w:sz w:val="21"/>
          <w:szCs w:val="21"/>
          <w:lang w:val="es-ES"/>
        </w:rPr>
        <w:t xml:space="preserve">El SWEBOK sitúa en las compensaciones el corazón de la evaluación y advierte que una arquitectura nunca es buena en todo: la que resulta muy segura puede ser excesivamente costosa, y la que es fácil de construir puede ser inmantenible. Las cuatro compensaciones siguientes fueron aceptadas de forma consciente, siguiendo la lógica del método ATAM que la guía reconoce como estándar de hecho.</w:t>
      </w:r>
      <w:r>
        <w:rPr>
          <w:color w:val="000000" w:themeColor="text1"/>
        </w:rPr>
      </w:r>
    </w:p>
    <w:tbl>
      <w:tblPr>
        <w:tblW w:w="9360" w:type="dxa"/>
        <w:tblBorders>
          <w:top w:val="single" w:color="8ea9db" w:sz="4" w:space="0"/>
          <w:left w:val="single" w:color="8ea9db" w:sz="4" w:space="0"/>
          <w:bottom w:val="single" w:color="8ea9db" w:sz="4" w:space="0"/>
          <w:right w:val="single" w:color="8ea9db" w:sz="4" w:space="0"/>
          <w:insideH w:val="single" w:color="b4c6e7" w:sz="2" w:space="0"/>
          <w:insideV w:val="single" w:color="b4c6e7" w:sz="2" w:space="0"/>
        </w:tblBorders>
        <w:tblLook w:val="04A0" w:firstRow="1" w:lastRow="0" w:firstColumn="1" w:lastColumn="0" w:noHBand="0" w:noVBand="1"/>
      </w:tblPr>
      <w:tblGrid>
        <w:gridCol w:w="2059"/>
        <w:gridCol w:w="2246"/>
        <w:gridCol w:w="5054"/>
      </w:tblGrid>
      <w:tr>
        <w:trPr>
          <w:cantSplit w:val="false"/>
          <w:tblHeader/>
        </w:trPr>
        <w:tc>
          <w:tcPr>
            <w:shd w:val="clear" w:color="auto" w:fill="d9e2f3"/>
            <w:tcBorders/>
            <w:tcMar>
              <w:left w:w="90" w:type="dxa"/>
              <w:top w:w="60" w:type="dxa"/>
              <w:right w:w="90" w:type="dxa"/>
              <w:bottom w:w="60" w:type="dxa"/>
            </w:tcMar>
            <w:tcW w:w="2059"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Se privilegió</w:t>
            </w:r>
            <w:r>
              <w:rPr>
                <w:color w:val="000000" w:themeColor="text1"/>
              </w:rPr>
            </w:r>
          </w:p>
        </w:tc>
        <w:tc>
          <w:tcPr>
            <w:shd w:val="clear" w:color="auto" w:fill="d9e2f3"/>
            <w:tcBorders/>
            <w:tcMar>
              <w:left w:w="90" w:type="dxa"/>
              <w:top w:w="60" w:type="dxa"/>
              <w:right w:w="90" w:type="dxa"/>
              <w:bottom w:w="60" w:type="dxa"/>
            </w:tcMar>
            <w:tcW w:w="2246"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Se sacrificó</w:t>
            </w:r>
            <w:r>
              <w:rPr>
                <w:color w:val="000000" w:themeColor="text1"/>
              </w:rPr>
            </w:r>
          </w:p>
        </w:tc>
        <w:tc>
          <w:tcPr>
            <w:shd w:val="clear" w:color="auto" w:fill="d9e2f3"/>
            <w:tcBorders/>
            <w:tcMar>
              <w:left w:w="90" w:type="dxa"/>
              <w:top w:w="60" w:type="dxa"/>
              <w:right w:w="90" w:type="dxa"/>
              <w:bottom w:w="60" w:type="dxa"/>
            </w:tcMar>
            <w:tcW w:w="5054"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Punto de compensación y razonamiento</w:t>
            </w:r>
            <w:r>
              <w:rPr>
                <w:color w:val="000000" w:themeColor="text1"/>
              </w:rPr>
            </w:r>
          </w:p>
        </w:tc>
      </w:tr>
      <w:tr>
        <w:trPr>
          <w:cantSplit w:val="false"/>
        </w:trPr>
        <w:tc>
          <w:tcPr>
            <w:shd w:val="clear" w:color="auto" w:fill="ffffff"/>
            <w:tcBorders/>
            <w:tcMar>
              <w:left w:w="90" w:type="dxa"/>
              <w:top w:w="60" w:type="dxa"/>
              <w:right w:w="90" w:type="dxa"/>
              <w:bottom w:w="60" w:type="dxa"/>
            </w:tcMar>
            <w:tcW w:w="2059"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Simplicidad operativa (C-07)</w:t>
            </w:r>
            <w:r>
              <w:rPr>
                <w:color w:val="000000" w:themeColor="text1"/>
              </w:rPr>
            </w:r>
          </w:p>
        </w:tc>
        <w:tc>
          <w:tcPr>
            <w:shd w:val="clear" w:color="auto" w:fill="ffffff"/>
            <w:tcBorders/>
            <w:tcMar>
              <w:left w:w="90" w:type="dxa"/>
              <w:top w:w="60" w:type="dxa"/>
              <w:right w:w="90" w:type="dxa"/>
              <w:bottom w:w="60" w:type="dxa"/>
            </w:tcMar>
            <w:tcW w:w="2246"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Aislamiento de fallos y escalado selectivo (C-02, C-03)</w:t>
            </w:r>
            <w:r>
              <w:rPr>
                <w:color w:val="000000" w:themeColor="text1"/>
              </w:rPr>
            </w:r>
          </w:p>
        </w:tc>
        <w:tc>
          <w:tcPr>
            <w:shd w:val="clear" w:color="auto" w:fill="ffffff"/>
            <w:tcBorders/>
            <w:tcMar>
              <w:left w:w="90" w:type="dxa"/>
              <w:top w:w="60" w:type="dxa"/>
              <w:right w:w="90" w:type="dxa"/>
              <w:bottom w:w="60" w:type="dxa"/>
            </w:tcMar>
            <w:tcW w:w="5054"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Un solo proceso de aplicación implica que un defecto grave puede afectar al conjunto. Se aceptó porque con 500 usuarios concurrentes como techo, el costo esperado de esa indisponibilidad es menor que el costo cierto de operar ocho servicios sin personal dedicado.</w:t>
            </w:r>
            <w:r>
              <w:rPr>
                <w:color w:val="000000" w:themeColor="text1"/>
              </w:rPr>
            </w:r>
          </w:p>
        </w:tc>
      </w:tr>
      <w:tr>
        <w:trPr>
          <w:cantSplit w:val="false"/>
        </w:trPr>
        <w:tc>
          <w:tcPr>
            <w:shd w:val="clear" w:color="auto" w:fill="f2f5fa"/>
            <w:tcBorders/>
            <w:tcMar>
              <w:left w:w="90" w:type="dxa"/>
              <w:top w:w="60" w:type="dxa"/>
              <w:right w:w="90" w:type="dxa"/>
              <w:bottom w:w="60" w:type="dxa"/>
            </w:tcMar>
            <w:tcW w:w="2059"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Consistencia transaccional (C-04)</w:t>
            </w:r>
            <w:r>
              <w:rPr>
                <w:color w:val="000000" w:themeColor="text1"/>
              </w:rPr>
            </w:r>
          </w:p>
        </w:tc>
        <w:tc>
          <w:tcPr>
            <w:shd w:val="clear" w:color="auto" w:fill="f2f5fa"/>
            <w:tcBorders/>
            <w:tcMar>
              <w:left w:w="90" w:type="dxa"/>
              <w:top w:w="60" w:type="dxa"/>
              <w:right w:w="90" w:type="dxa"/>
              <w:bottom w:w="60" w:type="dxa"/>
            </w:tcMar>
            <w:tcW w:w="2246"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Latencia de las notificaciones (C-06)</w:t>
            </w:r>
            <w:r>
              <w:rPr>
                <w:color w:val="000000" w:themeColor="text1"/>
              </w:rPr>
            </w:r>
          </w:p>
        </w:tc>
        <w:tc>
          <w:tcPr>
            <w:shd w:val="clear" w:color="auto" w:fill="f2f5fa"/>
            <w:tcBorders/>
            <w:tcMar>
              <w:left w:w="90" w:type="dxa"/>
              <w:top w:w="60" w:type="dxa"/>
              <w:right w:w="90" w:type="dxa"/>
              <w:bottom w:w="60" w:type="dxa"/>
            </w:tcMar>
            <w:tcW w:w="5054"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La bandeja de salida introduce el retardo del sondeo, pero elimina la posibilidad de notificar cotizaciones inexistentes. En un sistema donde la confianza comercial entre desconocidos es el activo principal, la corrección pesa más que unos segundos.</w:t>
            </w:r>
            <w:r>
              <w:rPr>
                <w:color w:val="000000" w:themeColor="text1"/>
              </w:rPr>
            </w:r>
          </w:p>
        </w:tc>
      </w:tr>
      <w:tr>
        <w:trPr>
          <w:cantSplit w:val="false"/>
        </w:trPr>
        <w:tc>
          <w:tcPr>
            <w:shd w:val="clear" w:color="auto" w:fill="ffffff"/>
            <w:tcBorders/>
            <w:tcMar>
              <w:left w:w="90" w:type="dxa"/>
              <w:top w:w="60" w:type="dxa"/>
              <w:right w:w="90" w:type="dxa"/>
              <w:bottom w:w="60" w:type="dxa"/>
            </w:tcMar>
            <w:tcW w:w="2059"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Capacidad de prueba (C-05)</w:t>
            </w:r>
            <w:r>
              <w:rPr>
                <w:color w:val="000000" w:themeColor="text1"/>
              </w:rPr>
            </w:r>
          </w:p>
        </w:tc>
        <w:tc>
          <w:tcPr>
            <w:shd w:val="clear" w:color="auto" w:fill="ffffff"/>
            <w:tcBorders/>
            <w:tcMar>
              <w:left w:w="90" w:type="dxa"/>
              <w:top w:w="60" w:type="dxa"/>
              <w:right w:w="90" w:type="dxa"/>
              <w:bottom w:w="60" w:type="dxa"/>
            </w:tcMar>
            <w:tcW w:w="2246"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Volumen de código y velocidad inicial (C-07)</w:t>
            </w:r>
            <w:r>
              <w:rPr>
                <w:color w:val="000000" w:themeColor="text1"/>
              </w:rPr>
            </w:r>
          </w:p>
        </w:tc>
        <w:tc>
          <w:tcPr>
            <w:shd w:val="clear" w:color="auto" w:fill="ffffff"/>
            <w:tcBorders/>
            <w:tcMar>
              <w:left w:w="90" w:type="dxa"/>
              <w:top w:w="60" w:type="dxa"/>
              <w:right w:w="90" w:type="dxa"/>
              <w:bottom w:w="60" w:type="dxa"/>
            </w:tcMar>
            <w:tcW w:w="5054"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Puertos y adaptadores exigen escribir más código del estrictamente necesario. Se acotó aplicando el patrón completo solo a los módulos con lógica de dominio real, conforme a la mitigación de R-04.</w:t>
            </w:r>
            <w:r>
              <w:rPr>
                <w:color w:val="000000" w:themeColor="text1"/>
              </w:rPr>
            </w:r>
          </w:p>
        </w:tc>
      </w:tr>
      <w:tr>
        <w:trPr>
          <w:cantSplit w:val="false"/>
        </w:trPr>
        <w:tc>
          <w:tcPr>
            <w:shd w:val="clear" w:color="auto" w:fill="f2f5fa"/>
            <w:tcBorders/>
            <w:tcMar>
              <w:left w:w="90" w:type="dxa"/>
              <w:top w:w="60" w:type="dxa"/>
              <w:right w:w="90" w:type="dxa"/>
              <w:bottom w:w="60" w:type="dxa"/>
            </w:tcMar>
            <w:tcW w:w="2059" w:type="dxa"/>
            <w:vAlign w:val="center"/>
          </w:tcPr>
          <w:p>
            <w:pPr>
              <w:pBdr/>
              <w:spacing w:after="40" w:before="40" w:line="240" w:lineRule="auto"/>
              <w:ind/>
              <w:jc w:val="left"/>
              <w:rPr>
                <w:color w:val="000000" w:themeColor="text1"/>
              </w:rPr>
            </w:pPr>
            <w:r>
              <w:rPr>
                <w:rFonts w:ascii="Calibri" w:hAnsi="Calibri" w:eastAsia="Calibri" w:cs="Calibri"/>
                <w:b/>
                <w:bCs/>
                <w:color w:val="000000" w:themeColor="text1"/>
                <w:sz w:val="16"/>
                <w:szCs w:val="16"/>
                <w:lang w:val="es-ES"/>
              </w:rPr>
              <w:t xml:space="preserve">Rendimiento de lectura (C-06)</w:t>
            </w:r>
            <w:r>
              <w:rPr>
                <w:color w:val="000000" w:themeColor="text1"/>
              </w:rPr>
            </w:r>
          </w:p>
        </w:tc>
        <w:tc>
          <w:tcPr>
            <w:shd w:val="clear" w:color="auto" w:fill="f2f5fa"/>
            <w:tcBorders/>
            <w:tcMar>
              <w:left w:w="90" w:type="dxa"/>
              <w:top w:w="60" w:type="dxa"/>
              <w:right w:w="90" w:type="dxa"/>
              <w:bottom w:w="60" w:type="dxa"/>
            </w:tcMar>
            <w:tcW w:w="2246"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Frescura del dato (C-04)</w:t>
            </w:r>
            <w:r>
              <w:rPr>
                <w:color w:val="000000" w:themeColor="text1"/>
              </w:rPr>
            </w:r>
          </w:p>
        </w:tc>
        <w:tc>
          <w:tcPr>
            <w:shd w:val="clear" w:color="auto" w:fill="f2f5fa"/>
            <w:tcBorders/>
            <w:tcMar>
              <w:left w:w="90" w:type="dxa"/>
              <w:top w:w="60" w:type="dxa"/>
              <w:right w:w="90" w:type="dxa"/>
              <w:bottom w:w="60" w:type="dxa"/>
            </w:tcMar>
            <w:tcW w:w="5054" w:type="dxa"/>
            <w:vAlign w:val="center"/>
          </w:tcPr>
          <w:p>
            <w:pPr>
              <w:pBdr/>
              <w:spacing w:after="40" w:before="40" w:line="240" w:lineRule="auto"/>
              <w:ind/>
              <w:jc w:val="left"/>
              <w:rPr>
                <w:color w:val="000000" w:themeColor="text1"/>
              </w:rPr>
            </w:pPr>
            <w:r>
              <w:rPr>
                <w:rFonts w:ascii="Calibri" w:hAnsi="Calibri" w:eastAsia="Calibri" w:cs="Calibri"/>
                <w:b w:val="0"/>
                <w:bCs w:val="0"/>
                <w:color w:val="000000" w:themeColor="text1"/>
                <w:sz w:val="16"/>
                <w:szCs w:val="16"/>
                <w:lang w:val="es-ES"/>
              </w:rPr>
              <w:t xml:space="preserve">La réplica de lectura introduce un retardo de replicación de pocos segundos en búsquedas e indicadores. Se aceptó porque ninguna decisión comercial irreversible depende de esos caminos: la aceptación de una cotización se resuelve siempre contra el nodo primario.</w:t>
            </w:r>
            <w:r>
              <w:rPr>
                <w:color w:val="000000" w:themeColor="text1"/>
              </w:rPr>
            </w:r>
          </w:p>
        </w:tc>
      </w:tr>
    </w:tbl>
    <w:p>
      <w:pPr>
        <w:pBdr/>
        <w:spacing w:after="160"/>
        <w:ind/>
        <w:rPr>
          <w:color w:val="000000" w:themeColor="text1"/>
        </w:rPr>
      </w:pPr>
      <w:r>
        <w:rPr>
          <w:color w:val="000000" w:themeColor="text1"/>
          <w:lang w:val="es-ES" w:bidi="es-ES"/>
        </w:rPr>
      </w:r>
      <w:r>
        <w:rPr>
          <w:color w:val="000000" w:themeColor="text1"/>
        </w:rPr>
      </w:r>
    </w:p>
    <w:p>
      <w:pPr>
        <w:pBdr/>
        <w:spacing w:after="140" w:line="276" w:lineRule="auto"/>
        <w:ind/>
        <w:jc w:val="both"/>
        <w:rPr>
          <w:color w:val="000000" w:themeColor="text1"/>
        </w:rPr>
      </w:pPr>
      <w:r>
        <w:rPr>
          <w:rFonts w:ascii="Calibri" w:hAnsi="Calibri" w:eastAsia="Calibri" w:cs="Calibri"/>
          <w:color w:val="000000" w:themeColor="text1"/>
          <w:sz w:val="21"/>
          <w:szCs w:val="21"/>
          <w:lang w:val="es-ES"/>
        </w:rPr>
        <w:t xml:space="preserve">El equipo reconoce la limitación metodológica de esta evaluación: fue realizada por quienes tomaron las decisiones, y el SWEBOK advierte que una evaluación que depende del conocimiento de los propios participantes es menos fiable que una revisión independiente. Se documenta como tal, </w:t>
      </w:r>
      <w:r>
        <w:rPr>
          <w:color w:val="000000" w:themeColor="text1"/>
        </w:rPr>
        <w:t xml:space="preserve">del mismo modo que en el documento de levantamiento de requerimientos se declaró</w:t>
      </w:r>
      <w:r>
        <w:rPr>
          <w:rFonts w:ascii="Calibri" w:hAnsi="Calibri" w:eastAsia="Calibri" w:cs="Calibri"/>
          <w:color w:val="000000" w:themeColor="text1"/>
          <w:sz w:val="21"/>
          <w:szCs w:val="21"/>
          <w:lang w:val="es-ES"/>
        </w:rPr>
        <w:t xml:space="preserve"> la naturaleza simulada del caso de estudio, porque declarar la limitación es preferible a simular un rigor inexistente.</w:t>
      </w:r>
      <w:r>
        <w:rPr>
          <w:color w:val="000000" w:themeColor="text1"/>
        </w:rPr>
      </w:r>
    </w:p>
    <w:p>
      <w:pPr>
        <w:pStyle w:val="903"/>
        <w:keepNext w:val="true"/>
        <w:pageBreakBefore w:val="true"/>
        <w:pBdr/>
        <w:spacing w:after="180" w:before="320"/>
        <w:ind/>
        <w:rPr>
          <w:color w:val="000000" w:themeColor="text1"/>
        </w:rPr>
      </w:pPr>
      <w:r/>
      <w:bookmarkStart w:id="46" w:name="_Toc46"/>
      <w:r>
        <w:rPr>
          <w:rFonts w:ascii="Calibri" w:hAnsi="Calibri" w:eastAsia="Calibri" w:cs="Calibri"/>
          <w:b/>
          <w:bCs/>
          <w:color w:val="000000" w:themeColor="text1"/>
          <w:sz w:val="30"/>
          <w:szCs w:val="30"/>
          <w:lang w:val="es-ES"/>
        </w:rPr>
        <w:t xml:space="preserve">3. Conclusiones</w:t>
      </w:r>
      <w:r/>
      <w:bookmarkEnd w:id="46"/>
      <w:r/>
      <w:r>
        <w:rPr>
          <w:color w:val="000000" w:themeColor="text1"/>
        </w:rPr>
      </w:r>
    </w:p>
    <w:p>
      <w:pPr>
        <w:pBdr/>
        <w:spacing w:after="140" w:line="276" w:lineRule="auto"/>
        <w:ind/>
        <w:jc w:val="both"/>
        <w:rPr>
          <w:color w:val="000000" w:themeColor="text1"/>
        </w:rPr>
      </w:pPr>
      <w:r>
        <w:rPr>
          <w:rFonts w:ascii="Calibri" w:hAnsi="Calibri" w:eastAsia="Calibri" w:cs="Calibri"/>
          <w:color w:val="000000" w:themeColor="text1"/>
          <w:sz w:val="21"/>
          <w:szCs w:val="21"/>
          <w:lang w:val="es-ES"/>
        </w:rPr>
        <w:t xml:space="preserve">La elección de la arquitectura de AbasteceNi se resolvió como un monolito modular organizado en cuatro capas, con estructura interna de puertos y adaptadores, API REST como estilo de interacción y procesamiento asíncrono mediante eventos de dominio para los efectos que el usuario no necesita esperar. La decisión obtuvo 4,35 puntos sobre 5,00 en una matriz ponderada de ocho criterios y conservó el primer lugar en los tres escenarios del análisis de sensibilidad, lo que indica que su ventaja no depende de la ponderación particular adoptada.</w:t>
      </w:r>
      <w:r>
        <w:rPr>
          <w:color w:val="000000" w:themeColor="text1"/>
        </w:rPr>
      </w:r>
    </w:p>
    <w:p>
      <w:pPr>
        <w:pBdr/>
        <w:spacing w:after="140" w:line="276" w:lineRule="auto"/>
        <w:ind/>
        <w:jc w:val="both"/>
        <w:rPr>
          <w:color w:val="000000" w:themeColor="text1"/>
        </w:rPr>
      </w:pPr>
      <w:r>
        <w:rPr>
          <w:rFonts w:ascii="Calibri" w:hAnsi="Calibri" w:eastAsia="Calibri" w:cs="Calibri"/>
          <w:color w:val="000000" w:themeColor="text1"/>
          <w:sz w:val="21"/>
          <w:szCs w:val="21"/>
          <w:lang w:val="es-ES"/>
        </w:rPr>
        <w:t xml:space="preserve">El resultado más relevante del ejercicio no es la arquitectura elegida sino el procedimiento que condujo a ella. La plantilla de la asignatura y la Cláusula 6.10 de la norma exigen justificar sobre la base de una puntuación y no de una preferencia, y esa exigencia modificó efectivamente el resultado: la primera intuición del equipo, formada por la exposición constante al discurso de la industria sobre microservicios, se orientaba hacia la opción C. Fue la ponderación de los criterios —realizada antes de conocer las calificaciones— la que reveló que un techo de 500 usuarios concurrentes y un equipo de dos personas no justifican el costo operativo de ocho servicios autónomos. La opción C es, en efecto, igual o superior en los tres criterios estructurales puros; pierde por un margen amplio en aquello que este proyecto concreto no puede permitirse.</w:t>
      </w:r>
      <w:r>
        <w:rPr>
          <w:color w:val="000000" w:themeColor="text1"/>
        </w:rPr>
      </w:r>
    </w:p>
    <w:p>
      <w:pPr>
        <w:pBdr/>
        <w:spacing w:after="140" w:line="276" w:lineRule="auto"/>
        <w:ind/>
        <w:jc w:val="both"/>
        <w:rPr>
          <w:color w:val="000000" w:themeColor="text1"/>
        </w:rPr>
      </w:pPr>
      <w:r>
        <w:rPr>
          <w:rFonts w:ascii="Calibri" w:hAnsi="Calibri" w:eastAsia="Calibri" w:cs="Calibri"/>
          <w:color w:val="000000" w:themeColor="text1"/>
          <w:sz w:val="21"/>
          <w:szCs w:val="21"/>
          <w:lang w:val="es-ES"/>
        </w:rPr>
        <w:t xml:space="preserve">La Ley de Conway resultó ser el argumento más ilustrativo del análisis. El SWEBOK la presenta como una constatación empírica validada por estudios modernos: las organizaciones producen sistemas que copian sus propias estructuras de comunicación. Un equipo de dos personas sin especialización por servicio, coordinándose por un único canal, no habría producido microservicios independientes sino un monolito distribuido, con todos los costos de la distribución y ninguno de sus beneficios. Reconocer esto obligó a tratar la restricción organizacional como un dato arquitectónico de primer orden y no como una excusa.</w:t>
      </w:r>
      <w:r>
        <w:rPr>
          <w:color w:val="000000" w:themeColor="text1"/>
        </w:rPr>
      </w:r>
    </w:p>
    <w:p>
      <w:pPr>
        <w:pBdr/>
        <w:spacing w:after="140" w:line="276" w:lineRule="auto"/>
        <w:ind/>
        <w:jc w:val="both"/>
        <w:rPr>
          <w:color w:val="000000" w:themeColor="text1"/>
        </w:rPr>
      </w:pPr>
      <w:r>
        <w:rPr>
          <w:rFonts w:ascii="Calibri" w:hAnsi="Calibri" w:eastAsia="Calibri" w:cs="Calibri"/>
          <w:color w:val="000000" w:themeColor="text1"/>
          <w:sz w:val="21"/>
          <w:szCs w:val="21"/>
          <w:lang w:val="es-ES"/>
        </w:rPr>
      </w:r>
      <w:r>
        <w:rPr>
          <w:color w:val="000000" w:themeColor="text1"/>
        </w:rPr>
        <w:t xml:space="preserve">El vínculo con el documento de levantamiento de requerimientos quedó demostrado de manera verificable.</w:t>
      </w:r>
      <w:r>
        <w:rPr>
          <w:rFonts w:ascii="Calibri" w:hAnsi="Calibri" w:eastAsia="Calibri" w:cs="Calibri"/>
          <w:color w:val="000000" w:themeColor="text1"/>
          <w:sz w:val="21"/>
          <w:szCs w:val="21"/>
          <w:lang w:val="es-ES"/>
        </w:rPr>
        <w:t xml:space="preserve"> Los 53 requisitos especificados conforme a ISO/IEC/IEEE 29148:2011 se filtraron mediante tres pruebas explícitas hasta obtener dieciocho requisitos arquitectónicamente significativos —diez funcionales y ocho de calidad—, a los que se sumó RNF-08 en calidad de restricción organizacional del proyecto y no de requisito derivado del catálogo. Por cada uno de los diecinueve pudo escribirse la frase que la plantilla exige: la arquitectura lo satisface porque un componente identificado asume esa responsabilidad. Ese ejercicio no fue una formalidad. Al aplicarlo a RF-07 se hizo evidente que una notificación síncrona sometía el tiempo de respuesta de la plataforma a la latencia de un tercero, lo que descartó la opción A por una razón que no era estética sino de incumplimiento de un umbral medible.</w:t>
      </w:r>
      <w:r>
        <w:rPr>
          <w:color w:val="000000" w:themeColor="text1"/>
        </w:rPr>
      </w:r>
    </w:p>
    <w:p>
      <w:pPr>
        <w:pBdr/>
        <w:spacing w:after="140" w:line="276" w:lineRule="auto"/>
        <w:ind/>
        <w:jc w:val="both"/>
        <w:rPr>
          <w:color w:val="000000" w:themeColor="text1"/>
        </w:rPr>
      </w:pPr>
      <w:r>
        <w:rPr>
          <w:rFonts w:ascii="Calibri" w:hAnsi="Calibri" w:eastAsia="Calibri" w:cs="Calibri"/>
          <w:color w:val="000000" w:themeColor="text1"/>
          <w:sz w:val="21"/>
          <w:szCs w:val="21"/>
          <w:lang w:val="es-ES"/>
        </w:rPr>
        <w:t xml:space="preserve">El equipo asume además la advertencia del SWEBOK sobre la deuda técnica arquitectónica: las decisiones de hoy tienen consecuencias mañana, y suele pagarlas quien no las contrajo. Por ello los cinco riesgos aceptados se registraron con su mitigación y con un indicador de alerta observable, y las dos inconsistencias detectadas entre vistas se documentaron en lugar de ocultarse. La más importante, la posible erosión de las fronteras modulares, se reconoce como un riesgo cuya contención es organizativa y no arquitectónica: los esquemas separados la dificultan, pero solo la disciplina del equipo la impide.</w:t>
      </w:r>
      <w:r>
        <w:rPr>
          <w:color w:val="000000" w:themeColor="text1"/>
        </w:rPr>
      </w:r>
    </w:p>
    <w:p>
      <w:pPr>
        <w:pBdr/>
        <w:spacing w:after="140" w:line="276" w:lineRule="auto"/>
        <w:ind/>
        <w:jc w:val="both"/>
        <w:rPr>
          <w:color w:val="000000" w:themeColor="text1"/>
        </w:rPr>
      </w:pPr>
      <w:r>
        <w:rPr>
          <w:rFonts w:ascii="Calibri" w:hAnsi="Calibri" w:eastAsia="Calibri" w:cs="Calibri"/>
          <w:color w:val="000000" w:themeColor="text1"/>
          <w:sz w:val="21"/>
          <w:szCs w:val="21"/>
          <w:lang w:val="es-ES"/>
        </w:rPr>
        <w:t xml:space="preserve">Esta Descripción de Arquitectura no se considera cerrada. El SWEBOK sostiene que la arquitectura nunca termina, pues abarca también la verificación de conformidad durante la implementación, el mantenimiento y la gobernanza posterior. Tres tareas quedan explícitamente pendientes: ejecutar la prueba de carga que permita afirmar empíricamente el cumplimiento de los umbrales de RNF-01 y RNF-05; formalizar mediante vistas de solo lectura la frontera del módulo de búsqueda, hoy sostenida por convención; y someter estas decisiones a una revisión independiente, dado que la autoevaluación realizada por quienes tomaron las decisiones es, en términos de la propia guía, el modo menos fiable de evaluar una arquitectura.</w:t>
      </w:r>
      <w:r>
        <w:rPr>
          <w:color w:val="000000" w:themeColor="text1"/>
        </w:rPr>
      </w:r>
    </w:p>
    <w:p>
      <w:pPr>
        <w:pStyle w:val="903"/>
        <w:keepNext w:val="true"/>
        <w:pageBreakBefore w:val="true"/>
        <w:pBdr/>
        <w:spacing w:after="180" w:before="320"/>
        <w:ind/>
        <w:rPr>
          <w:lang w:val="es-ES"/>
        </w:rPr>
      </w:pPr>
      <w:r/>
      <w:bookmarkStart w:id="47" w:name="_Toc47"/>
      <w:r/>
      <w:r>
        <w:rPr>
          <w:rFonts w:ascii="Calibri" w:hAnsi="Calibri" w:eastAsia="Calibri" w:cs="Calibri"/>
          <w:b/>
          <w:bCs/>
          <w:color w:val="1f3864"/>
          <w:sz w:val="30"/>
          <w:szCs w:val="30"/>
          <w:lang w:val="es-ES"/>
        </w:rPr>
        <w:t xml:space="preserve">4. Referencias normativas y bibliográficas</w:t>
      </w:r>
      <w:r/>
      <w:bookmarkEnd w:id="47"/>
      <w:r/>
      <w:r>
        <w:rPr>
          <w:lang w:val="es-ES"/>
        </w:rPr>
      </w:r>
    </w:p>
    <w:p>
      <w:pPr>
        <w:pBdr/>
        <w:spacing w:after="140" w:line="276" w:lineRule="auto"/>
        <w:ind/>
        <w:jc w:val="both"/>
        <w:rPr>
          <w:lang w:val="es-ES"/>
        </w:rPr>
      </w:pPr>
      <w:r>
        <w:rPr>
          <w:rFonts w:ascii="Calibri" w:hAnsi="Calibri" w:eastAsia="Calibri" w:cs="Calibri"/>
          <w:color w:val="000000"/>
          <w:sz w:val="21"/>
          <w:szCs w:val="21"/>
          <w:lang w:val="es-ES"/>
        </w:rPr>
        <w:t xml:space="preserve">Las referencias se ordenan situando en primer lugar las normas y los materiales de la asignatura efectivamente empleados como fuente rectora, y a continuación la literatura de la disciplina citada a lo largo del documento.</w:t>
      </w:r>
      <w:r>
        <w:rPr>
          <w:lang w:val="es-ES"/>
        </w:rPr>
      </w:r>
    </w:p>
    <w:p>
      <w:pPr>
        <w:pBdr/>
        <w:spacing w:after="100" w:line="276" w:lineRule="auto"/>
        <w:ind/>
        <w:jc w:val="both"/>
        <w:rPr>
          <w:lang w:val="es-ES"/>
        </w:rPr>
      </w:pPr>
      <w:r>
        <w:rPr>
          <w:rFonts w:ascii="Calibri" w:hAnsi="Calibri" w:eastAsia="Calibri" w:cs="Calibri"/>
          <w:color w:val="000000"/>
          <w:sz w:val="21"/>
          <w:szCs w:val="21"/>
          <w:lang w:val="es-ES"/>
        </w:rPr>
        <w:t xml:space="preserve">[1]  ISO/IEC/IEEE 42010:2022. Software, systems and enterprise — Architecture description. International Organization for Standardization, 2022. (Cláusulas 5, 6 y 8: conceptos, requisitos de la descripción de arquitectura, y puntos de vista y vistas.)</w:t>
      </w:r>
      <w:r>
        <w:rPr>
          <w:lang w:val="es-ES"/>
        </w:rPr>
      </w:r>
    </w:p>
    <w:p>
      <w:pPr>
        <w:pBdr/>
        <w:spacing w:after="100" w:line="276" w:lineRule="auto"/>
        <w:ind/>
        <w:jc w:val="both"/>
        <w:rPr>
          <w:lang w:val="es-ES"/>
        </w:rPr>
      </w:pPr>
      <w:r>
        <w:rPr>
          <w:rFonts w:ascii="Calibri" w:hAnsi="Calibri" w:eastAsia="Calibri" w:cs="Calibri"/>
          <w:color w:val="000000"/>
          <w:sz w:val="21"/>
          <w:szCs w:val="21"/>
          <w:lang w:val="es-ES"/>
        </w:rPr>
        <w:t xml:space="preserve">[2]  IEEE Computer Society. SWEBOK Guide Version 4.0a: Guide to the Software Engineering Body of Knowledge. Editor: Hironori Washizaki. IEEE, septiembre de 2025. Área de Conocimiento 02 — Software Architecture.</w:t>
      </w:r>
      <w:r>
        <w:rPr>
          <w:lang w:val="es-ES"/>
        </w:rPr>
      </w:r>
    </w:p>
    <w:p>
      <w:pPr>
        <w:pBdr/>
        <w:spacing w:after="100" w:line="276" w:lineRule="auto"/>
        <w:ind/>
        <w:jc w:val="both"/>
        <w:rPr>
          <w:lang w:val="es-ES"/>
        </w:rPr>
      </w:pPr>
      <w:r>
        <w:rPr>
          <w:rFonts w:ascii="Calibri" w:hAnsi="Calibri" w:eastAsia="Calibri" w:cs="Calibri"/>
          <w:color w:val="000000"/>
          <w:sz w:val="21"/>
          <w:szCs w:val="21"/>
          <w:lang w:val="es-ES"/>
        </w:rPr>
        <w:t xml:space="preserve">[3]  IEEE Computer Society. SWEBOK Guide Version 4.0a. Taxonomía de estilos, patrones y arquitecturas de referencia del Capítulo 02: ocho categorías y aproximadamente sesenta arquitecturas documentadas.</w:t>
      </w:r>
      <w:r>
        <w:rPr>
          <w:lang w:val="es-ES"/>
        </w:rPr>
      </w:r>
    </w:p>
    <w:p>
      <w:pPr>
        <w:pBdr/>
        <w:spacing w:after="100" w:line="276" w:lineRule="auto"/>
        <w:ind/>
        <w:jc w:val="both"/>
        <w:rPr>
          <w:lang w:val="es-ES"/>
        </w:rPr>
      </w:pPr>
      <w:r>
        <w:rPr>
          <w:rFonts w:ascii="Calibri" w:hAnsi="Calibri" w:eastAsia="Calibri" w:cs="Calibri"/>
          <w:color w:val="000000"/>
          <w:sz w:val="21"/>
          <w:szCs w:val="21"/>
          <w:lang w:val="es-ES"/>
        </w:rPr>
        <w:t xml:space="preserve">[4]  ISO/IEC/IEEE 29148:2011. Systems and software engineering — Life cycle processes — Requirements engineering. ISO, 2011. (Capítulo 5: Conceptos. </w:t>
      </w:r>
      <w:r>
        <w:t xml:space="preserve">Norma rectora del documento de levantamiento de requerimientos, segundo entregable del proyecto</w:t>
      </w:r>
      <w:r>
        <w:rPr>
          <w:rFonts w:ascii="Calibri" w:hAnsi="Calibri" w:eastAsia="Calibri" w:cs="Calibri"/>
          <w:color w:val="000000"/>
          <w:sz w:val="21"/>
          <w:szCs w:val="21"/>
          <w:lang w:val="es-ES"/>
        </w:rPr>
        <w:t xml:space="preserve">.)</w:t>
      </w:r>
      <w:r>
        <w:rPr>
          <w:lang w:val="es-ES"/>
        </w:rPr>
      </w:r>
    </w:p>
    <w:p>
      <w:pPr>
        <w:pBdr/>
        <w:spacing w:after="100" w:line="276" w:lineRule="auto"/>
        <w:ind/>
        <w:jc w:val="both"/>
        <w:rPr>
          <w:lang w:val="es-ES"/>
        </w:rPr>
      </w:pPr>
      <w:r>
        <w:rPr>
          <w:rFonts w:ascii="Calibri" w:hAnsi="Calibri" w:eastAsia="Calibri" w:cs="Calibri"/>
          <w:color w:val="000000"/>
          <w:sz w:val="21"/>
          <w:szCs w:val="21"/>
          <w:lang w:val="es-ES"/>
        </w:rPr>
        <w:t xml:space="preserve">[5]  ISO/IEC 25010:2011. Systems and software engineering — Systems and software Quality Requirements and Evaluation (SQuaRE) — System and software quality models. ISO, 2011.</w:t>
      </w:r>
      <w:r>
        <w:rPr>
          <w:lang w:val="es-ES"/>
        </w:rPr>
      </w:r>
    </w:p>
    <w:p>
      <w:pPr>
        <w:pBdr/>
        <w:spacing w:after="100" w:line="276" w:lineRule="auto"/>
        <w:ind/>
        <w:jc w:val="both"/>
        <w:rPr>
          <w:lang w:val="es-ES"/>
        </w:rPr>
      </w:pPr>
      <w:r>
        <w:rPr>
          <w:rFonts w:ascii="Calibri" w:hAnsi="Calibri" w:eastAsia="Calibri" w:cs="Calibri"/>
          <w:color w:val="000000"/>
          <w:sz w:val="21"/>
          <w:szCs w:val="21"/>
          <w:lang w:val="es-ES"/>
        </w:rPr>
        <w:t xml:space="preserve">[6]  Bass, L., Clements, P. y Kazman, R. Software Architecture in Practice, 4.ª edición. Addison-Wesley, 2021. (Referencia principal del Capítulo 02 del SWEBOK: atributos de calidad, tácticas arquitectónicas y deuda técnica.)</w:t>
      </w:r>
      <w:r>
        <w:rPr>
          <w:lang w:val="es-ES"/>
        </w:rPr>
      </w:r>
    </w:p>
    <w:p>
      <w:pPr>
        <w:pBdr/>
        <w:spacing w:after="100" w:line="276" w:lineRule="auto"/>
        <w:ind/>
        <w:jc w:val="both"/>
        <w:rPr>
          <w:lang w:val="es-ES"/>
        </w:rPr>
      </w:pPr>
      <w:r>
        <w:rPr>
          <w:rFonts w:ascii="Calibri" w:hAnsi="Calibri" w:eastAsia="Calibri" w:cs="Calibri"/>
          <w:color w:val="000000"/>
          <w:sz w:val="21"/>
          <w:szCs w:val="21"/>
          <w:lang w:val="es-ES"/>
        </w:rPr>
        <w:t xml:space="preserve">[7]  Kruchten, P. B. «The 4+1 View Model of Architecture». IEEE Software, vol. 12, n.º 6, 1995, pp. 42-50. (Organización de las vistas adoptada en la sección 2.9.)</w:t>
      </w:r>
      <w:r>
        <w:rPr>
          <w:lang w:val="es-ES"/>
        </w:rPr>
      </w:r>
    </w:p>
    <w:p>
      <w:pPr>
        <w:pBdr/>
        <w:spacing w:after="100" w:line="276" w:lineRule="auto"/>
        <w:ind/>
        <w:jc w:val="both"/>
        <w:rPr>
          <w:lang w:val="es-ES"/>
        </w:rPr>
      </w:pPr>
      <w:r>
        <w:rPr>
          <w:rFonts w:ascii="Calibri" w:hAnsi="Calibri" w:eastAsia="Calibri" w:cs="Calibri"/>
          <w:color w:val="000000"/>
          <w:sz w:val="21"/>
          <w:szCs w:val="21"/>
          <w:lang w:val="es-ES"/>
        </w:rPr>
        <w:t xml:space="preserve">[8]  Rozanski, N. y Woods, E. Software Systems Architecture: Working with Stakeholders Using Viewpoints and Perspectives, 2.ª edición. Addison-Wesley, 2011. (Catálogo de puntos de vista empleado como referencia en la sección 2.8.)</w:t>
      </w:r>
      <w:r>
        <w:rPr>
          <w:lang w:val="es-ES"/>
        </w:rPr>
      </w:r>
    </w:p>
    <w:p>
      <w:pPr>
        <w:pBdr/>
        <w:spacing w:after="100" w:line="276" w:lineRule="auto"/>
        <w:ind/>
        <w:jc w:val="both"/>
        <w:rPr>
          <w:lang w:val="es-ES"/>
        </w:rPr>
      </w:pPr>
      <w:r>
        <w:rPr>
          <w:rFonts w:ascii="Calibri" w:hAnsi="Calibri" w:eastAsia="Calibri" w:cs="Calibri"/>
          <w:color w:val="000000"/>
          <w:sz w:val="21"/>
          <w:szCs w:val="21"/>
          <w:lang w:val="es-ES"/>
        </w:rPr>
        <w:t xml:space="preserve">[9]  Clements, P. et al. Documenting Software Architectures: Views and Beyond, 2.ª edición. Addison-Wesley, 2011.</w:t>
      </w:r>
      <w:r>
        <w:rPr>
          <w:lang w:val="es-ES"/>
        </w:rPr>
      </w:r>
    </w:p>
    <w:p>
      <w:pPr>
        <w:pBdr/>
        <w:spacing w:after="100" w:line="276" w:lineRule="auto"/>
        <w:ind/>
        <w:jc w:val="both"/>
        <w:rPr>
          <w:lang w:val="es-ES"/>
        </w:rPr>
      </w:pPr>
      <w:r>
        <w:rPr>
          <w:rFonts w:ascii="Calibri" w:hAnsi="Calibri" w:eastAsia="Calibri" w:cs="Calibri"/>
          <w:color w:val="000000"/>
          <w:sz w:val="21"/>
          <w:szCs w:val="21"/>
          <w:lang w:val="es-ES"/>
        </w:rPr>
        <w:t xml:space="preserve">[10]  Conway, M. E. «How Do Committees Invent?». Datamation, vol. 14, n.º 5, 1968, pp. 28-31. (Formulación original de la ley invocada en las secciones 2.6.3, 2.7.1 y 3.)</w:t>
      </w:r>
      <w:r>
        <w:rPr>
          <w:lang w:val="es-ES"/>
        </w:rPr>
      </w:r>
    </w:p>
    <w:p>
      <w:pPr>
        <w:pBdr/>
        <w:spacing w:after="100" w:line="276" w:lineRule="auto"/>
        <w:ind/>
        <w:jc w:val="both"/>
        <w:rPr>
          <w:lang w:val="es-ES"/>
        </w:rPr>
      </w:pPr>
      <w:r>
        <w:rPr>
          <w:rFonts w:ascii="Calibri" w:hAnsi="Calibri" w:eastAsia="Calibri" w:cs="Calibri"/>
          <w:color w:val="000000"/>
          <w:sz w:val="21"/>
          <w:szCs w:val="21"/>
          <w:lang w:val="es-ES"/>
        </w:rPr>
        <w:t xml:space="preserve">[11]  MacCormack, A., Baldwin, C. y Rusnak, J. «Exploring the duality between product and organizational architectures: A test of the mirroring hypothesis». Research Policy, vol. 41, n.º 8, 2012. (Validación empírica de la Ley de Conway citada por el SWEBOK.)</w:t>
      </w:r>
      <w:r>
        <w:rPr>
          <w:lang w:val="es-ES"/>
        </w:rPr>
      </w:r>
    </w:p>
    <w:p>
      <w:pPr>
        <w:pBdr/>
        <w:spacing w:after="100" w:line="276" w:lineRule="auto"/>
        <w:ind/>
        <w:jc w:val="both"/>
        <w:rPr>
          <w:lang w:val="es-ES"/>
        </w:rPr>
      </w:pPr>
      <w:r>
        <w:rPr>
          <w:rFonts w:ascii="Calibri" w:hAnsi="Calibri" w:eastAsia="Calibri" w:cs="Calibri"/>
          <w:color w:val="000000"/>
          <w:sz w:val="21"/>
          <w:szCs w:val="21"/>
          <w:lang w:val="es-ES"/>
        </w:rPr>
        <w:t xml:space="preserve">[12]  Fairbanks, G. Just Enough Software Architecture: A Risk-Driven Approach. Marshall &amp; Brainerd, 2010. (Principio de la arquitectura justa y suficiente, invocado en la justificación de P-07.)</w:t>
      </w:r>
      <w:r>
        <w:rPr>
          <w:lang w:val="es-ES"/>
        </w:rPr>
      </w:r>
    </w:p>
    <w:p>
      <w:pPr>
        <w:pBdr/>
        <w:spacing w:after="100" w:line="276" w:lineRule="auto"/>
        <w:ind/>
        <w:jc w:val="both"/>
        <w:rPr>
          <w:lang w:val="es-ES"/>
        </w:rPr>
      </w:pPr>
      <w:r>
        <w:rPr>
          <w:rFonts w:ascii="Calibri" w:hAnsi="Calibri" w:eastAsia="Calibri" w:cs="Calibri"/>
          <w:color w:val="000000"/>
          <w:sz w:val="21"/>
          <w:szCs w:val="21"/>
          <w:lang w:val="es-ES"/>
        </w:rPr>
        <w:t xml:space="preserve">[13]  Hofmeister, C. et al. «A general model of software architecture design derived from five industrial approaches». Journal of Systems and Software, vol. 80, n.º 1, 2007, pp. 106-126. (Modelo de análisis, síntesis y evaluación aplicado en la sección 1.4.)</w:t>
      </w:r>
      <w:r>
        <w:rPr>
          <w:lang w:val="es-ES"/>
        </w:rPr>
      </w:r>
    </w:p>
    <w:p>
      <w:pPr>
        <w:pBdr/>
        <w:spacing w:after="100" w:line="276" w:lineRule="auto"/>
        <w:ind/>
        <w:jc w:val="both"/>
        <w:rPr>
          <w:lang w:val="es-ES"/>
        </w:rPr>
      </w:pPr>
      <w:r>
        <w:rPr>
          <w:rFonts w:ascii="Calibri" w:hAnsi="Calibri" w:eastAsia="Calibri" w:cs="Calibri"/>
          <w:color w:val="000000"/>
          <w:sz w:val="21"/>
          <w:szCs w:val="21"/>
          <w:lang w:val="es-ES"/>
        </w:rPr>
        <w:t xml:space="preserve">[14]  Kazman, R., Klein, M. y Clements, P. ATAM: Method for Architecture Evaluation. Technical Report CMU/SEI-2000-TR-004. Software Engineering Institute, Carnegie Mellon University, 2000. (Método de evaluación por compensaciones aplicado en la sección 2.13.2.)</w:t>
      </w:r>
      <w:r>
        <w:rPr>
          <w:lang w:val="es-ES"/>
        </w:rPr>
      </w:r>
    </w:p>
    <w:p>
      <w:pPr>
        <w:pBdr/>
        <w:spacing w:after="100" w:line="276" w:lineRule="auto"/>
        <w:ind/>
        <w:jc w:val="both"/>
        <w:rPr>
          <w:lang w:val="es-ES"/>
        </w:rPr>
      </w:pPr>
      <w:r>
        <w:rPr>
          <w:rFonts w:ascii="Calibri" w:hAnsi="Calibri" w:eastAsia="Calibri" w:cs="Calibri"/>
          <w:color w:val="000000"/>
          <w:sz w:val="21"/>
          <w:szCs w:val="21"/>
          <w:lang w:val="es-ES"/>
        </w:rPr>
        <w:t xml:space="preserve">[15]  Fielding, R. T. Architectural Styles and the Design of Network-based Software Architectures. Tesis doctoral, University of California, Irvine, 2000. (Formulación original del estilo REST adoptado en la capa 2.)</w:t>
      </w:r>
      <w:r>
        <w:rPr>
          <w:lang w:val="es-ES"/>
        </w:rPr>
      </w:r>
    </w:p>
    <w:p>
      <w:pPr>
        <w:pBdr/>
        <w:spacing w:after="100" w:line="276" w:lineRule="auto"/>
        <w:ind/>
        <w:jc w:val="both"/>
        <w:rPr>
          <w:lang w:val="es-ES"/>
        </w:rPr>
      </w:pPr>
      <w:r>
        <w:rPr>
          <w:rFonts w:ascii="Calibri" w:hAnsi="Calibri" w:eastAsia="Calibri" w:cs="Calibri"/>
          <w:color w:val="000000"/>
          <w:sz w:val="21"/>
          <w:szCs w:val="21"/>
          <w:lang w:val="es-ES"/>
        </w:rPr>
        <w:t xml:space="preserve">[16]  Cockburn, A. «Hexagonal Architecture (Ports and Adapters)». 2005. (Patrón de puertos y adaptadores adoptado como estructura interna del núcleo de dominio.)</w:t>
      </w:r>
      <w:r>
        <w:rPr>
          <w:lang w:val="es-ES"/>
        </w:rPr>
      </w:r>
    </w:p>
    <w:p>
      <w:pPr>
        <w:pBdr/>
        <w:spacing w:after="100" w:line="276" w:lineRule="auto"/>
        <w:ind/>
        <w:jc w:val="both"/>
        <w:rPr>
          <w:lang w:val="es-ES"/>
        </w:rPr>
      </w:pPr>
      <w:r>
        <w:rPr>
          <w:rFonts w:ascii="Calibri" w:hAnsi="Calibri" w:eastAsia="Calibri" w:cs="Calibri"/>
          <w:color w:val="000000"/>
          <w:sz w:val="21"/>
          <w:szCs w:val="21"/>
          <w:lang w:val="es-ES"/>
        </w:rPr>
        <w:t xml:space="preserve">[17]  Fowler, M. Patterns of Enterprise Application Architecture. Addison-Wesley, 2002. (Catálogo reconocido por el SWEBOK; origen de los patrones de acceso a datos y de bandeja de salida empleados en ADR-01.)</w:t>
      </w:r>
      <w:r>
        <w:rPr>
          <w:lang w:val="es-ES"/>
        </w:rPr>
      </w:r>
    </w:p>
    <w:p>
      <w:pPr>
        <w:pBdr/>
        <w:spacing w:after="100" w:line="276" w:lineRule="auto"/>
        <w:ind/>
        <w:jc w:val="both"/>
        <w:rPr>
          <w:lang w:val="es-ES"/>
        </w:rPr>
      </w:pPr>
      <w:r>
        <w:rPr>
          <w:rFonts w:ascii="Calibri" w:hAnsi="Calibri" w:eastAsia="Calibri" w:cs="Calibri"/>
          <w:color w:val="000000"/>
          <w:sz w:val="21"/>
          <w:szCs w:val="21"/>
          <w:lang w:val="es-ES"/>
        </w:rPr>
        <w:t xml:space="preserve">[18]  Newman, S. Building Microservices: Designing Fine-Grained Systems, 2.ª edición. O'Reilly Media, 2021. (Referencia empleada para caracterizar la opción C y sus costos operativos.)</w:t>
      </w:r>
      <w:r>
        <w:rPr>
          <w:lang w:val="es-ES"/>
        </w:rPr>
      </w:r>
    </w:p>
    <w:p>
      <w:pPr>
        <w:pBdr/>
        <w:spacing w:after="100" w:line="276" w:lineRule="auto"/>
        <w:ind/>
        <w:jc w:val="both"/>
        <w:rPr>
          <w:lang w:val="es-ES"/>
        </w:rPr>
      </w:pPr>
      <w:r>
        <w:rPr>
          <w:rFonts w:ascii="Calibri" w:hAnsi="Calibri" w:eastAsia="Calibri" w:cs="Calibri"/>
          <w:color w:val="000000"/>
          <w:sz w:val="21"/>
          <w:szCs w:val="21"/>
          <w:lang w:val="es-ES"/>
        </w:rPr>
        <w:t xml:space="preserve">[19]  Nygard, M. T. Release It!: Design and Deploy Production-Ready Software, 2.ª edición. Pragmatic Bookshelf, 2018. (Origen del patrón de interruptor de circuito adoptado en ADR-02.)</w:t>
      </w:r>
      <w:r>
        <w:rPr>
          <w:lang w:val="es-ES"/>
        </w:rPr>
      </w:r>
    </w:p>
    <w:p>
      <w:pPr>
        <w:pBdr/>
        <w:spacing w:after="100" w:line="276" w:lineRule="auto"/>
        <w:ind/>
        <w:jc w:val="both"/>
        <w:rPr>
          <w:lang w:val="es-ES"/>
        </w:rPr>
      </w:pPr>
      <w:r>
        <w:rPr>
          <w:rFonts w:ascii="Calibri" w:hAnsi="Calibri" w:eastAsia="Calibri" w:cs="Calibri"/>
          <w:color w:val="000000"/>
          <w:sz w:val="21"/>
          <w:szCs w:val="21"/>
          <w:lang w:val="es-ES"/>
        </w:rPr>
        <w:t xml:space="preserve">[20]  Kruchten, P., Nord, R. y Ozkaya, I. Managing Technical Debt: Reducing Friction in Software Development. Addison-Wesley, 2019. (Marco conceptual de la deuda técnica arquitectónica de la sección 2.7.3.)</w:t>
      </w:r>
      <w:r>
        <w:rPr>
          <w:lang w:val="es-ES"/>
        </w:rPr>
      </w:r>
    </w:p>
    <w:p>
      <w:pPr>
        <w:pBdr/>
        <w:spacing w:after="100" w:line="276" w:lineRule="auto"/>
        <w:ind/>
        <w:jc w:val="both"/>
        <w:rPr>
          <w:lang w:val="es-ES"/>
        </w:rPr>
      </w:pPr>
      <w:r>
        <w:rPr>
          <w:rFonts w:ascii="Calibri" w:hAnsi="Calibri" w:eastAsia="Calibri" w:cs="Calibri"/>
          <w:color w:val="000000"/>
          <w:sz w:val="21"/>
          <w:szCs w:val="21"/>
          <w:lang w:val="es-ES"/>
        </w:rPr>
        <w:t xml:space="preserve">[21]  Dijkstra, E. W. «On the role of scientific thought». EWD447, 1974. (Principio de separación de preocupaciones citado por el SWEBOK y aplicado en la sección 2.4.)</w:t>
      </w:r>
      <w:r>
        <w:rPr>
          <w:lang w:val="es-ES"/>
        </w:rPr>
      </w:r>
    </w:p>
    <w:p>
      <w:pPr>
        <w:pBdr/>
        <w:spacing w:after="100" w:line="276" w:lineRule="auto"/>
        <w:ind/>
        <w:jc w:val="both"/>
        <w:rPr>
          <w:lang w:val="es-ES"/>
        </w:rPr>
      </w:pPr>
      <w:r>
        <w:rPr>
          <w:rFonts w:ascii="Calibri" w:hAnsi="Calibri" w:eastAsia="Calibri" w:cs="Calibri"/>
          <w:color w:val="000000"/>
          <w:sz w:val="21"/>
          <w:szCs w:val="21"/>
          <w:lang w:val="es-ES"/>
        </w:rPr>
        <w:t xml:space="preserve">[22]  Ley No. 787, Ley de Protección de Datos Personales de Nicaragua. Asamblea Nacional de Nicaragua, 2012.</w:t>
      </w:r>
      <w:r>
        <w:rPr>
          <w:lang w:val="es-ES"/>
        </w:rPr>
      </w:r>
    </w:p>
    <w:p>
      <w:pPr>
        <w:pBdr/>
        <w:spacing w:after="100" w:line="276" w:lineRule="auto"/>
        <w:ind/>
        <w:jc w:val="both"/>
        <w:rPr>
          <w:lang w:val="es-ES"/>
        </w:rPr>
      </w:pPr>
      <w:r>
        <w:rPr>
          <w:rFonts w:ascii="Calibri" w:hAnsi="Calibri" w:eastAsia="Calibri" w:cs="Calibri"/>
          <w:color w:val="000000"/>
          <w:sz w:val="21"/>
          <w:szCs w:val="21"/>
          <w:lang w:val="es-ES"/>
        </w:rPr>
        <w:t xml:space="preserve">[23]  OWASP Foundation. OWASP Top 10: The Ten Most Critical Web Application Security Risks. Documento de referencia sobre riesgos críticos en aplicaciones web.</w:t>
      </w:r>
      <w:r>
        <w:rPr>
          <w:lang w:val="es-ES"/>
        </w:rPr>
      </w:r>
    </w:p>
    <w:p>
      <w:pPr>
        <w:pBdr/>
        <w:spacing w:after="100" w:line="276" w:lineRule="auto"/>
        <w:ind/>
        <w:jc w:val="both"/>
        <w:rPr>
          <w:lang w:val="es-ES"/>
        </w:rPr>
      </w:pPr>
      <w:r>
        <w:rPr>
          <w:rFonts w:ascii="Calibri" w:hAnsi="Calibri" w:eastAsia="Calibri" w:cs="Calibri"/>
          <w:color w:val="000000"/>
          <w:sz w:val="21"/>
          <w:szCs w:val="21"/>
          <w:lang w:val="es-ES"/>
        </w:rPr>
        <w:t xml:space="preserve">[24]  W3C. Web Content Accessibility Guidelines (WCAG) 2.1. Recomendación del W3C, junio de 2018.</w:t>
      </w:r>
      <w:r>
        <w:rPr>
          <w:lang w:val="es-ES"/>
        </w:rPr>
      </w:r>
    </w:p>
    <w:p>
      <w:pPr>
        <w:pBdr/>
        <w:spacing w:after="100" w:line="276" w:lineRule="auto"/>
        <w:ind/>
        <w:jc w:val="both"/>
        <w:rPr>
          <w:lang w:val="es-ES"/>
        </w:rPr>
      </w:pPr>
      <w:r>
        <w:rPr>
          <w:rFonts w:ascii="Calibri" w:hAnsi="Calibri" w:eastAsia="Calibri" w:cs="Calibri"/>
          <w:color w:val="000000"/>
          <w:sz w:val="21"/>
          <w:szCs w:val="21"/>
          <w:lang w:val="es-ES"/>
        </w:rPr>
        <w:t xml:space="preserve">[25]  OpenAPI Initiative. OpenAPI Specification, versión 3.0. The Linux Foundation. (Estándar de documentación de interfaces exigido por RNF-06 y por el principio PA-07.)</w:t>
      </w:r>
      <w:r>
        <w:rPr>
          <w:lang w:val="es-ES"/>
        </w:rPr>
      </w:r>
    </w:p>
    <w:p w14:paraId="410E1CDA">
      <w:pPr>
        <w:pBdr/>
        <w:shd w:val="nil"/>
        <w:spacing/>
        <w:ind/>
        <w:rPr>
          <w:lang w:val="es-ES"/>
        </w:rPr>
      </w:pPr>
      <w:r>
        <w:rPr>
          <w:lang w:val="es-ES"/>
        </w:rPr>
        <w:br w:type="page" w:clear="all"/>
      </w:r>
    </w:p>
    <w:p w14:paraId="1F652B36">
      <w:pPr>
        <w:pStyle w:val="903"/>
        <w:keepNext w:val="true"/>
        <w:pageBreakBefore w:val="true"/>
        <w:pBdr/>
        <w:spacing w:after="180" w:before="320"/>
        <w:ind/>
        <w:rPr>
          <w:color w:val="000000" w:themeColor="text1"/>
        </w:rPr>
      </w:pPr>
      <w:r/>
      <w:bookmarkStart w:id="48" w:name="_Toc48"/>
      <w:r>
        <w:rPr>
          <w:rFonts w:ascii="Calibri" w:hAnsi="Calibri" w:eastAsia="Calibri" w:cs="Calibri"/>
          <w:b/>
          <w:bCs/>
          <w:color w:val="000000" w:themeColor="text1"/>
          <w:sz w:val="30"/>
          <w:szCs w:val="30"/>
          <w:lang w:val="es-ES"/>
        </w:rPr>
        <w:t xml:space="preserve">5. Anexos</w:t>
      </w:r>
      <w:r/>
      <w:bookmarkEnd w:id="48"/>
      <w:r/>
      <w:r>
        <w:rPr>
          <w:color w:val="000000" w:themeColor="text1"/>
        </w:rPr>
      </w:r>
    </w:p>
    <w:p w14:paraId="0E81F20A">
      <w:pPr>
        <w:pBdr/>
        <w:spacing w:after="140" w:line="276" w:lineRule="auto"/>
        <w:ind/>
        <w:jc w:val="both"/>
        <w:rPr>
          <w:lang w:val="es-ES"/>
        </w:rPr>
      </w:pPr>
      <w:r>
        <w:rPr>
          <w:rFonts w:ascii="Calibri" w:hAnsi="Calibri" w:eastAsia="Calibri" w:cs="Calibri"/>
          <w:color w:val="000000"/>
          <w:sz w:val="21"/>
          <w:szCs w:val="21"/>
          <w:lang w:val="es-ES"/>
        </w:rPr>
        <w:t xml:space="preserve">Los anexos recogen las representaciones gráficas de las vistas definidas en la sección 2.9, el registro del descarte razonado de las categorías de la taxonomía del SWEBOK, el detalle del cálculo de la matriz ponderada y el resumen ejecutivo que la plantilla de la asignatura solicita.</w:t>
      </w:r>
      <w:r>
        <w:rPr>
          <w:lang w:val="es-ES"/>
        </w:rPr>
      </w:r>
    </w:p>
    <w:p w14:paraId="197AA211">
      <w:pPr>
        <w:pStyle w:val="904"/>
        <w:keepNext w:val="true"/>
        <w:pBdr/>
        <w:spacing w:after="140" w:before="280"/>
        <w:ind/>
        <w:rPr>
          <w:lang w:val="es-ES"/>
        </w:rPr>
      </w:pPr>
      <w:r/>
      <w:bookmarkStart w:id="49" w:name="_Toc49"/>
      <w:r>
        <w:rPr>
          <w:rFonts w:ascii="Calibri" w:hAnsi="Calibri" w:eastAsia="Calibri" w:cs="Calibri"/>
          <w:b/>
          <w:bCs/>
          <w:color w:val="2e5496"/>
          <w:sz w:val="25"/>
          <w:szCs w:val="25"/>
          <w:lang w:val="es-ES"/>
        </w:rPr>
        <w:t xml:space="preserve">Anexo A — Vista de capas y responsabilidades (V-01)</w:t>
      </w:r>
      <w:r/>
      <w:bookmarkEnd w:id="49"/>
      <w:r/>
      <w:r>
        <w:rPr>
          <w:lang w:val="es-ES"/>
        </w:rPr>
      </w:r>
    </w:p>
    <w:p w14:paraId="73A603C8">
      <w:pPr>
        <w:pBdr/>
        <w:spacing w:after="140" w:line="276" w:lineRule="auto"/>
        <w:ind/>
        <w:jc w:val="both"/>
        <w:rPr>
          <w:lang w:val="es-ES"/>
        </w:rPr>
      </w:pPr>
      <w:r>
        <w:rPr>
          <w:rFonts w:ascii="Calibri" w:hAnsi="Calibri" w:eastAsia="Calibri" w:cs="Calibri"/>
          <w:color w:val="000000"/>
          <w:sz w:val="21"/>
          <w:szCs w:val="21"/>
          <w:lang w:val="es-ES"/>
        </w:rPr>
        <w:t xml:space="preserve">Representación gráfica regida por el punto de vista PV-01. Leyenda declarada: el rectángulo representa una capa; la flecha continua indica una dependencia directa permitida; la flecha discontinua indica una dependencia mediada por un puerto abstracto, es decir, invertida. Obsérvese que la única flecha discontinua es la que va del dominio hacia la infraestructura: es la expresión gráfica del principio PA-01.</w:t>
      </w:r>
      <w:r>
        <w:rPr>
          <w:lang w:val="es-ES"/>
        </w:rPr>
      </w:r>
    </w:p>
    <w:p w14:paraId="0D1895CF">
      <w:pPr>
        <w:pBdr/>
        <w:spacing w:after="80" w:before="160"/>
        <w:ind/>
        <w:jc w:val="center"/>
        <w:rPr>
          <w:lang w:val="es-ES"/>
        </w:rPr>
      </w:pPr>
      <w:r>
        <w:rPr>
          <w:lang w:val="es-ES"/>
        </w:rPr>
        <mc:AlternateContent>
          <mc:Choice Requires="wpg">
            <w:drawing>
              <wp:inline xmlns:wp="http://schemas.openxmlformats.org/drawingml/2006/wordprocessingDrawing" distT="0" distB="0" distL="0" distR="0">
                <wp:extent cx="5905500" cy="3867150"/>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87966" name="" descr=""/>
                        <pic:cNvPicPr>
                          <a:picLocks noChangeAspect="1"/>
                        </pic:cNvPicPr>
                        <pic:nvPr/>
                      </pic:nvPicPr>
                      <pic:blipFill rotWithShape="1">
                        <a:blip r:embed="rId12"/>
                        <a:stretch/>
                      </pic:blipFill>
                      <pic:spPr bwMode="auto">
                        <a:xfrm>
                          <a:off x="0" y="0"/>
                          <a:ext cx="5905499" cy="38671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5.00pt;height:304.50pt;mso-wrap-distance-left:0.00pt;mso-wrap-distance-top:0.00pt;mso-wrap-distance-right:0.00pt;mso-wrap-distance-bottom:0.00pt;z-index:1;" stroked="false">
                <v:imagedata r:id="rId12" o:title=""/>
                <o:lock v:ext="edit" rotation="t"/>
              </v:shape>
            </w:pict>
          </mc:Fallback>
        </mc:AlternateContent>
      </w:r>
    </w:p>
    <w:p w14:paraId="77A25EC2">
      <w:pPr>
        <w:pBdr/>
        <w:spacing w:after="240"/>
        <w:ind/>
        <w:jc w:val="center"/>
        <w:rPr>
          <w:lang w:val="es-ES"/>
        </w:rPr>
      </w:pPr>
      <w:r>
        <w:rPr>
          <w:rFonts w:ascii="Calibri" w:hAnsi="Calibri" w:eastAsia="Calibri" w:cs="Calibri"/>
          <w:i/>
          <w:iCs/>
          <w:color w:val="595959"/>
          <w:sz w:val="17"/>
          <w:szCs w:val="17"/>
          <w:lang w:val="es-ES"/>
        </w:rPr>
        <w:t xml:space="preserve">Figura A.1 — Organización en cuatro capas con inversión de dependencias entre el dominio y la infraestructura.</w:t>
      </w:r>
      <w:r>
        <w:rPr>
          <w:lang w:val="es-ES"/>
        </w:rPr>
      </w:r>
    </w:p>
    <w:p w14:paraId="76ED340B">
      <w:pPr>
        <w:pStyle w:val="904"/>
        <w:keepNext w:val="true"/>
        <w:pageBreakBefore w:val="true"/>
        <w:pBdr/>
        <w:spacing w:after="140" w:before="280"/>
        <w:ind/>
        <w:rPr>
          <w:lang w:val="es-ES"/>
        </w:rPr>
      </w:pPr>
      <w:r/>
      <w:bookmarkStart w:id="50" w:name="_Toc50"/>
      <w:r>
        <w:rPr>
          <w:rFonts w:ascii="Calibri" w:hAnsi="Calibri" w:eastAsia="Calibri" w:cs="Calibri"/>
          <w:b/>
          <w:bCs/>
          <w:color w:val="2e5496"/>
          <w:sz w:val="25"/>
          <w:szCs w:val="25"/>
          <w:lang w:val="es-ES"/>
        </w:rPr>
        <w:t xml:space="preserve">Anexo B — Vista de módulos y flujos (V-02)</w:t>
      </w:r>
      <w:r/>
      <w:bookmarkEnd w:id="50"/>
      <w:r/>
      <w:r>
        <w:rPr>
          <w:lang w:val="es-ES"/>
        </w:rPr>
      </w:r>
    </w:p>
    <w:p w14:paraId="2338A644">
      <w:pPr>
        <w:pBdr/>
        <w:spacing w:after="140" w:line="276" w:lineRule="auto"/>
        <w:ind/>
        <w:jc w:val="both"/>
        <w:rPr>
          <w:lang w:val="es-ES"/>
        </w:rPr>
      </w:pPr>
      <w:r>
        <w:rPr>
          <w:rFonts w:ascii="Calibri" w:hAnsi="Calibri" w:eastAsia="Calibri" w:cs="Calibri"/>
          <w:color w:val="000000"/>
          <w:sz w:val="21"/>
          <w:szCs w:val="21"/>
          <w:lang w:val="es-ES"/>
        </w:rPr>
        <w:t xml:space="preserve">Representación gráfica regida por el punto de vista PV-02. Los nueve módulos de dominio conservan la división en módulos mutuamente excluyentes ya establecida en el catálogo de requisitos. Las flechas que parten de los módulos hacia el bus de eventos representan publicaciones asíncronas conforme al principio PA-03; la línea discontinua indica acceso de solo lectura.</w:t>
      </w:r>
      <w:r>
        <w:rPr>
          <w:lang w:val="es-ES"/>
        </w:rPr>
      </w:r>
    </w:p>
    <w:p w14:paraId="392C3CD9">
      <w:pPr>
        <w:pBdr/>
        <w:spacing w:after="80" w:before="160"/>
        <w:ind/>
        <w:jc w:val="center"/>
        <w:rPr>
          <w:lang w:val="es-ES"/>
        </w:rPr>
      </w:pPr>
      <w:r>
        <w:rPr>
          <w:lang w:val="es-ES"/>
        </w:rPr>
        <mc:AlternateContent>
          <mc:Choice Requires="wpg">
            <w:drawing>
              <wp:inline xmlns:wp="http://schemas.openxmlformats.org/drawingml/2006/wordprocessingDrawing" distT="0" distB="0" distL="0" distR="0">
                <wp:extent cx="5334000" cy="4781550"/>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307947" name="" descr=""/>
                        <pic:cNvPicPr>
                          <a:picLocks noChangeAspect="1"/>
                        </pic:cNvPicPr>
                        <pic:nvPr/>
                      </pic:nvPicPr>
                      <pic:blipFill rotWithShape="1">
                        <a:blip r:embed="rId13"/>
                        <a:stretch/>
                      </pic:blipFill>
                      <pic:spPr bwMode="auto">
                        <a:xfrm>
                          <a:off x="0" y="0"/>
                          <a:ext cx="5333999" cy="47815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20.00pt;height:376.50pt;mso-wrap-distance-left:0.00pt;mso-wrap-distance-top:0.00pt;mso-wrap-distance-right:0.00pt;mso-wrap-distance-bottom:0.00pt;z-index:1;" stroked="false">
                <v:imagedata r:id="rId13" o:title=""/>
                <o:lock v:ext="edit" rotation="t"/>
              </v:shape>
            </w:pict>
          </mc:Fallback>
        </mc:AlternateContent>
      </w:r>
    </w:p>
    <w:p w14:paraId="01D3439A">
      <w:pPr>
        <w:pBdr/>
        <w:spacing w:after="240"/>
        <w:ind/>
        <w:jc w:val="center"/>
        <w:rPr>
          <w:lang w:val="es-ES"/>
        </w:rPr>
      </w:pPr>
      <w:r>
        <w:rPr>
          <w:rFonts w:ascii="Calibri" w:hAnsi="Calibri" w:eastAsia="Calibri" w:cs="Calibri"/>
          <w:i/>
          <w:iCs/>
          <w:color w:val="595959"/>
          <w:sz w:val="17"/>
          <w:szCs w:val="17"/>
          <w:lang w:val="es-ES"/>
        </w:rPr>
        <w:t xml:space="preserve">Figura B.1 — Módulos de dominio, bus de eventos con bandeja de salida transaccional y proceso trabajador asíncrono.</w:t>
      </w:r>
      <w:r>
        <w:rPr>
          <w:lang w:val="es-ES"/>
        </w:rPr>
      </w:r>
    </w:p>
    <w:p w14:paraId="7179BB73">
      <w:pPr>
        <w:pStyle w:val="904"/>
        <w:keepNext w:val="true"/>
        <w:pageBreakBefore w:val="true"/>
        <w:pBdr/>
        <w:spacing w:after="140" w:before="280"/>
        <w:ind/>
        <w:rPr>
          <w:lang w:val="es-ES"/>
        </w:rPr>
      </w:pPr>
      <w:r/>
      <w:bookmarkStart w:id="51" w:name="_Toc51"/>
      <w:r>
        <w:rPr>
          <w:rFonts w:ascii="Calibri" w:hAnsi="Calibri" w:eastAsia="Calibri" w:cs="Calibri"/>
          <w:b/>
          <w:bCs/>
          <w:color w:val="2e5496"/>
          <w:sz w:val="25"/>
          <w:szCs w:val="25"/>
          <w:lang w:val="es-ES"/>
        </w:rPr>
        <w:t xml:space="preserve">Anexo C — Vista de despliegue e infraestructura (V-04)</w:t>
      </w:r>
      <w:r/>
      <w:bookmarkEnd w:id="51"/>
      <w:r/>
      <w:r>
        <w:rPr>
          <w:lang w:val="es-ES"/>
        </w:rPr>
      </w:r>
    </w:p>
    <w:p w14:paraId="1F9169DE">
      <w:pPr>
        <w:pBdr/>
        <w:spacing w:after="140" w:line="276" w:lineRule="auto"/>
        <w:ind/>
        <w:jc w:val="both"/>
        <w:rPr>
          <w:lang w:val="es-ES"/>
        </w:rPr>
      </w:pPr>
      <w:r>
        <w:rPr>
          <w:rFonts w:ascii="Calibri" w:hAnsi="Calibri" w:eastAsia="Calibri" w:cs="Calibri"/>
          <w:color w:val="000000"/>
          <w:sz w:val="21"/>
          <w:szCs w:val="21"/>
          <w:lang w:val="es-ES"/>
        </w:rPr>
        <w:t xml:space="preserve">Representación gráfica regida por el punto de vista PV-04. Leyenda declarada: el rectángulo representa un nodo de ejecución; el cilindro, un almacenamiento persistente; la línea discontinua, un canal de solo lectura; el borde discontinuo, un elemento que se incorpora bajo demanda. La instancia N ilustra el escalamiento horizontal exigido por RNF-05.</w:t>
      </w:r>
      <w:r>
        <w:rPr>
          <w:lang w:val="es-ES"/>
        </w:rPr>
      </w:r>
    </w:p>
    <w:p w14:paraId="7458F935">
      <w:pPr>
        <w:pBdr/>
        <w:spacing w:after="80" w:before="160"/>
        <w:ind/>
        <w:jc w:val="center"/>
        <w:rPr>
          <w:lang w:val="es-ES"/>
        </w:rPr>
      </w:pPr>
      <w:r>
        <w:rPr>
          <w:lang w:val="es-ES"/>
        </w:rPr>
        <mc:AlternateContent>
          <mc:Choice Requires="wpg">
            <w:drawing>
              <wp:inline xmlns:wp="http://schemas.openxmlformats.org/drawingml/2006/wordprocessingDrawing" distT="0" distB="0" distL="0" distR="0">
                <wp:extent cx="4953000" cy="4733925"/>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3775" name="" descr=""/>
                        <pic:cNvPicPr>
                          <a:picLocks noChangeAspect="1"/>
                        </pic:cNvPicPr>
                        <pic:nvPr/>
                      </pic:nvPicPr>
                      <pic:blipFill rotWithShape="1">
                        <a:blip r:embed="rId14"/>
                        <a:stretch/>
                      </pic:blipFill>
                      <pic:spPr bwMode="auto">
                        <a:xfrm>
                          <a:off x="0" y="0"/>
                          <a:ext cx="4952999" cy="47339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390.00pt;height:372.75pt;mso-wrap-distance-left:0.00pt;mso-wrap-distance-top:0.00pt;mso-wrap-distance-right:0.00pt;mso-wrap-distance-bottom:0.00pt;z-index:1;" stroked="false">
                <v:imagedata r:id="rId14" o:title=""/>
                <o:lock v:ext="edit" rotation="t"/>
              </v:shape>
            </w:pict>
          </mc:Fallback>
        </mc:AlternateContent>
      </w:r>
    </w:p>
    <w:p w14:paraId="74E7332C">
      <w:pPr>
        <w:pBdr/>
        <w:spacing w:after="240"/>
        <w:ind/>
        <w:jc w:val="center"/>
        <w:rPr>
          <w:lang w:val="es-ES"/>
        </w:rPr>
      </w:pPr>
      <w:r>
        <w:rPr>
          <w:rFonts w:ascii="Calibri" w:hAnsi="Calibri" w:eastAsia="Calibri" w:cs="Calibri"/>
          <w:i/>
          <w:iCs/>
          <w:color w:val="595959"/>
          <w:sz w:val="17"/>
          <w:szCs w:val="17"/>
          <w:lang w:val="es-ES"/>
        </w:rPr>
        <w:t xml:space="preserve">Figura C.1 — Topología de despliegue con instancias sin estado, réplica de lectura y proceso trabajador separado.</w:t>
      </w:r>
      <w:r>
        <w:rPr>
          <w:lang w:val="es-ES"/>
        </w:rPr>
      </w:r>
    </w:p>
    <w:p w14:paraId="1557CCC3">
      <w:pPr>
        <w:pStyle w:val="904"/>
        <w:keepNext w:val="true"/>
        <w:pageBreakBefore w:val="true"/>
        <w:pBdr/>
        <w:spacing w:after="140" w:before="280"/>
        <w:ind/>
        <w:rPr>
          <w:lang w:val="es-ES"/>
        </w:rPr>
      </w:pPr>
      <w:r/>
      <w:bookmarkStart w:id="52" w:name="_Toc52"/>
      <w:r>
        <w:rPr>
          <w:rFonts w:ascii="Calibri" w:hAnsi="Calibri" w:eastAsia="Calibri" w:cs="Calibri"/>
          <w:b/>
          <w:bCs/>
          <w:color w:val="2e5496"/>
          <w:sz w:val="25"/>
          <w:szCs w:val="25"/>
          <w:lang w:val="es-ES"/>
        </w:rPr>
        <w:t xml:space="preserve">Anexo D — Vista de escenarios: emisión de una cotización (V-05)</w:t>
      </w:r>
      <w:r/>
      <w:bookmarkEnd w:id="52"/>
      <w:r/>
      <w:r>
        <w:rPr>
          <w:lang w:val="es-ES"/>
        </w:rPr>
      </w:r>
    </w:p>
    <w:p w14:paraId="761B942F">
      <w:pPr>
        <w:pBdr/>
        <w:spacing w:after="140" w:line="276" w:lineRule="auto"/>
        <w:ind/>
        <w:jc w:val="both"/>
        <w:rPr>
          <w:lang w:val="es-ES"/>
        </w:rPr>
      </w:pPr>
      <w:r>
        <w:rPr>
          <w:rFonts w:ascii="Calibri" w:hAnsi="Calibri" w:eastAsia="Calibri" w:cs="Calibri"/>
          <w:color w:val="000000"/>
          <w:sz w:val="21"/>
          <w:szCs w:val="21"/>
          <w:lang w:val="es-ES"/>
        </w:rPr>
        <w:t xml:space="preserve">Representación gráfica regida por el punto de vista PV-05. Leyenda declarada: la línea vertical discontinua es la línea de vida de un participante; el rectángulo estrecho superpuesto indica activación; la flecha continua es una invocación y la discontinua una respuesta o retorno. La línea horizontal ámbar marca la frontera asíncrona: todo lo que ocurre por debajo de ella sucede cuando el usuario ya ha recibido su respuesta.</w:t>
      </w:r>
      <w:r>
        <w:rPr>
          <w:lang w:val="es-ES"/>
        </w:rPr>
      </w:r>
    </w:p>
    <w:p w14:paraId="27446C88">
      <w:pPr>
        <w:pBdr/>
        <w:spacing w:after="80" w:before="160"/>
        <w:ind/>
        <w:jc w:val="center"/>
        <w:rPr>
          <w:lang w:val="es-ES"/>
        </w:rPr>
      </w:pPr>
      <w:r>
        <w:rPr>
          <w:lang w:val="es-ES"/>
        </w:rPr>
        <mc:AlternateContent>
          <mc:Choice Requires="wpg">
            <w:drawing>
              <wp:inline xmlns:wp="http://schemas.openxmlformats.org/drawingml/2006/wordprocessingDrawing" distT="0" distB="0" distL="0" distR="0">
                <wp:extent cx="5943600" cy="3590925"/>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38704" name="" descr=""/>
                        <pic:cNvPicPr>
                          <a:picLocks noChangeAspect="1"/>
                        </pic:cNvPicPr>
                        <pic:nvPr/>
                      </pic:nvPicPr>
                      <pic:blipFill rotWithShape="1">
                        <a:blip r:embed="rId15"/>
                        <a:stretch/>
                      </pic:blipFill>
                      <pic:spPr bwMode="auto">
                        <a:xfrm>
                          <a:off x="0" y="0"/>
                          <a:ext cx="5943600" cy="35909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8.00pt;height:282.75pt;mso-wrap-distance-left:0.00pt;mso-wrap-distance-top:0.00pt;mso-wrap-distance-right:0.00pt;mso-wrap-distance-bottom:0.00pt;z-index:1;" stroked="false">
                <v:imagedata r:id="rId15" o:title=""/>
                <o:lock v:ext="edit" rotation="t"/>
              </v:shape>
            </w:pict>
          </mc:Fallback>
        </mc:AlternateContent>
      </w:r>
    </w:p>
    <w:p w14:paraId="6605A293">
      <w:pPr>
        <w:pBdr/>
        <w:spacing w:after="240"/>
        <w:ind/>
        <w:jc w:val="center"/>
        <w:rPr>
          <w:lang w:val="es-ES"/>
        </w:rPr>
      </w:pPr>
      <w:r>
        <w:rPr>
          <w:rFonts w:ascii="Calibri" w:hAnsi="Calibri" w:eastAsia="Calibri" w:cs="Calibri"/>
          <w:i/>
          <w:iCs/>
          <w:color w:val="595959"/>
          <w:sz w:val="17"/>
          <w:szCs w:val="17"/>
          <w:lang w:val="es-ES"/>
        </w:rPr>
        <w:t xml:space="preserve">Figura D.1 — Escenario de emisión de cotización, desde la petición HTTP hasta la notificación externa.</w:t>
      </w:r>
      <w:r>
        <w:rPr>
          <w:lang w:val="es-ES"/>
        </w:rPr>
      </w:r>
    </w:p>
    <w:p w14:paraId="359E36A8">
      <w:pPr>
        <w:pStyle w:val="904"/>
        <w:keepNext w:val="true"/>
        <w:pageBreakBefore w:val="true"/>
        <w:pBdr/>
        <w:spacing w:after="140" w:before="280"/>
        <w:ind/>
        <w:rPr>
          <w:lang w:val="es-ES"/>
        </w:rPr>
      </w:pPr>
      <w:r/>
      <w:bookmarkStart w:id="53" w:name="_Toc53"/>
      <w:r>
        <w:rPr>
          <w:rFonts w:ascii="Calibri" w:hAnsi="Calibri" w:eastAsia="Calibri" w:cs="Calibri"/>
          <w:b/>
          <w:bCs/>
          <w:color w:val="2e5496"/>
          <w:sz w:val="25"/>
          <w:szCs w:val="25"/>
          <w:lang w:val="es-ES"/>
        </w:rPr>
        <w:t xml:space="preserve">Anexo E — Descarte razonado de la taxonomía del SWEBOK v4</w:t>
      </w:r>
      <w:r/>
      <w:bookmarkEnd w:id="53"/>
      <w:r/>
      <w:r>
        <w:rPr>
          <w:lang w:val="es-ES"/>
        </w:rPr>
      </w:r>
    </w:p>
    <w:p w14:paraId="35EA6ACC">
      <w:pPr>
        <w:pBdr/>
        <w:spacing w:after="140" w:line="276" w:lineRule="auto"/>
        <w:ind/>
        <w:jc w:val="both"/>
        <w:rPr>
          <w:lang w:val="es-ES"/>
        </w:rPr>
      </w:pPr>
      <w:r>
        <w:rPr>
          <w:rFonts w:ascii="Calibri" w:hAnsi="Calibri" w:eastAsia="Calibri" w:cs="Calibri"/>
          <w:color w:val="000000"/>
          <w:sz w:val="21"/>
          <w:szCs w:val="21"/>
          <w:lang w:val="es-ES"/>
        </w:rPr>
        <w:t xml:space="preserve">El Capítulo 02 del SWEBOK v4.0a documenta alrededor de sesenta arquitecturas agrupadas en ocho categorías. Antes de formular las tres alternativas de la sección 2.6, el equipo recorrió la taxonomía completa y descartó por categorías, con el fin de evitar el sesgo de considerar únicamente los estilos que ya conocía. El registro de ese descarte se incluye porque, conforme al SWEBOK, documentar lo rechazado y su motivo es el activo de mayor valor de una descripción arquitectónica.</w:t>
      </w:r>
      <w:r>
        <w:rPr>
          <w:lang w:val="es-ES"/>
        </w:rPr>
      </w:r>
    </w:p>
    <w:tbl>
      <w:tblPr>
        <w:tblW w:w="9360" w:type="dxa"/>
        <w:tblBorders>
          <w:top w:val="single" w:color="8ea9db" w:sz="4" w:space="0"/>
          <w:left w:val="single" w:color="8ea9db" w:sz="4" w:space="0"/>
          <w:bottom w:val="single" w:color="8ea9db" w:sz="4" w:space="0"/>
          <w:right w:val="single" w:color="8ea9db" w:sz="4" w:space="0"/>
          <w:insideH w:val="single" w:color="b4c6e7" w:sz="2" w:space="0"/>
          <w:insideV w:val="single" w:color="b4c6e7" w:sz="2" w:space="0"/>
        </w:tblBorders>
        <w:tblLook w:val="04A0" w:firstRow="1" w:lastRow="0" w:firstColumn="1" w:lastColumn="0" w:noHBand="0" w:noVBand="1"/>
      </w:tblPr>
      <w:tblGrid>
        <w:gridCol w:w="1591"/>
        <w:gridCol w:w="2434"/>
        <w:gridCol w:w="5335"/>
      </w:tblGrid>
      <w:tr>
        <w:trPr>
          <w:cantSplit w:val="false"/>
          <w:tblHeader/>
        </w:trPr>
        <w:tc>
          <w:tcPr>
            <w:shd w:val="clear" w:color="ffffff" w:fill="d9e2f3"/>
            <w:tcBorders/>
            <w:tcMar>
              <w:left w:w="90" w:type="dxa"/>
              <w:top w:w="60" w:type="dxa"/>
              <w:right w:w="90" w:type="dxa"/>
              <w:bottom w:w="60" w:type="dxa"/>
            </w:tcMar>
            <w:tcW w:w="1591" w:type="dxa"/>
            <w:vAlign w:val="center"/>
          </w:tcPr>
          <w:p w14:paraId="3AEB80D3">
            <w:pPr>
              <w:pBdr/>
              <w:spacing w:after="40" w:before="40" w:line="240" w:lineRule="auto"/>
              <w:ind/>
              <w:jc w:val="left"/>
              <w:rPr>
                <w:lang w:val="es-ES"/>
              </w:rPr>
            </w:pPr>
            <w:r>
              <w:rPr>
                <w:rFonts w:ascii="Calibri" w:hAnsi="Calibri" w:eastAsia="Calibri" w:cs="Calibri"/>
                <w:b/>
                <w:bCs/>
                <w:color w:val="1f3864"/>
                <w:sz w:val="16"/>
                <w:szCs w:val="16"/>
                <w:lang w:val="es-ES"/>
              </w:rPr>
              <w:t xml:space="preserve">Categoría de la taxonomía</w:t>
            </w:r>
            <w:r>
              <w:rPr>
                <w:lang w:val="es-ES"/>
              </w:rPr>
            </w:r>
          </w:p>
        </w:tc>
        <w:tc>
          <w:tcPr>
            <w:shd w:val="clear" w:color="ffffff" w:fill="d9e2f3"/>
            <w:tcBorders/>
            <w:tcMar>
              <w:left w:w="90" w:type="dxa"/>
              <w:top w:w="60" w:type="dxa"/>
              <w:right w:w="90" w:type="dxa"/>
              <w:bottom w:w="60" w:type="dxa"/>
            </w:tcMar>
            <w:tcW w:w="2434" w:type="dxa"/>
            <w:vAlign w:val="center"/>
          </w:tcPr>
          <w:p w14:paraId="10A92EF3">
            <w:pPr>
              <w:pBdr/>
              <w:spacing w:after="40" w:before="40" w:line="240" w:lineRule="auto"/>
              <w:ind/>
              <w:jc w:val="left"/>
              <w:rPr>
                <w:lang w:val="es-ES"/>
              </w:rPr>
            </w:pPr>
            <w:r>
              <w:rPr>
                <w:rFonts w:ascii="Calibri" w:hAnsi="Calibri" w:eastAsia="Calibri" w:cs="Calibri"/>
                <w:b/>
                <w:bCs/>
                <w:color w:val="1f3864"/>
                <w:sz w:val="16"/>
                <w:szCs w:val="16"/>
                <w:lang w:val="es-ES"/>
              </w:rPr>
              <w:t xml:space="preserve">Candidatas examinadas</w:t>
            </w:r>
            <w:r>
              <w:rPr>
                <w:lang w:val="es-ES"/>
              </w:rPr>
            </w:r>
          </w:p>
        </w:tc>
        <w:tc>
          <w:tcPr>
            <w:shd w:val="clear" w:color="ffffff" w:fill="d9e2f3"/>
            <w:tcBorders/>
            <w:tcMar>
              <w:left w:w="90" w:type="dxa"/>
              <w:top w:w="60" w:type="dxa"/>
              <w:right w:w="90" w:type="dxa"/>
              <w:bottom w:w="60" w:type="dxa"/>
            </w:tcMar>
            <w:tcW w:w="5335" w:type="dxa"/>
            <w:vAlign w:val="center"/>
          </w:tcPr>
          <w:p w14:paraId="11FEA455">
            <w:pPr>
              <w:pBdr/>
              <w:spacing w:after="40" w:before="40" w:line="240" w:lineRule="auto"/>
              <w:ind/>
              <w:jc w:val="left"/>
              <w:rPr>
                <w:lang w:val="es-ES"/>
              </w:rPr>
            </w:pPr>
            <w:r>
              <w:rPr>
                <w:rFonts w:ascii="Calibri" w:hAnsi="Calibri" w:eastAsia="Calibri" w:cs="Calibri"/>
                <w:b/>
                <w:bCs/>
                <w:color w:val="1f3864"/>
                <w:sz w:val="16"/>
                <w:szCs w:val="16"/>
                <w:lang w:val="es-ES"/>
              </w:rPr>
              <w:t xml:space="preserve">Resolución y motivo</w:t>
            </w:r>
            <w:r>
              <w:rPr>
                <w:lang w:val="es-ES"/>
              </w:rPr>
            </w:r>
          </w:p>
        </w:tc>
      </w:tr>
      <w:tr>
        <w:trPr>
          <w:cantSplit w:val="false"/>
        </w:trPr>
        <w:tc>
          <w:tcPr>
            <w:shd w:val="clear" w:color="ffffff" w:fill="ffffff"/>
            <w:tcBorders/>
            <w:tcMar>
              <w:left w:w="90" w:type="dxa"/>
              <w:top w:w="60" w:type="dxa"/>
              <w:right w:w="90" w:type="dxa"/>
              <w:bottom w:w="60" w:type="dxa"/>
            </w:tcMar>
            <w:tcW w:w="1591" w:type="dxa"/>
            <w:vAlign w:val="center"/>
          </w:tcPr>
          <w:p w14:paraId="141377D0">
            <w:pPr>
              <w:pBdr/>
              <w:spacing w:after="40" w:before="40" w:line="240" w:lineRule="auto"/>
              <w:ind/>
              <w:jc w:val="left"/>
              <w:rPr>
                <w:lang w:val="es-ES"/>
              </w:rPr>
            </w:pPr>
            <w:r>
              <w:rPr>
                <w:rFonts w:ascii="Calibri" w:hAnsi="Calibri" w:eastAsia="Calibri" w:cs="Calibri"/>
                <w:b/>
                <w:bCs/>
                <w:color w:val="000000"/>
                <w:sz w:val="16"/>
                <w:szCs w:val="16"/>
                <w:lang w:val="es-ES"/>
              </w:rPr>
              <w:t xml:space="preserve">01 Estructuras generales</w:t>
            </w:r>
            <w:r>
              <w:rPr>
                <w:lang w:val="es-ES"/>
              </w:rPr>
            </w:r>
          </w:p>
        </w:tc>
        <w:tc>
          <w:tcPr>
            <w:shd w:val="clear" w:color="ffffff" w:fill="ffffff"/>
            <w:tcBorders/>
            <w:tcMar>
              <w:left w:w="90" w:type="dxa"/>
              <w:top w:w="60" w:type="dxa"/>
              <w:right w:w="90" w:type="dxa"/>
              <w:bottom w:w="60" w:type="dxa"/>
            </w:tcMar>
            <w:tcW w:w="2434" w:type="dxa"/>
            <w:vAlign w:val="center"/>
          </w:tcPr>
          <w:p w14:paraId="28071C2F">
            <w:pPr>
              <w:pBdr/>
              <w:spacing w:after="40" w:before="40" w:line="240" w:lineRule="auto"/>
              <w:ind/>
              <w:jc w:val="left"/>
              <w:rPr>
                <w:lang w:val="es-ES"/>
              </w:rPr>
            </w:pPr>
            <w:r>
              <w:rPr>
                <w:rFonts w:ascii="Calibri" w:hAnsi="Calibri" w:eastAsia="Calibri" w:cs="Calibri"/>
                <w:b w:val="0"/>
                <w:bCs w:val="0"/>
                <w:color w:val="000000"/>
                <w:sz w:val="16"/>
                <w:szCs w:val="16"/>
                <w:lang w:val="es-ES"/>
              </w:rPr>
              <w:t xml:space="preserve">Capas, llamada-retorno, tuberías y filtros, pizarrón, SOA, microservicios, monolítica.</w:t>
            </w:r>
            <w:r>
              <w:rPr>
                <w:lang w:val="es-ES"/>
              </w:rPr>
            </w:r>
          </w:p>
        </w:tc>
        <w:tc>
          <w:tcPr>
            <w:shd w:val="clear" w:color="ffffff" w:fill="ffffff"/>
            <w:tcBorders/>
            <w:tcMar>
              <w:left w:w="90" w:type="dxa"/>
              <w:top w:w="60" w:type="dxa"/>
              <w:right w:w="90" w:type="dxa"/>
              <w:bottom w:w="60" w:type="dxa"/>
            </w:tcMar>
            <w:tcW w:w="5335" w:type="dxa"/>
            <w:vAlign w:val="center"/>
          </w:tcPr>
          <w:p w14:paraId="1FCBC230">
            <w:pPr>
              <w:pBdr/>
              <w:spacing w:after="40" w:before="40" w:line="240" w:lineRule="auto"/>
              <w:ind/>
              <w:jc w:val="left"/>
              <w:rPr>
                <w:lang w:val="es-ES"/>
              </w:rPr>
            </w:pPr>
            <w:r>
              <w:rPr>
                <w:rFonts w:ascii="Calibri" w:hAnsi="Calibri" w:eastAsia="Calibri" w:cs="Calibri"/>
                <w:b w:val="0"/>
                <w:bCs w:val="0"/>
                <w:color w:val="000000"/>
                <w:sz w:val="16"/>
                <w:szCs w:val="16"/>
                <w:lang w:val="es-ES"/>
              </w:rPr>
              <w:t xml:space="preserve">Retenidas: capas (base de las opciones A y B), monolítica y microservicios (opción C). Descartadas: tuberías y filtros, por tratarse de un sistema transaccional interactivo y no de un flujo de transformación de datos; pizarrón, por ausencia de agentes de inferencia; llamada-retorno, por insuficiente para gobernar la estructura global.</w:t>
            </w:r>
            <w:r>
              <w:rPr>
                <w:lang w:val="es-ES"/>
              </w:rPr>
            </w:r>
          </w:p>
        </w:tc>
      </w:tr>
      <w:tr>
        <w:trPr>
          <w:cantSplit w:val="false"/>
        </w:trPr>
        <w:tc>
          <w:tcPr>
            <w:shd w:val="clear" w:color="ffffff" w:fill="f2f5fa"/>
            <w:tcBorders/>
            <w:tcMar>
              <w:left w:w="90" w:type="dxa"/>
              <w:top w:w="60" w:type="dxa"/>
              <w:right w:w="90" w:type="dxa"/>
              <w:bottom w:w="60" w:type="dxa"/>
            </w:tcMar>
            <w:tcW w:w="1591" w:type="dxa"/>
            <w:vAlign w:val="center"/>
          </w:tcPr>
          <w:p w14:paraId="7C88FC52">
            <w:pPr>
              <w:pBdr/>
              <w:spacing w:after="40" w:before="40" w:line="240" w:lineRule="auto"/>
              <w:ind/>
              <w:jc w:val="left"/>
              <w:rPr>
                <w:lang w:val="es-ES"/>
              </w:rPr>
            </w:pPr>
            <w:r>
              <w:rPr>
                <w:rFonts w:ascii="Calibri" w:hAnsi="Calibri" w:eastAsia="Calibri" w:cs="Calibri"/>
                <w:b/>
                <w:bCs/>
                <w:color w:val="000000"/>
                <w:sz w:val="16"/>
                <w:szCs w:val="16"/>
                <w:lang w:val="es-ES"/>
              </w:rPr>
              <w:t xml:space="preserve">02 Sistemas distribuidos</w:t>
            </w:r>
            <w:r>
              <w:rPr>
                <w:lang w:val="es-ES"/>
              </w:rPr>
            </w:r>
          </w:p>
        </w:tc>
        <w:tc>
          <w:tcPr>
            <w:shd w:val="clear" w:color="ffffff" w:fill="f2f5fa"/>
            <w:tcBorders/>
            <w:tcMar>
              <w:left w:w="90" w:type="dxa"/>
              <w:top w:w="60" w:type="dxa"/>
              <w:right w:w="90" w:type="dxa"/>
              <w:bottom w:w="60" w:type="dxa"/>
            </w:tcMar>
            <w:tcW w:w="2434" w:type="dxa"/>
            <w:vAlign w:val="center"/>
          </w:tcPr>
          <w:p w14:paraId="53CBEFD2">
            <w:pPr>
              <w:pBdr/>
              <w:spacing w:after="40" w:before="40" w:line="240" w:lineRule="auto"/>
              <w:ind/>
              <w:jc w:val="left"/>
              <w:rPr>
                <w:lang w:val="es-ES"/>
              </w:rPr>
            </w:pPr>
            <w:r>
              <w:rPr>
                <w:rFonts w:ascii="Calibri" w:hAnsi="Calibri" w:eastAsia="Calibri" w:cs="Calibri"/>
                <w:b w:val="0"/>
                <w:bCs w:val="0"/>
                <w:color w:val="000000"/>
                <w:sz w:val="16"/>
                <w:szCs w:val="16"/>
                <w:lang w:val="es-ES"/>
              </w:rPr>
              <w:t xml:space="preserve">Cliente-servidor, n-capas, broker, publicación-suscripción, punto a punto, REST, sin servidor, orientada a eventos, espacio de tuplas.</w:t>
            </w:r>
            <w:r>
              <w:rPr>
                <w:lang w:val="es-ES"/>
              </w:rPr>
            </w:r>
          </w:p>
        </w:tc>
        <w:tc>
          <w:tcPr>
            <w:shd w:val="clear" w:color="ffffff" w:fill="f2f5fa"/>
            <w:tcBorders/>
            <w:tcMar>
              <w:left w:w="90" w:type="dxa"/>
              <w:top w:w="60" w:type="dxa"/>
              <w:right w:w="90" w:type="dxa"/>
              <w:bottom w:w="60" w:type="dxa"/>
            </w:tcMar>
            <w:tcW w:w="5335" w:type="dxa"/>
            <w:vAlign w:val="center"/>
          </w:tcPr>
          <w:p w14:paraId="2500FA65">
            <w:pPr>
              <w:pBdr/>
              <w:spacing w:after="40" w:before="40" w:line="240" w:lineRule="auto"/>
              <w:ind/>
              <w:jc w:val="left"/>
              <w:rPr>
                <w:lang w:val="es-ES"/>
              </w:rPr>
            </w:pPr>
            <w:r>
              <w:rPr>
                <w:rFonts w:ascii="Calibri" w:hAnsi="Calibri" w:eastAsia="Calibri" w:cs="Calibri"/>
                <w:b w:val="0"/>
                <w:bCs w:val="0"/>
                <w:color w:val="000000"/>
                <w:sz w:val="16"/>
                <w:szCs w:val="16"/>
                <w:lang w:val="es-ES"/>
              </w:rPr>
              <w:t xml:space="preserve">Retenidas: cliente-servidor y REST como estilo de interacción de la opción B; publicación-suscripción en su forma interna para los eventos de dominio. Descartadas: punto a punto y espacio de tuplas, por ausencia de simetría entre nodos; broker, por complejidad desproporcionada; sin servidor y orientada a eventos en sentido pleno, por introducir arranques en frío y consistencia eventual generalizada que un sistema de negociación comercial no tolera bien.</w:t>
            </w:r>
            <w:r>
              <w:rPr>
                <w:lang w:val="es-ES"/>
              </w:rPr>
            </w:r>
          </w:p>
        </w:tc>
      </w:tr>
      <w:tr>
        <w:trPr>
          <w:cantSplit w:val="false"/>
        </w:trPr>
        <w:tc>
          <w:tcPr>
            <w:shd w:val="clear" w:color="ffffff" w:fill="ffffff"/>
            <w:tcBorders/>
            <w:tcMar>
              <w:left w:w="90" w:type="dxa"/>
              <w:top w:w="60" w:type="dxa"/>
              <w:right w:w="90" w:type="dxa"/>
              <w:bottom w:w="60" w:type="dxa"/>
            </w:tcMar>
            <w:tcW w:w="1591" w:type="dxa"/>
            <w:vAlign w:val="center"/>
          </w:tcPr>
          <w:p w14:paraId="0BF6B646">
            <w:pPr>
              <w:pBdr/>
              <w:spacing w:after="40" w:before="40" w:line="240" w:lineRule="auto"/>
              <w:ind/>
              <w:jc w:val="left"/>
              <w:rPr>
                <w:lang w:val="es-ES"/>
              </w:rPr>
            </w:pPr>
            <w:r>
              <w:rPr>
                <w:rFonts w:ascii="Calibri" w:hAnsi="Calibri" w:eastAsia="Calibri" w:cs="Calibri"/>
                <w:b/>
                <w:bCs/>
                <w:color w:val="000000"/>
                <w:sz w:val="16"/>
                <w:szCs w:val="16"/>
                <w:lang w:val="es-ES"/>
              </w:rPr>
              <w:t xml:space="preserve">03 Orientados por método</w:t>
            </w:r>
            <w:r>
              <w:rPr>
                <w:lang w:val="es-ES"/>
              </w:rPr>
            </w:r>
          </w:p>
        </w:tc>
        <w:tc>
          <w:tcPr>
            <w:shd w:val="clear" w:color="ffffff" w:fill="ffffff"/>
            <w:tcBorders/>
            <w:tcMar>
              <w:left w:w="90" w:type="dxa"/>
              <w:top w:w="60" w:type="dxa"/>
              <w:right w:w="90" w:type="dxa"/>
              <w:bottom w:w="60" w:type="dxa"/>
            </w:tcMar>
            <w:tcW w:w="2434" w:type="dxa"/>
            <w:vAlign w:val="center"/>
          </w:tcPr>
          <w:p w14:paraId="6E3AB0A2">
            <w:pPr>
              <w:pBdr/>
              <w:spacing w:after="40" w:before="40" w:line="240" w:lineRule="auto"/>
              <w:ind/>
              <w:jc w:val="left"/>
              <w:rPr>
                <w:lang w:val="es-ES"/>
              </w:rPr>
            </w:pPr>
            <w:r>
              <w:rPr>
                <w:rFonts w:ascii="Calibri" w:hAnsi="Calibri" w:eastAsia="Calibri" w:cs="Calibri"/>
                <w:b w:val="0"/>
                <w:bCs w:val="0"/>
                <w:color w:val="000000"/>
                <w:sz w:val="16"/>
                <w:szCs w:val="16"/>
                <w:lang w:val="es-ES"/>
              </w:rPr>
              <w:t xml:space="preserve">Orientada a objetos, orientada a eventos, flujo de datos, funcional, basada en reglas.</w:t>
            </w:r>
            <w:r>
              <w:rPr>
                <w:lang w:val="es-ES"/>
              </w:rPr>
            </w:r>
          </w:p>
        </w:tc>
        <w:tc>
          <w:tcPr>
            <w:shd w:val="clear" w:color="ffffff" w:fill="ffffff"/>
            <w:tcBorders/>
            <w:tcMar>
              <w:left w:w="90" w:type="dxa"/>
              <w:top w:w="60" w:type="dxa"/>
              <w:right w:w="90" w:type="dxa"/>
              <w:bottom w:w="60" w:type="dxa"/>
            </w:tcMar>
            <w:tcW w:w="5335" w:type="dxa"/>
            <w:vAlign w:val="center"/>
          </w:tcPr>
          <w:p w14:paraId="2DBE082E">
            <w:pPr>
              <w:pBdr/>
              <w:spacing w:after="40" w:before="40" w:line="240" w:lineRule="auto"/>
              <w:ind/>
              <w:jc w:val="left"/>
              <w:rPr>
                <w:lang w:val="es-ES"/>
              </w:rPr>
            </w:pPr>
            <w:r>
              <w:rPr>
                <w:rFonts w:ascii="Calibri" w:hAnsi="Calibri" w:eastAsia="Calibri" w:cs="Calibri"/>
                <w:b w:val="0"/>
                <w:bCs w:val="0"/>
                <w:color w:val="000000"/>
                <w:sz w:val="16"/>
                <w:szCs w:val="16"/>
                <w:lang w:val="es-ES"/>
              </w:rPr>
              <w:t xml:space="preserve">Retenida: orientación a objetos como paradigma de implementación del núcleo de dominio. Descartadas: flujo de datos y funcional pura, por no corresponder al modelo de programación previsto; basada en reglas, por ausencia de un motor de inferencia necesario.</w:t>
            </w:r>
            <w:r>
              <w:rPr>
                <w:lang w:val="es-ES"/>
              </w:rPr>
            </w:r>
          </w:p>
        </w:tc>
      </w:tr>
      <w:tr>
        <w:trPr>
          <w:cantSplit w:val="false"/>
        </w:trPr>
        <w:tc>
          <w:tcPr>
            <w:shd w:val="clear" w:color="ffffff" w:fill="f2f5fa"/>
            <w:tcBorders/>
            <w:tcMar>
              <w:left w:w="90" w:type="dxa"/>
              <w:top w:w="60" w:type="dxa"/>
              <w:right w:w="90" w:type="dxa"/>
              <w:bottom w:w="60" w:type="dxa"/>
            </w:tcMar>
            <w:tcW w:w="1591" w:type="dxa"/>
            <w:vAlign w:val="center"/>
          </w:tcPr>
          <w:p w14:paraId="4D2784C9">
            <w:pPr>
              <w:pBdr/>
              <w:spacing w:after="40" w:before="40" w:line="240" w:lineRule="auto"/>
              <w:ind/>
              <w:jc w:val="left"/>
              <w:rPr>
                <w:lang w:val="es-ES"/>
              </w:rPr>
            </w:pPr>
            <w:r>
              <w:rPr>
                <w:rFonts w:ascii="Calibri" w:hAnsi="Calibri" w:eastAsia="Calibri" w:cs="Calibri"/>
                <w:b/>
                <w:bCs/>
                <w:color w:val="000000"/>
                <w:sz w:val="16"/>
                <w:szCs w:val="16"/>
                <w:lang w:val="es-ES"/>
              </w:rPr>
              <w:t xml:space="preserve">04 Interacción humano-computador</w:t>
            </w:r>
            <w:r>
              <w:rPr>
                <w:lang w:val="es-ES"/>
              </w:rPr>
            </w:r>
          </w:p>
        </w:tc>
        <w:tc>
          <w:tcPr>
            <w:shd w:val="clear" w:color="ffffff" w:fill="f2f5fa"/>
            <w:tcBorders/>
            <w:tcMar>
              <w:left w:w="90" w:type="dxa"/>
              <w:top w:w="60" w:type="dxa"/>
              <w:right w:w="90" w:type="dxa"/>
              <w:bottom w:w="60" w:type="dxa"/>
            </w:tcMar>
            <w:tcW w:w="2434" w:type="dxa"/>
            <w:vAlign w:val="center"/>
          </w:tcPr>
          <w:p w14:paraId="5568D8A8">
            <w:pPr>
              <w:pBdr/>
              <w:spacing w:after="40" w:before="40" w:line="240" w:lineRule="auto"/>
              <w:ind/>
              <w:jc w:val="left"/>
              <w:rPr>
                <w:lang w:val="es-ES"/>
              </w:rPr>
            </w:pPr>
            <w:r>
              <w:rPr>
                <w:rFonts w:ascii="Calibri" w:hAnsi="Calibri" w:eastAsia="Calibri" w:cs="Calibri"/>
                <w:b w:val="0"/>
                <w:bCs w:val="0"/>
                <w:color w:val="000000"/>
                <w:sz w:val="16"/>
                <w:szCs w:val="16"/>
                <w:lang w:val="es-ES"/>
              </w:rPr>
              <w:t xml:space="preserve">MVC, PAC, MVP, MVVM, hexagonal, cebolla, limpia.</w:t>
            </w:r>
            <w:r>
              <w:rPr>
                <w:lang w:val="es-ES"/>
              </w:rPr>
            </w:r>
          </w:p>
        </w:tc>
        <w:tc>
          <w:tcPr>
            <w:shd w:val="clear" w:color="ffffff" w:fill="f2f5fa"/>
            <w:tcBorders/>
            <w:tcMar>
              <w:left w:w="90" w:type="dxa"/>
              <w:top w:w="60" w:type="dxa"/>
              <w:right w:w="90" w:type="dxa"/>
              <w:bottom w:w="60" w:type="dxa"/>
            </w:tcMar>
            <w:tcW w:w="5335" w:type="dxa"/>
            <w:vAlign w:val="center"/>
          </w:tcPr>
          <w:p w14:paraId="3F2F61E4">
            <w:pPr>
              <w:pBdr/>
              <w:spacing w:after="40" w:before="40" w:line="240" w:lineRule="auto"/>
              <w:ind/>
              <w:jc w:val="left"/>
              <w:rPr>
                <w:lang w:val="es-ES"/>
              </w:rPr>
            </w:pPr>
            <w:r>
              <w:rPr>
                <w:rFonts w:ascii="Calibri" w:hAnsi="Calibri" w:eastAsia="Calibri" w:cs="Calibri"/>
                <w:b w:val="0"/>
                <w:bCs w:val="0"/>
                <w:color w:val="000000"/>
                <w:sz w:val="16"/>
                <w:szCs w:val="16"/>
                <w:lang w:val="es-ES"/>
              </w:rPr>
              <w:t xml:space="preserve">Retenidas: MVC en la opción A; hexagonal en la opción B. Cebolla y limpia se examinaron y se consideraron equivalentes a hexagonal en cuanto a la regla de dependencia hacia el interior; se optó por la denominación hexagonal por ser la que expresa con mayor claridad la noción de puerto. PAC, MVP y MVVM se descartaron por ser patrones de interfaz y no de organización global.</w:t>
            </w:r>
            <w:r>
              <w:rPr>
                <w:lang w:val="es-ES"/>
              </w:rPr>
            </w:r>
          </w:p>
        </w:tc>
      </w:tr>
      <w:tr>
        <w:trPr>
          <w:cantSplit w:val="false"/>
        </w:trPr>
        <w:tc>
          <w:tcPr>
            <w:shd w:val="clear" w:color="ffffff" w:fill="ffffff"/>
            <w:tcBorders/>
            <w:tcMar>
              <w:left w:w="90" w:type="dxa"/>
              <w:top w:w="60" w:type="dxa"/>
              <w:right w:w="90" w:type="dxa"/>
              <w:bottom w:w="60" w:type="dxa"/>
            </w:tcMar>
            <w:tcW w:w="1591" w:type="dxa"/>
            <w:vAlign w:val="center"/>
          </w:tcPr>
          <w:p w14:paraId="22775833">
            <w:pPr>
              <w:pBdr/>
              <w:spacing w:after="40" w:before="40" w:line="240" w:lineRule="auto"/>
              <w:ind/>
              <w:jc w:val="left"/>
              <w:rPr>
                <w:lang w:val="es-ES"/>
              </w:rPr>
            </w:pPr>
            <w:r>
              <w:rPr>
                <w:rFonts w:ascii="Calibri" w:hAnsi="Calibri" w:eastAsia="Calibri" w:cs="Calibri"/>
                <w:b/>
                <w:bCs/>
                <w:color w:val="000000"/>
                <w:sz w:val="16"/>
                <w:szCs w:val="16"/>
                <w:lang w:val="es-ES"/>
              </w:rPr>
              <w:t xml:space="preserve">05 Adaptativas y dinámicas</w:t>
            </w:r>
            <w:r>
              <w:rPr>
                <w:lang w:val="es-ES"/>
              </w:rPr>
            </w:r>
          </w:p>
        </w:tc>
        <w:tc>
          <w:tcPr>
            <w:shd w:val="clear" w:color="ffffff" w:fill="ffffff"/>
            <w:tcBorders/>
            <w:tcMar>
              <w:left w:w="90" w:type="dxa"/>
              <w:top w:w="60" w:type="dxa"/>
              <w:right w:w="90" w:type="dxa"/>
              <w:bottom w:w="60" w:type="dxa"/>
            </w:tcMar>
            <w:tcW w:w="2434" w:type="dxa"/>
            <w:vAlign w:val="center"/>
          </w:tcPr>
          <w:p w14:paraId="09513DC4">
            <w:pPr>
              <w:pBdr/>
              <w:spacing w:after="40" w:before="40" w:line="240" w:lineRule="auto"/>
              <w:ind/>
              <w:jc w:val="left"/>
              <w:rPr>
                <w:lang w:val="es-ES"/>
              </w:rPr>
            </w:pPr>
            <w:r>
              <w:rPr>
                <w:rFonts w:ascii="Calibri" w:hAnsi="Calibri" w:eastAsia="Calibri" w:cs="Calibri"/>
                <w:b w:val="0"/>
                <w:bCs w:val="0"/>
                <w:color w:val="000000"/>
                <w:sz w:val="16"/>
                <w:szCs w:val="16"/>
                <w:lang w:val="es-ES"/>
              </w:rPr>
              <w:t xml:space="preserve">Microkernel, reflexiva, meta-niveles, autoadaptativa, basada en agentes.</w:t>
            </w:r>
            <w:r>
              <w:rPr>
                <w:lang w:val="es-ES"/>
              </w:rPr>
            </w:r>
          </w:p>
        </w:tc>
        <w:tc>
          <w:tcPr>
            <w:shd w:val="clear" w:color="ffffff" w:fill="ffffff"/>
            <w:tcBorders/>
            <w:tcMar>
              <w:left w:w="90" w:type="dxa"/>
              <w:top w:w="60" w:type="dxa"/>
              <w:right w:w="90" w:type="dxa"/>
              <w:bottom w:w="60" w:type="dxa"/>
            </w:tcMar>
            <w:tcW w:w="5335" w:type="dxa"/>
            <w:vAlign w:val="center"/>
          </w:tcPr>
          <w:p w14:paraId="317BA637">
            <w:pPr>
              <w:pBdr/>
              <w:spacing w:after="40" w:before="40" w:line="240" w:lineRule="auto"/>
              <w:ind/>
              <w:jc w:val="left"/>
              <w:rPr>
                <w:lang w:val="es-ES"/>
              </w:rPr>
            </w:pPr>
            <w:r>
              <w:rPr>
                <w:rFonts w:ascii="Calibri" w:hAnsi="Calibri" w:eastAsia="Calibri" w:cs="Calibri"/>
                <w:b w:val="0"/>
                <w:bCs w:val="0"/>
                <w:color w:val="000000"/>
                <w:sz w:val="16"/>
                <w:szCs w:val="16"/>
                <w:lang w:val="es-ES"/>
              </w:rPr>
              <w:t xml:space="preserve">Categoría descartada íntegramente. El sistema no requiere modificar su estructura en tiempo de ejecución ni admitir extensiones de terceros. El microkernel se consideró brevemente para un modelo de complementos, y se descartó por no existir tal requisito en el catálogo.</w:t>
            </w:r>
            <w:r>
              <w:rPr>
                <w:lang w:val="es-ES"/>
              </w:rPr>
            </w:r>
          </w:p>
        </w:tc>
      </w:tr>
      <w:tr>
        <w:trPr>
          <w:cantSplit w:val="false"/>
        </w:trPr>
        <w:tc>
          <w:tcPr>
            <w:shd w:val="clear" w:color="ffffff" w:fill="f2f5fa"/>
            <w:tcBorders/>
            <w:tcMar>
              <w:left w:w="90" w:type="dxa"/>
              <w:top w:w="60" w:type="dxa"/>
              <w:right w:w="90" w:type="dxa"/>
              <w:bottom w:w="60" w:type="dxa"/>
            </w:tcMar>
            <w:tcW w:w="1591" w:type="dxa"/>
            <w:vAlign w:val="center"/>
          </w:tcPr>
          <w:p w14:paraId="66E8D528">
            <w:pPr>
              <w:pBdr/>
              <w:spacing w:after="40" w:before="40" w:line="240" w:lineRule="auto"/>
              <w:ind/>
              <w:jc w:val="left"/>
              <w:rPr>
                <w:lang w:val="es-ES"/>
              </w:rPr>
            </w:pPr>
            <w:r>
              <w:rPr>
                <w:rFonts w:ascii="Calibri" w:hAnsi="Calibri" w:eastAsia="Calibri" w:cs="Calibri"/>
                <w:b/>
                <w:bCs/>
                <w:color w:val="000000"/>
                <w:sz w:val="16"/>
                <w:szCs w:val="16"/>
                <w:lang w:val="es-ES"/>
              </w:rPr>
              <w:t xml:space="preserve">06 Máquinas virtuales e intérpretes</w:t>
            </w:r>
            <w:r>
              <w:rPr>
                <w:lang w:val="es-ES"/>
              </w:rPr>
            </w:r>
          </w:p>
        </w:tc>
        <w:tc>
          <w:tcPr>
            <w:shd w:val="clear" w:color="ffffff" w:fill="f2f5fa"/>
            <w:tcBorders/>
            <w:tcMar>
              <w:left w:w="90" w:type="dxa"/>
              <w:top w:w="60" w:type="dxa"/>
              <w:right w:w="90" w:type="dxa"/>
              <w:bottom w:w="60" w:type="dxa"/>
            </w:tcMar>
            <w:tcW w:w="2434" w:type="dxa"/>
            <w:vAlign w:val="center"/>
          </w:tcPr>
          <w:p w14:paraId="05A89B0B">
            <w:pPr>
              <w:pBdr/>
              <w:spacing w:after="40" w:before="40" w:line="240" w:lineRule="auto"/>
              <w:ind/>
              <w:jc w:val="left"/>
              <w:rPr>
                <w:lang w:val="es-ES"/>
              </w:rPr>
            </w:pPr>
            <w:r>
              <w:rPr>
                <w:rFonts w:ascii="Calibri" w:hAnsi="Calibri" w:eastAsia="Calibri" w:cs="Calibri"/>
                <w:b w:val="0"/>
                <w:bCs w:val="0"/>
                <w:color w:val="000000"/>
                <w:sz w:val="16"/>
                <w:szCs w:val="16"/>
                <w:lang w:val="es-ES"/>
              </w:rPr>
              <w:t xml:space="preserve">Intérprete, basada en reglas, control de procesos, máquina de estados finita, máquina de estados jerárquica.</w:t>
            </w:r>
            <w:r>
              <w:rPr>
                <w:lang w:val="es-ES"/>
              </w:rPr>
            </w:r>
          </w:p>
        </w:tc>
        <w:tc>
          <w:tcPr>
            <w:shd w:val="clear" w:color="ffffff" w:fill="f2f5fa"/>
            <w:tcBorders/>
            <w:tcMar>
              <w:left w:w="90" w:type="dxa"/>
              <w:top w:w="60" w:type="dxa"/>
              <w:right w:w="90" w:type="dxa"/>
              <w:bottom w:w="60" w:type="dxa"/>
            </w:tcMar>
            <w:tcW w:w="5335" w:type="dxa"/>
            <w:vAlign w:val="center"/>
          </w:tcPr>
          <w:p w14:paraId="641B9905">
            <w:pPr>
              <w:pBdr/>
              <w:spacing w:after="40" w:before="40" w:line="240" w:lineRule="auto"/>
              <w:ind/>
              <w:jc w:val="left"/>
              <w:rPr>
                <w:lang w:val="es-ES"/>
              </w:rPr>
            </w:pPr>
            <w:r>
              <w:rPr>
                <w:rFonts w:ascii="Calibri" w:hAnsi="Calibri" w:eastAsia="Calibri" w:cs="Calibri"/>
                <w:b w:val="0"/>
                <w:bCs w:val="0"/>
                <w:color w:val="000000"/>
                <w:sz w:val="16"/>
                <w:szCs w:val="16"/>
                <w:lang w:val="es-ES"/>
              </w:rPr>
              <w:t xml:space="preserve">Categoría descartada como estilo global. No obstante, la máquina de estados finita se adopta de forma local dentro del módulo M6 para gobernar el ciclo de vida de la cotización, lo que ilustra la observación del SWEBOK de que un patrón no necesariamente aplica a todo el sistema.</w:t>
            </w:r>
            <w:r>
              <w:rPr>
                <w:lang w:val="es-ES"/>
              </w:rPr>
            </w:r>
          </w:p>
        </w:tc>
      </w:tr>
      <w:tr>
        <w:trPr>
          <w:cantSplit w:val="false"/>
        </w:trPr>
        <w:tc>
          <w:tcPr>
            <w:shd w:val="clear" w:color="ffffff" w:fill="ffffff"/>
            <w:tcBorders/>
            <w:tcMar>
              <w:left w:w="90" w:type="dxa"/>
              <w:top w:w="60" w:type="dxa"/>
              <w:right w:w="90" w:type="dxa"/>
              <w:bottom w:w="60" w:type="dxa"/>
            </w:tcMar>
            <w:tcW w:w="1591" w:type="dxa"/>
            <w:vAlign w:val="center"/>
          </w:tcPr>
          <w:p w14:paraId="1D900949">
            <w:pPr>
              <w:pBdr/>
              <w:spacing w:after="40" w:before="40" w:line="240" w:lineRule="auto"/>
              <w:ind/>
              <w:jc w:val="left"/>
              <w:rPr>
                <w:lang w:val="es-ES"/>
              </w:rPr>
            </w:pPr>
            <w:r>
              <w:rPr>
                <w:rFonts w:ascii="Calibri" w:hAnsi="Calibri" w:eastAsia="Calibri" w:cs="Calibri"/>
                <w:b/>
                <w:bCs/>
                <w:color w:val="000000"/>
                <w:sz w:val="16"/>
                <w:szCs w:val="16"/>
                <w:lang w:val="es-ES"/>
              </w:rPr>
              <w:t xml:space="preserve">07 Patrones especializados</w:t>
            </w:r>
            <w:r>
              <w:rPr>
                <w:lang w:val="es-ES"/>
              </w:rPr>
            </w:r>
          </w:p>
        </w:tc>
        <w:tc>
          <w:tcPr>
            <w:shd w:val="clear" w:color="ffffff" w:fill="ffffff"/>
            <w:tcBorders/>
            <w:tcMar>
              <w:left w:w="90" w:type="dxa"/>
              <w:top w:w="60" w:type="dxa"/>
              <w:right w:w="90" w:type="dxa"/>
              <w:bottom w:w="60" w:type="dxa"/>
            </w:tcMar>
            <w:tcW w:w="2434" w:type="dxa"/>
            <w:vAlign w:val="center"/>
          </w:tcPr>
          <w:p w14:paraId="5D7DAC89">
            <w:pPr>
              <w:pBdr/>
              <w:spacing w:after="40" w:before="40" w:line="240" w:lineRule="auto"/>
              <w:ind/>
              <w:jc w:val="left"/>
              <w:rPr>
                <w:lang w:val="es-ES"/>
              </w:rPr>
            </w:pPr>
            <w:r>
              <w:rPr>
                <w:rFonts w:ascii="Calibri" w:hAnsi="Calibri" w:eastAsia="Calibri" w:cs="Calibri"/>
                <w:b w:val="0"/>
                <w:bCs w:val="0"/>
                <w:color w:val="000000"/>
                <w:sz w:val="16"/>
                <w:szCs w:val="16"/>
                <w:lang w:val="es-ES"/>
              </w:rPr>
              <w:t xml:space="preserve">CQRS, Event Sourcing, Saga, Circuit Breaker, BFF, Strangler Fig, Sidecar, Service Mesh, Outbox.</w:t>
            </w:r>
            <w:r>
              <w:rPr>
                <w:lang w:val="es-ES"/>
              </w:rPr>
            </w:r>
          </w:p>
        </w:tc>
        <w:tc>
          <w:tcPr>
            <w:shd w:val="clear" w:color="ffffff" w:fill="ffffff"/>
            <w:tcBorders/>
            <w:tcMar>
              <w:left w:w="90" w:type="dxa"/>
              <w:top w:w="60" w:type="dxa"/>
              <w:right w:w="90" w:type="dxa"/>
              <w:bottom w:w="60" w:type="dxa"/>
            </w:tcMar>
            <w:tcW w:w="5335" w:type="dxa"/>
            <w:vAlign w:val="center"/>
          </w:tcPr>
          <w:p w14:paraId="0616839D">
            <w:pPr>
              <w:pBdr/>
              <w:spacing w:after="40" w:before="40" w:line="240" w:lineRule="auto"/>
              <w:ind/>
              <w:jc w:val="left"/>
              <w:rPr>
                <w:lang w:val="es-ES"/>
              </w:rPr>
            </w:pPr>
            <w:r>
              <w:rPr>
                <w:rFonts w:ascii="Calibri" w:hAnsi="Calibri" w:eastAsia="Calibri" w:cs="Calibri"/>
                <w:b w:val="0"/>
                <w:bCs w:val="0"/>
                <w:color w:val="000000"/>
                <w:sz w:val="16"/>
                <w:szCs w:val="16"/>
                <w:lang w:val="es-ES"/>
              </w:rPr>
              <w:t xml:space="preserve">Adoptados: Outbox en ADR-01 y Circuit Breaker en ADR-02. Adoptado de forma parcial: una separación ligera entre lectura y escritura, sin llegar a CQRS pleno, mediante la réplica de ADR-03. Descartados: Event Sourcing, por complejidad desproporcionada frente al beneficio, dado que la auditoría de solo adición ya cubre la exigencia de trazabilidad; Saga, por innecesario al no existir transacciones distribuidas; Sidecar y Service Mesh, por presuponer una arquitectura de servicios; BFF, por existir un solo tipo de cliente; Strangler Fig, por no haber sistema legado que migrar.</w:t>
            </w:r>
            <w:r>
              <w:rPr>
                <w:lang w:val="es-ES"/>
              </w:rPr>
            </w:r>
          </w:p>
        </w:tc>
      </w:tr>
      <w:tr>
        <w:trPr>
          <w:cantSplit w:val="false"/>
        </w:trPr>
        <w:tc>
          <w:tcPr>
            <w:shd w:val="clear" w:color="ffffff" w:fill="f2f5fa"/>
            <w:tcBorders/>
            <w:tcMar>
              <w:left w:w="90" w:type="dxa"/>
              <w:top w:w="60" w:type="dxa"/>
              <w:right w:w="90" w:type="dxa"/>
              <w:bottom w:w="60" w:type="dxa"/>
            </w:tcMar>
            <w:tcW w:w="1591" w:type="dxa"/>
            <w:vAlign w:val="center"/>
          </w:tcPr>
          <w:p w14:paraId="091E84E9">
            <w:pPr>
              <w:pBdr/>
              <w:spacing w:after="40" w:before="40" w:line="240" w:lineRule="auto"/>
              <w:ind/>
              <w:jc w:val="left"/>
              <w:rPr>
                <w:lang w:val="es-ES"/>
              </w:rPr>
            </w:pPr>
            <w:r>
              <w:rPr>
                <w:rFonts w:ascii="Calibri" w:hAnsi="Calibri" w:eastAsia="Calibri" w:cs="Calibri"/>
                <w:b/>
                <w:bCs/>
                <w:color w:val="000000"/>
                <w:sz w:val="16"/>
                <w:szCs w:val="16"/>
                <w:lang w:val="es-ES"/>
              </w:rPr>
              <w:t xml:space="preserve">08 Arquitecturas de referencia por dominio</w:t>
            </w:r>
            <w:r>
              <w:rPr>
                <w:lang w:val="es-ES"/>
              </w:rPr>
            </w:r>
          </w:p>
        </w:tc>
        <w:tc>
          <w:tcPr>
            <w:shd w:val="clear" w:color="ffffff" w:fill="f2f5fa"/>
            <w:tcBorders/>
            <w:tcMar>
              <w:left w:w="90" w:type="dxa"/>
              <w:top w:w="60" w:type="dxa"/>
              <w:right w:w="90" w:type="dxa"/>
              <w:bottom w:w="60" w:type="dxa"/>
            </w:tcMar>
            <w:tcW w:w="2434" w:type="dxa"/>
            <w:vAlign w:val="center"/>
          </w:tcPr>
          <w:p w14:paraId="3874FB96">
            <w:pPr>
              <w:pBdr/>
              <w:spacing w:after="40" w:before="40" w:line="240" w:lineRule="auto"/>
              <w:ind/>
              <w:jc w:val="left"/>
              <w:rPr>
                <w:lang w:val="es-ES"/>
              </w:rPr>
            </w:pPr>
            <w:r>
              <w:rPr>
                <w:rFonts w:ascii="Calibri" w:hAnsi="Calibri" w:eastAsia="Calibri" w:cs="Calibri"/>
                <w:b w:val="0"/>
                <w:bCs w:val="0"/>
                <w:color w:val="000000"/>
                <w:sz w:val="16"/>
                <w:szCs w:val="16"/>
                <w:lang w:val="es-ES"/>
              </w:rPr>
              <w:t xml:space="preserve">AUTOSAR, UAF, ISO RM-ODP, ArchiMate, TOGAF, Zachman, IoT RA, HL7/FHIR, modelo 4+1, RAMI 4.0.</w:t>
            </w:r>
            <w:r>
              <w:rPr>
                <w:lang w:val="es-ES"/>
              </w:rPr>
            </w:r>
          </w:p>
        </w:tc>
        <w:tc>
          <w:tcPr>
            <w:shd w:val="clear" w:color="ffffff" w:fill="f2f5fa"/>
            <w:tcBorders/>
            <w:tcMar>
              <w:left w:w="90" w:type="dxa"/>
              <w:top w:w="60" w:type="dxa"/>
              <w:right w:w="90" w:type="dxa"/>
              <w:bottom w:w="60" w:type="dxa"/>
            </w:tcMar>
            <w:tcW w:w="5335" w:type="dxa"/>
            <w:vAlign w:val="center"/>
          </w:tcPr>
          <w:p w14:paraId="50B18296">
            <w:pPr>
              <w:pBdr/>
              <w:spacing w:after="40" w:before="40" w:line="240" w:lineRule="auto"/>
              <w:ind/>
              <w:jc w:val="left"/>
              <w:rPr>
                <w:lang w:val="es-ES"/>
              </w:rPr>
            </w:pPr>
            <w:r>
              <w:rPr>
                <w:rFonts w:ascii="Calibri" w:hAnsi="Calibri" w:eastAsia="Calibri" w:cs="Calibri"/>
                <w:b w:val="0"/>
                <w:bCs w:val="0"/>
                <w:color w:val="000000"/>
                <w:sz w:val="16"/>
                <w:szCs w:val="16"/>
                <w:lang w:val="es-ES"/>
              </w:rPr>
              <w:t xml:space="preserve">Retenido: el modelo 4+1 de Kruchten como metamodelo para organizar las vistas de la sección 2.9. Las restantes se descartaron por pertenecer a dominios ajenos (automoción, salud, industria, defensa) o por tratarse de marcos de arquitectura empresarial cuya aplicación a un MVP resultaría desproporcionada.</w:t>
            </w:r>
            <w:r>
              <w:rPr>
                <w:lang w:val="es-ES"/>
              </w:rPr>
            </w:r>
          </w:p>
        </w:tc>
      </w:tr>
    </w:tbl>
    <w:p w14:paraId="21023CA4">
      <w:pPr>
        <w:pBdr/>
        <w:spacing w:after="160"/>
        <w:ind/>
        <w:rPr>
          <w:lang w:val="es-ES"/>
        </w:rPr>
      </w:pPr>
      <w:r>
        <w:rPr>
          <w:lang w:val="es-ES" w:bidi="es-ES"/>
        </w:rPr>
      </w:r>
      <w:r>
        <w:rPr>
          <w:lang w:val="es-ES"/>
        </w:rPr>
      </w:r>
    </w:p>
    <w:p w14:paraId="01878AE0">
      <w:pPr>
        <w:pBdr/>
        <w:spacing w:after="140" w:line="276" w:lineRule="auto"/>
        <w:ind/>
        <w:jc w:val="both"/>
        <w:rPr>
          <w:lang w:val="es-ES"/>
        </w:rPr>
      </w:pPr>
      <w:r>
        <w:rPr>
          <w:rFonts w:ascii="Calibri" w:hAnsi="Calibri" w:eastAsia="Calibri" w:cs="Calibri"/>
          <w:color w:val="000000"/>
          <w:sz w:val="21"/>
          <w:szCs w:val="21"/>
          <w:lang w:val="es-ES"/>
        </w:rPr>
        <w:t xml:space="preserve">El SWEBOK advierte que la frontera entre estilo arquitectónico, patrón arquitectónico y arquitectura de referencia es intrínsecamente borrosa, y que su valor no reside en la etiqueta sino en que codifican buenas prácticas reutilizables que permiten razonar sobre atributos de calidad antes de escribir código. Este anexo se elaboró con ese criterio: no para clasificar correctamente, sino para no dejar sin examinar una familia de soluciones que pudiera resultar superior.</w:t>
      </w:r>
      <w:r>
        <w:rPr>
          <w:lang w:val="es-ES"/>
        </w:rPr>
      </w:r>
    </w:p>
    <w:p w14:paraId="65280F8B">
      <w:pPr>
        <w:pStyle w:val="904"/>
        <w:keepNext w:val="true"/>
        <w:pageBreakBefore w:val="true"/>
        <w:pBdr/>
        <w:spacing w:after="140" w:before="280"/>
        <w:ind/>
        <w:rPr>
          <w:lang w:val="es-ES"/>
        </w:rPr>
      </w:pPr>
      <w:r/>
      <w:bookmarkStart w:id="54" w:name="_Toc54"/>
      <w:r>
        <w:rPr>
          <w:rFonts w:ascii="Calibri" w:hAnsi="Calibri" w:eastAsia="Calibri" w:cs="Calibri"/>
          <w:b/>
          <w:bCs/>
          <w:color w:val="2e5496"/>
          <w:sz w:val="25"/>
          <w:szCs w:val="25"/>
          <w:lang w:val="es-ES"/>
        </w:rPr>
        <w:t xml:space="preserve">Anexo F — Detalle del cálculo de la matriz ponderada</w:t>
      </w:r>
      <w:r/>
      <w:bookmarkEnd w:id="54"/>
      <w:r/>
      <w:r>
        <w:rPr>
          <w:lang w:val="es-ES"/>
        </w:rPr>
      </w:r>
    </w:p>
    <w:p w14:paraId="69AA521A">
      <w:pPr>
        <w:pBdr/>
        <w:spacing w:after="140" w:line="276" w:lineRule="auto"/>
        <w:ind/>
        <w:jc w:val="both"/>
        <w:rPr>
          <w:lang w:val="es-ES"/>
        </w:rPr>
      </w:pPr>
      <w:r>
        <w:rPr>
          <w:rFonts w:ascii="Calibri" w:hAnsi="Calibri" w:eastAsia="Calibri" w:cs="Calibri"/>
          <w:color w:val="000000"/>
          <w:sz w:val="21"/>
          <w:szCs w:val="21"/>
          <w:lang w:val="es-ES"/>
        </w:rPr>
        <w:t xml:space="preserve">Se reproduce el cálculo completo de la sección 2.6.4 para permitir su verificación. La puntuación de cada opción resulta de multiplicar la calificación asignada en cada criterio, en escala de 1 a 5, por el peso del criterio expresado en tanto por uno, y de sumar los ocho productos.</w:t>
      </w:r>
      <w:r>
        <w:rPr>
          <w:lang w:val="es-ES"/>
        </w:rPr>
      </w:r>
    </w:p>
    <w:tbl>
      <w:tblPr>
        <w:tblW w:w="9360" w:type="dxa"/>
        <w:tblBorders>
          <w:top w:val="single" w:color="8ea9db" w:sz="4" w:space="0"/>
          <w:left w:val="single" w:color="8ea9db" w:sz="4" w:space="0"/>
          <w:bottom w:val="single" w:color="8ea9db" w:sz="4" w:space="0"/>
          <w:right w:val="single" w:color="8ea9db" w:sz="4" w:space="0"/>
          <w:insideH w:val="single" w:color="b4c6e7" w:sz="2" w:space="0"/>
          <w:insideV w:val="single" w:color="b4c6e7" w:sz="2" w:space="0"/>
        </w:tblBorders>
        <w:tblLook w:val="04A0" w:firstRow="1" w:lastRow="0" w:firstColumn="1" w:lastColumn="0" w:noHBand="0" w:noVBand="1"/>
      </w:tblPr>
      <w:tblGrid>
        <w:gridCol w:w="2808"/>
        <w:gridCol w:w="936"/>
        <w:gridCol w:w="1872"/>
        <w:gridCol w:w="1872"/>
        <w:gridCol w:w="1872"/>
      </w:tblGrid>
      <w:tr>
        <w:trPr>
          <w:cantSplit w:val="false"/>
          <w:tblHeader/>
        </w:trPr>
        <w:tc>
          <w:tcPr>
            <w:shd w:val="clear" w:color="ffffff" w:fill="d9e2f3"/>
            <w:tcBorders/>
            <w:tcMar>
              <w:left w:w="90" w:type="dxa"/>
              <w:top w:w="60" w:type="dxa"/>
              <w:right w:w="90" w:type="dxa"/>
              <w:bottom w:w="60" w:type="dxa"/>
            </w:tcMar>
            <w:tcW w:w="2808" w:type="dxa"/>
            <w:vAlign w:val="center"/>
          </w:tcPr>
          <w:p w14:paraId="04F1217D">
            <w:pPr>
              <w:pBdr/>
              <w:spacing w:after="40" w:before="40" w:line="240" w:lineRule="auto"/>
              <w:ind/>
              <w:jc w:val="left"/>
              <w:rPr>
                <w:lang w:val="es-ES"/>
              </w:rPr>
            </w:pPr>
            <w:r>
              <w:rPr>
                <w:rFonts w:ascii="Calibri" w:hAnsi="Calibri" w:eastAsia="Calibri" w:cs="Calibri"/>
                <w:b/>
                <w:bCs/>
                <w:color w:val="1f3864"/>
                <w:sz w:val="16"/>
                <w:szCs w:val="16"/>
                <w:lang w:val="es-ES"/>
              </w:rPr>
              <w:t xml:space="preserve">Criterio</w:t>
            </w:r>
            <w:r>
              <w:rPr>
                <w:lang w:val="es-ES"/>
              </w:rPr>
            </w:r>
          </w:p>
        </w:tc>
        <w:tc>
          <w:tcPr>
            <w:shd w:val="clear" w:color="ffffff" w:fill="d9e2f3"/>
            <w:tcBorders/>
            <w:tcMar>
              <w:left w:w="90" w:type="dxa"/>
              <w:top w:w="60" w:type="dxa"/>
              <w:right w:w="90" w:type="dxa"/>
              <w:bottom w:w="60" w:type="dxa"/>
            </w:tcMar>
            <w:tcW w:w="936" w:type="dxa"/>
            <w:vAlign w:val="center"/>
          </w:tcPr>
          <w:p w14:paraId="3C0D0FB0">
            <w:pPr>
              <w:pBdr/>
              <w:spacing w:after="40" w:before="40" w:line="240" w:lineRule="auto"/>
              <w:ind/>
              <w:jc w:val="center"/>
              <w:rPr>
                <w:lang w:val="es-ES"/>
              </w:rPr>
            </w:pPr>
            <w:r>
              <w:rPr>
                <w:rFonts w:ascii="Calibri" w:hAnsi="Calibri" w:eastAsia="Calibri" w:cs="Calibri"/>
                <w:b/>
                <w:bCs/>
                <w:color w:val="1f3864"/>
                <w:sz w:val="16"/>
                <w:szCs w:val="16"/>
                <w:lang w:val="es-ES"/>
              </w:rPr>
              <w:t xml:space="preserve">Peso</w:t>
            </w:r>
            <w:r>
              <w:rPr>
                <w:lang w:val="es-ES"/>
              </w:rPr>
            </w:r>
          </w:p>
        </w:tc>
        <w:tc>
          <w:tcPr>
            <w:shd w:val="clear" w:color="ffffff" w:fill="d9e2f3"/>
            <w:tcBorders/>
            <w:tcMar>
              <w:left w:w="90" w:type="dxa"/>
              <w:top w:w="60" w:type="dxa"/>
              <w:right w:w="90" w:type="dxa"/>
              <w:bottom w:w="60" w:type="dxa"/>
            </w:tcMar>
            <w:tcW w:w="1872" w:type="dxa"/>
            <w:vAlign w:val="center"/>
          </w:tcPr>
          <w:p w14:paraId="78286079">
            <w:pPr>
              <w:pBdr/>
              <w:spacing w:after="40" w:before="40" w:line="240" w:lineRule="auto"/>
              <w:ind/>
              <w:jc w:val="center"/>
              <w:rPr>
                <w:lang w:val="es-ES"/>
              </w:rPr>
            </w:pPr>
            <w:r>
              <w:rPr>
                <w:rFonts w:ascii="Calibri" w:hAnsi="Calibri" w:eastAsia="Calibri" w:cs="Calibri"/>
                <w:b/>
                <w:bCs/>
                <w:color w:val="1f3864"/>
                <w:sz w:val="16"/>
                <w:szCs w:val="16"/>
                <w:lang w:val="es-ES"/>
              </w:rPr>
              <w:t xml:space="preserve">Opción A: cálculo</w:t>
            </w:r>
            <w:r>
              <w:rPr>
                <w:lang w:val="es-ES"/>
              </w:rPr>
            </w:r>
          </w:p>
        </w:tc>
        <w:tc>
          <w:tcPr>
            <w:shd w:val="clear" w:color="ffffff" w:fill="d9e2f3"/>
            <w:tcBorders/>
            <w:tcMar>
              <w:left w:w="90" w:type="dxa"/>
              <w:top w:w="60" w:type="dxa"/>
              <w:right w:w="90" w:type="dxa"/>
              <w:bottom w:w="60" w:type="dxa"/>
            </w:tcMar>
            <w:tcW w:w="1872" w:type="dxa"/>
            <w:vAlign w:val="center"/>
          </w:tcPr>
          <w:p w14:paraId="379398E9">
            <w:pPr>
              <w:pBdr/>
              <w:spacing w:after="40" w:before="40" w:line="240" w:lineRule="auto"/>
              <w:ind/>
              <w:jc w:val="center"/>
              <w:rPr>
                <w:lang w:val="es-ES"/>
              </w:rPr>
            </w:pPr>
            <w:r>
              <w:rPr>
                <w:rFonts w:ascii="Calibri" w:hAnsi="Calibri" w:eastAsia="Calibri" w:cs="Calibri"/>
                <w:b/>
                <w:bCs/>
                <w:color w:val="1f3864"/>
                <w:sz w:val="16"/>
                <w:szCs w:val="16"/>
                <w:lang w:val="es-ES"/>
              </w:rPr>
              <w:t xml:space="preserve">Opción B: cálculo</w:t>
            </w:r>
            <w:r>
              <w:rPr>
                <w:lang w:val="es-ES"/>
              </w:rPr>
            </w:r>
          </w:p>
        </w:tc>
        <w:tc>
          <w:tcPr>
            <w:shd w:val="clear" w:color="ffffff" w:fill="d9e2f3"/>
            <w:tcBorders/>
            <w:tcMar>
              <w:left w:w="90" w:type="dxa"/>
              <w:top w:w="60" w:type="dxa"/>
              <w:right w:w="90" w:type="dxa"/>
              <w:bottom w:w="60" w:type="dxa"/>
            </w:tcMar>
            <w:tcW w:w="1872" w:type="dxa"/>
            <w:vAlign w:val="center"/>
          </w:tcPr>
          <w:p w14:paraId="14B53172">
            <w:pPr>
              <w:pBdr/>
              <w:spacing w:after="40" w:before="40" w:line="240" w:lineRule="auto"/>
              <w:ind/>
              <w:jc w:val="center"/>
              <w:rPr>
                <w:lang w:val="es-ES"/>
              </w:rPr>
            </w:pPr>
            <w:r>
              <w:rPr>
                <w:rFonts w:ascii="Calibri" w:hAnsi="Calibri" w:eastAsia="Calibri" w:cs="Calibri"/>
                <w:b/>
                <w:bCs/>
                <w:color w:val="1f3864"/>
                <w:sz w:val="16"/>
                <w:szCs w:val="16"/>
                <w:lang w:val="es-ES"/>
              </w:rPr>
              <w:t xml:space="preserve">Opción C: cálculo</w:t>
            </w:r>
            <w:r>
              <w:rPr>
                <w:lang w:val="es-ES"/>
              </w:rPr>
            </w:r>
          </w:p>
        </w:tc>
      </w:tr>
      <w:tr>
        <w:trPr>
          <w:cantSplit w:val="false"/>
        </w:trPr>
        <w:tc>
          <w:tcPr>
            <w:shd w:val="clear" w:color="ffffff" w:fill="ffffff"/>
            <w:tcBorders/>
            <w:tcMar>
              <w:left w:w="90" w:type="dxa"/>
              <w:top w:w="60" w:type="dxa"/>
              <w:right w:w="90" w:type="dxa"/>
              <w:bottom w:w="60" w:type="dxa"/>
            </w:tcMar>
            <w:tcW w:w="2808" w:type="dxa"/>
            <w:vAlign w:val="center"/>
          </w:tcPr>
          <w:p w14:paraId="478825BF">
            <w:pPr>
              <w:pBdr/>
              <w:spacing w:after="40" w:before="40" w:line="240" w:lineRule="auto"/>
              <w:ind/>
              <w:jc w:val="left"/>
              <w:rPr>
                <w:lang w:val="es-ES"/>
              </w:rPr>
            </w:pPr>
            <w:r>
              <w:rPr>
                <w:rFonts w:ascii="Calibri" w:hAnsi="Calibri" w:eastAsia="Calibri" w:cs="Calibri"/>
                <w:b/>
                <w:bCs/>
                <w:color w:val="000000"/>
                <w:sz w:val="16"/>
                <w:szCs w:val="16"/>
                <w:lang w:val="es-ES"/>
              </w:rPr>
              <w:t xml:space="preserve">C-01 Separación de responsabilidades</w:t>
            </w:r>
            <w:r>
              <w:rPr>
                <w:lang w:val="es-ES"/>
              </w:rPr>
            </w:r>
          </w:p>
        </w:tc>
        <w:tc>
          <w:tcPr>
            <w:shd w:val="clear" w:color="ffffff" w:fill="ffffff"/>
            <w:tcBorders/>
            <w:tcMar>
              <w:left w:w="90" w:type="dxa"/>
              <w:top w:w="60" w:type="dxa"/>
              <w:right w:w="90" w:type="dxa"/>
              <w:bottom w:w="60" w:type="dxa"/>
            </w:tcMar>
            <w:tcW w:w="936" w:type="dxa"/>
            <w:vAlign w:val="center"/>
          </w:tcPr>
          <w:p w14:paraId="7A827171">
            <w:pPr>
              <w:pBdr/>
              <w:spacing w:after="40" w:before="40" w:line="240" w:lineRule="auto"/>
              <w:ind/>
              <w:jc w:val="center"/>
              <w:rPr>
                <w:lang w:val="es-ES"/>
              </w:rPr>
            </w:pPr>
            <w:r>
              <w:rPr>
                <w:rFonts w:ascii="Calibri" w:hAnsi="Calibri" w:eastAsia="Calibri" w:cs="Calibri"/>
                <w:b w:val="0"/>
                <w:bCs w:val="0"/>
                <w:color w:val="000000"/>
                <w:sz w:val="16"/>
                <w:szCs w:val="16"/>
                <w:lang w:val="es-ES"/>
              </w:rPr>
              <w:t xml:space="preserve">0,12</w:t>
            </w:r>
            <w:r>
              <w:rPr>
                <w:lang w:val="es-ES"/>
              </w:rPr>
            </w:r>
          </w:p>
        </w:tc>
        <w:tc>
          <w:tcPr>
            <w:shd w:val="clear" w:color="ffffff" w:fill="ffffff"/>
            <w:tcBorders/>
            <w:tcMar>
              <w:left w:w="90" w:type="dxa"/>
              <w:top w:w="60" w:type="dxa"/>
              <w:right w:w="90" w:type="dxa"/>
              <w:bottom w:w="60" w:type="dxa"/>
            </w:tcMar>
            <w:tcW w:w="1872" w:type="dxa"/>
            <w:vAlign w:val="center"/>
          </w:tcPr>
          <w:p w14:paraId="79B41B2B">
            <w:pPr>
              <w:pBdr/>
              <w:spacing w:after="40" w:before="40" w:line="240" w:lineRule="auto"/>
              <w:ind/>
              <w:jc w:val="center"/>
              <w:rPr>
                <w:lang w:val="es-ES"/>
              </w:rPr>
            </w:pPr>
            <w:r>
              <w:rPr>
                <w:rFonts w:ascii="Calibri" w:hAnsi="Calibri" w:eastAsia="Calibri" w:cs="Calibri"/>
                <w:b w:val="0"/>
                <w:bCs w:val="0"/>
                <w:color w:val="000000"/>
                <w:sz w:val="16"/>
                <w:szCs w:val="16"/>
                <w:lang w:val="es-ES"/>
              </w:rPr>
              <w:t xml:space="preserve">3 × 0,12 = 0,36</w:t>
            </w:r>
            <w:r>
              <w:rPr>
                <w:lang w:val="es-ES"/>
              </w:rPr>
            </w:r>
          </w:p>
        </w:tc>
        <w:tc>
          <w:tcPr>
            <w:shd w:val="clear" w:color="ffffff" w:fill="ffffff"/>
            <w:tcBorders/>
            <w:tcMar>
              <w:left w:w="90" w:type="dxa"/>
              <w:top w:w="60" w:type="dxa"/>
              <w:right w:w="90" w:type="dxa"/>
              <w:bottom w:w="60" w:type="dxa"/>
            </w:tcMar>
            <w:tcW w:w="1872" w:type="dxa"/>
            <w:vAlign w:val="center"/>
          </w:tcPr>
          <w:p w14:paraId="3F8C3101">
            <w:pPr>
              <w:pBdr/>
              <w:spacing w:after="40" w:before="40" w:line="240" w:lineRule="auto"/>
              <w:ind/>
              <w:jc w:val="center"/>
              <w:rPr>
                <w:lang w:val="es-ES"/>
              </w:rPr>
            </w:pPr>
            <w:r>
              <w:rPr>
                <w:rFonts w:ascii="Calibri" w:hAnsi="Calibri" w:eastAsia="Calibri" w:cs="Calibri"/>
                <w:b w:val="0"/>
                <w:bCs w:val="0"/>
                <w:color w:val="000000"/>
                <w:sz w:val="16"/>
                <w:szCs w:val="16"/>
                <w:lang w:val="es-ES"/>
              </w:rPr>
              <w:t xml:space="preserve">5 × 0,12 = 0,60</w:t>
            </w:r>
            <w:r>
              <w:rPr>
                <w:lang w:val="es-ES"/>
              </w:rPr>
            </w:r>
          </w:p>
        </w:tc>
        <w:tc>
          <w:tcPr>
            <w:shd w:val="clear" w:color="ffffff" w:fill="ffffff"/>
            <w:tcBorders/>
            <w:tcMar>
              <w:left w:w="90" w:type="dxa"/>
              <w:top w:w="60" w:type="dxa"/>
              <w:right w:w="90" w:type="dxa"/>
              <w:bottom w:w="60" w:type="dxa"/>
            </w:tcMar>
            <w:tcW w:w="1872" w:type="dxa"/>
            <w:vAlign w:val="center"/>
          </w:tcPr>
          <w:p w14:paraId="4F0796F2">
            <w:pPr>
              <w:pBdr/>
              <w:spacing w:after="40" w:before="40" w:line="240" w:lineRule="auto"/>
              <w:ind/>
              <w:jc w:val="center"/>
              <w:rPr>
                <w:lang w:val="es-ES"/>
              </w:rPr>
            </w:pPr>
            <w:r>
              <w:rPr>
                <w:rFonts w:ascii="Calibri" w:hAnsi="Calibri" w:eastAsia="Calibri" w:cs="Calibri"/>
                <w:b w:val="0"/>
                <w:bCs w:val="0"/>
                <w:color w:val="000000"/>
                <w:sz w:val="16"/>
                <w:szCs w:val="16"/>
                <w:lang w:val="es-ES"/>
              </w:rPr>
              <w:t xml:space="preserve">5 × 0,12 = 0,60</w:t>
            </w:r>
            <w:r>
              <w:rPr>
                <w:lang w:val="es-ES"/>
              </w:rPr>
            </w:r>
          </w:p>
        </w:tc>
      </w:tr>
      <w:tr>
        <w:trPr>
          <w:cantSplit w:val="false"/>
        </w:trPr>
        <w:tc>
          <w:tcPr>
            <w:shd w:val="clear" w:color="ffffff" w:fill="f2f5fa"/>
            <w:tcBorders/>
            <w:tcMar>
              <w:left w:w="90" w:type="dxa"/>
              <w:top w:w="60" w:type="dxa"/>
              <w:right w:w="90" w:type="dxa"/>
              <w:bottom w:w="60" w:type="dxa"/>
            </w:tcMar>
            <w:tcW w:w="2808" w:type="dxa"/>
            <w:vAlign w:val="center"/>
          </w:tcPr>
          <w:p w14:paraId="3DD5F982">
            <w:pPr>
              <w:pBdr/>
              <w:spacing w:after="40" w:before="40" w:line="240" w:lineRule="auto"/>
              <w:ind/>
              <w:jc w:val="left"/>
              <w:rPr>
                <w:lang w:val="es-ES"/>
              </w:rPr>
            </w:pPr>
            <w:r>
              <w:rPr>
                <w:rFonts w:ascii="Calibri" w:hAnsi="Calibri" w:eastAsia="Calibri" w:cs="Calibri"/>
                <w:b/>
                <w:bCs/>
                <w:color w:val="000000"/>
                <w:sz w:val="16"/>
                <w:szCs w:val="16"/>
                <w:lang w:val="es-ES"/>
              </w:rPr>
              <w:t xml:space="preserve">C-02 Bajo acoplamiento y alta cohesión</w:t>
            </w:r>
            <w:r>
              <w:rPr>
                <w:lang w:val="es-ES"/>
              </w:rPr>
            </w:r>
          </w:p>
        </w:tc>
        <w:tc>
          <w:tcPr>
            <w:shd w:val="clear" w:color="ffffff" w:fill="f2f5fa"/>
            <w:tcBorders/>
            <w:tcMar>
              <w:left w:w="90" w:type="dxa"/>
              <w:top w:w="60" w:type="dxa"/>
              <w:right w:w="90" w:type="dxa"/>
              <w:bottom w:w="60" w:type="dxa"/>
            </w:tcMar>
            <w:tcW w:w="936" w:type="dxa"/>
            <w:vAlign w:val="center"/>
          </w:tcPr>
          <w:p w14:paraId="460D2B77">
            <w:pPr>
              <w:pBdr/>
              <w:spacing w:after="40" w:before="40" w:line="240" w:lineRule="auto"/>
              <w:ind/>
              <w:jc w:val="center"/>
              <w:rPr>
                <w:lang w:val="es-ES"/>
              </w:rPr>
            </w:pPr>
            <w:r>
              <w:rPr>
                <w:rFonts w:ascii="Calibri" w:hAnsi="Calibri" w:eastAsia="Calibri" w:cs="Calibri"/>
                <w:b w:val="0"/>
                <w:bCs w:val="0"/>
                <w:color w:val="000000"/>
                <w:sz w:val="16"/>
                <w:szCs w:val="16"/>
                <w:lang w:val="es-ES"/>
              </w:rPr>
              <w:t xml:space="preserve">0,12</w:t>
            </w:r>
            <w:r>
              <w:rPr>
                <w:lang w:val="es-ES"/>
              </w:rPr>
            </w:r>
          </w:p>
        </w:tc>
        <w:tc>
          <w:tcPr>
            <w:shd w:val="clear" w:color="ffffff" w:fill="f2f5fa"/>
            <w:tcBorders/>
            <w:tcMar>
              <w:left w:w="90" w:type="dxa"/>
              <w:top w:w="60" w:type="dxa"/>
              <w:right w:w="90" w:type="dxa"/>
              <w:bottom w:w="60" w:type="dxa"/>
            </w:tcMar>
            <w:tcW w:w="1872" w:type="dxa"/>
            <w:vAlign w:val="center"/>
          </w:tcPr>
          <w:p w14:paraId="3AC6C67C">
            <w:pPr>
              <w:pBdr/>
              <w:spacing w:after="40" w:before="40" w:line="240" w:lineRule="auto"/>
              <w:ind/>
              <w:jc w:val="center"/>
              <w:rPr>
                <w:lang w:val="es-ES"/>
              </w:rPr>
            </w:pPr>
            <w:r>
              <w:rPr>
                <w:rFonts w:ascii="Calibri" w:hAnsi="Calibri" w:eastAsia="Calibri" w:cs="Calibri"/>
                <w:b w:val="0"/>
                <w:bCs w:val="0"/>
                <w:color w:val="000000"/>
                <w:sz w:val="16"/>
                <w:szCs w:val="16"/>
                <w:lang w:val="es-ES"/>
              </w:rPr>
              <w:t xml:space="preserve">2 × 0,12 = 0,24</w:t>
            </w:r>
            <w:r>
              <w:rPr>
                <w:lang w:val="es-ES"/>
              </w:rPr>
            </w:r>
          </w:p>
        </w:tc>
        <w:tc>
          <w:tcPr>
            <w:shd w:val="clear" w:color="ffffff" w:fill="f2f5fa"/>
            <w:tcBorders/>
            <w:tcMar>
              <w:left w:w="90" w:type="dxa"/>
              <w:top w:w="60" w:type="dxa"/>
              <w:right w:w="90" w:type="dxa"/>
              <w:bottom w:w="60" w:type="dxa"/>
            </w:tcMar>
            <w:tcW w:w="1872" w:type="dxa"/>
            <w:vAlign w:val="center"/>
          </w:tcPr>
          <w:p w14:paraId="40B5D4A2">
            <w:pPr>
              <w:pBdr/>
              <w:spacing w:after="40" w:before="40" w:line="240" w:lineRule="auto"/>
              <w:ind/>
              <w:jc w:val="center"/>
              <w:rPr>
                <w:lang w:val="es-ES"/>
              </w:rPr>
            </w:pPr>
            <w:r>
              <w:rPr>
                <w:rFonts w:ascii="Calibri" w:hAnsi="Calibri" w:eastAsia="Calibri" w:cs="Calibri"/>
                <w:b w:val="0"/>
                <w:bCs w:val="0"/>
                <w:color w:val="000000"/>
                <w:sz w:val="16"/>
                <w:szCs w:val="16"/>
                <w:lang w:val="es-ES"/>
              </w:rPr>
              <w:t xml:space="preserve">4 × 0,12 = 0,48</w:t>
            </w:r>
            <w:r>
              <w:rPr>
                <w:lang w:val="es-ES"/>
              </w:rPr>
            </w:r>
          </w:p>
        </w:tc>
        <w:tc>
          <w:tcPr>
            <w:shd w:val="clear" w:color="ffffff" w:fill="f2f5fa"/>
            <w:tcBorders/>
            <w:tcMar>
              <w:left w:w="90" w:type="dxa"/>
              <w:top w:w="60" w:type="dxa"/>
              <w:right w:w="90" w:type="dxa"/>
              <w:bottom w:w="60" w:type="dxa"/>
            </w:tcMar>
            <w:tcW w:w="1872" w:type="dxa"/>
            <w:vAlign w:val="center"/>
          </w:tcPr>
          <w:p w14:paraId="286D2958">
            <w:pPr>
              <w:pBdr/>
              <w:spacing w:after="40" w:before="40" w:line="240" w:lineRule="auto"/>
              <w:ind/>
              <w:jc w:val="center"/>
              <w:rPr>
                <w:lang w:val="es-ES"/>
              </w:rPr>
            </w:pPr>
            <w:r>
              <w:rPr>
                <w:rFonts w:ascii="Calibri" w:hAnsi="Calibri" w:eastAsia="Calibri" w:cs="Calibri"/>
                <w:b w:val="0"/>
                <w:bCs w:val="0"/>
                <w:color w:val="000000"/>
                <w:sz w:val="16"/>
                <w:szCs w:val="16"/>
                <w:lang w:val="es-ES"/>
              </w:rPr>
              <w:t xml:space="preserve">5 × 0,12 = 0,60</w:t>
            </w:r>
            <w:r>
              <w:rPr>
                <w:lang w:val="es-ES"/>
              </w:rPr>
            </w:r>
          </w:p>
        </w:tc>
      </w:tr>
      <w:tr>
        <w:trPr>
          <w:cantSplit w:val="false"/>
        </w:trPr>
        <w:tc>
          <w:tcPr>
            <w:shd w:val="clear" w:color="ffffff" w:fill="ffffff"/>
            <w:tcBorders/>
            <w:tcMar>
              <w:left w:w="90" w:type="dxa"/>
              <w:top w:w="60" w:type="dxa"/>
              <w:right w:w="90" w:type="dxa"/>
              <w:bottom w:w="60" w:type="dxa"/>
            </w:tcMar>
            <w:tcW w:w="2808" w:type="dxa"/>
            <w:vAlign w:val="center"/>
          </w:tcPr>
          <w:p w14:paraId="1F5E5F15">
            <w:pPr>
              <w:pBdr/>
              <w:spacing w:after="40" w:before="40" w:line="240" w:lineRule="auto"/>
              <w:ind/>
              <w:jc w:val="left"/>
              <w:rPr>
                <w:lang w:val="es-ES"/>
              </w:rPr>
            </w:pPr>
            <w:r>
              <w:rPr>
                <w:rFonts w:ascii="Calibri" w:hAnsi="Calibri" w:eastAsia="Calibri" w:cs="Calibri"/>
                <w:b/>
                <w:bCs/>
                <w:color w:val="000000"/>
                <w:sz w:val="16"/>
                <w:szCs w:val="16"/>
                <w:lang w:val="es-ES"/>
              </w:rPr>
              <w:t xml:space="preserve">C-03 Escalabilidad</w:t>
            </w:r>
            <w:r>
              <w:rPr>
                <w:lang w:val="es-ES"/>
              </w:rPr>
            </w:r>
          </w:p>
        </w:tc>
        <w:tc>
          <w:tcPr>
            <w:shd w:val="clear" w:color="ffffff" w:fill="ffffff"/>
            <w:tcBorders/>
            <w:tcMar>
              <w:left w:w="90" w:type="dxa"/>
              <w:top w:w="60" w:type="dxa"/>
              <w:right w:w="90" w:type="dxa"/>
              <w:bottom w:w="60" w:type="dxa"/>
            </w:tcMar>
            <w:tcW w:w="936" w:type="dxa"/>
            <w:vAlign w:val="center"/>
          </w:tcPr>
          <w:p w14:paraId="0CCD8CFC">
            <w:pPr>
              <w:pBdr/>
              <w:spacing w:after="40" w:before="40" w:line="240" w:lineRule="auto"/>
              <w:ind/>
              <w:jc w:val="center"/>
              <w:rPr>
                <w:lang w:val="es-ES"/>
              </w:rPr>
            </w:pPr>
            <w:r>
              <w:rPr>
                <w:rFonts w:ascii="Calibri" w:hAnsi="Calibri" w:eastAsia="Calibri" w:cs="Calibri"/>
                <w:b w:val="0"/>
                <w:bCs w:val="0"/>
                <w:color w:val="000000"/>
                <w:sz w:val="16"/>
                <w:szCs w:val="16"/>
                <w:lang w:val="es-ES"/>
              </w:rPr>
              <w:t xml:space="preserve">0,13</w:t>
            </w:r>
            <w:r>
              <w:rPr>
                <w:lang w:val="es-ES"/>
              </w:rPr>
            </w:r>
          </w:p>
        </w:tc>
        <w:tc>
          <w:tcPr>
            <w:shd w:val="clear" w:color="ffffff" w:fill="ffffff"/>
            <w:tcBorders/>
            <w:tcMar>
              <w:left w:w="90" w:type="dxa"/>
              <w:top w:w="60" w:type="dxa"/>
              <w:right w:w="90" w:type="dxa"/>
              <w:bottom w:w="60" w:type="dxa"/>
            </w:tcMar>
            <w:tcW w:w="1872" w:type="dxa"/>
            <w:vAlign w:val="center"/>
          </w:tcPr>
          <w:p w14:paraId="297068A5">
            <w:pPr>
              <w:pBdr/>
              <w:spacing w:after="40" w:before="40" w:line="240" w:lineRule="auto"/>
              <w:ind/>
              <w:jc w:val="center"/>
              <w:rPr>
                <w:lang w:val="es-ES"/>
              </w:rPr>
            </w:pPr>
            <w:r>
              <w:rPr>
                <w:rFonts w:ascii="Calibri" w:hAnsi="Calibri" w:eastAsia="Calibri" w:cs="Calibri"/>
                <w:b w:val="0"/>
                <w:bCs w:val="0"/>
                <w:color w:val="000000"/>
                <w:sz w:val="16"/>
                <w:szCs w:val="16"/>
                <w:lang w:val="es-ES"/>
              </w:rPr>
              <w:t xml:space="preserve">2 × 0,13 = 0,26</w:t>
            </w:r>
            <w:r>
              <w:rPr>
                <w:lang w:val="es-ES"/>
              </w:rPr>
            </w:r>
          </w:p>
        </w:tc>
        <w:tc>
          <w:tcPr>
            <w:shd w:val="clear" w:color="ffffff" w:fill="ffffff"/>
            <w:tcBorders/>
            <w:tcMar>
              <w:left w:w="90" w:type="dxa"/>
              <w:top w:w="60" w:type="dxa"/>
              <w:right w:w="90" w:type="dxa"/>
              <w:bottom w:w="60" w:type="dxa"/>
            </w:tcMar>
            <w:tcW w:w="1872" w:type="dxa"/>
            <w:vAlign w:val="center"/>
          </w:tcPr>
          <w:p w14:paraId="190F34B6">
            <w:pPr>
              <w:pBdr/>
              <w:spacing w:after="40" w:before="40" w:line="240" w:lineRule="auto"/>
              <w:ind/>
              <w:jc w:val="center"/>
              <w:rPr>
                <w:lang w:val="es-ES"/>
              </w:rPr>
            </w:pPr>
            <w:r>
              <w:rPr>
                <w:rFonts w:ascii="Calibri" w:hAnsi="Calibri" w:eastAsia="Calibri" w:cs="Calibri"/>
                <w:b w:val="0"/>
                <w:bCs w:val="0"/>
                <w:color w:val="000000"/>
                <w:sz w:val="16"/>
                <w:szCs w:val="16"/>
                <w:lang w:val="es-ES"/>
              </w:rPr>
              <w:t xml:space="preserve">4 × 0,13 = 0,52</w:t>
            </w:r>
            <w:r>
              <w:rPr>
                <w:lang w:val="es-ES"/>
              </w:rPr>
            </w:r>
          </w:p>
        </w:tc>
        <w:tc>
          <w:tcPr>
            <w:shd w:val="clear" w:color="ffffff" w:fill="ffffff"/>
            <w:tcBorders/>
            <w:tcMar>
              <w:left w:w="90" w:type="dxa"/>
              <w:top w:w="60" w:type="dxa"/>
              <w:right w:w="90" w:type="dxa"/>
              <w:bottom w:w="60" w:type="dxa"/>
            </w:tcMar>
            <w:tcW w:w="1872" w:type="dxa"/>
            <w:vAlign w:val="center"/>
          </w:tcPr>
          <w:p w14:paraId="74D15714">
            <w:pPr>
              <w:pBdr/>
              <w:spacing w:after="40" w:before="40" w:line="240" w:lineRule="auto"/>
              <w:ind/>
              <w:jc w:val="center"/>
              <w:rPr>
                <w:lang w:val="es-ES"/>
              </w:rPr>
            </w:pPr>
            <w:r>
              <w:rPr>
                <w:rFonts w:ascii="Calibri" w:hAnsi="Calibri" w:eastAsia="Calibri" w:cs="Calibri"/>
                <w:b w:val="0"/>
                <w:bCs w:val="0"/>
                <w:color w:val="000000"/>
                <w:sz w:val="16"/>
                <w:szCs w:val="16"/>
                <w:lang w:val="es-ES"/>
              </w:rPr>
              <w:t xml:space="preserve">5 × 0,13 = 0,65</w:t>
            </w:r>
            <w:r>
              <w:rPr>
                <w:lang w:val="es-ES"/>
              </w:rPr>
            </w:r>
          </w:p>
        </w:tc>
      </w:tr>
      <w:tr>
        <w:trPr>
          <w:cantSplit w:val="false"/>
        </w:trPr>
        <w:tc>
          <w:tcPr>
            <w:shd w:val="clear" w:color="ffffff" w:fill="f2f5fa"/>
            <w:tcBorders/>
            <w:tcMar>
              <w:left w:w="90" w:type="dxa"/>
              <w:top w:w="60" w:type="dxa"/>
              <w:right w:w="90" w:type="dxa"/>
              <w:bottom w:w="60" w:type="dxa"/>
            </w:tcMar>
            <w:tcW w:w="2808" w:type="dxa"/>
            <w:vAlign w:val="center"/>
          </w:tcPr>
          <w:p w14:paraId="0880C4EE">
            <w:pPr>
              <w:pBdr/>
              <w:spacing w:after="40" w:before="40" w:line="240" w:lineRule="auto"/>
              <w:ind/>
              <w:jc w:val="left"/>
              <w:rPr>
                <w:lang w:val="es-ES"/>
              </w:rPr>
            </w:pPr>
            <w:r>
              <w:rPr>
                <w:rFonts w:ascii="Calibri" w:hAnsi="Calibri" w:eastAsia="Calibri" w:cs="Calibri"/>
                <w:b/>
                <w:bCs/>
                <w:color w:val="000000"/>
                <w:sz w:val="16"/>
                <w:szCs w:val="16"/>
                <w:lang w:val="es-ES"/>
              </w:rPr>
              <w:t xml:space="preserve">C-04 Seguridad y cumplimiento</w:t>
            </w:r>
            <w:r>
              <w:rPr>
                <w:lang w:val="es-ES"/>
              </w:rPr>
            </w:r>
          </w:p>
        </w:tc>
        <w:tc>
          <w:tcPr>
            <w:shd w:val="clear" w:color="ffffff" w:fill="f2f5fa"/>
            <w:tcBorders/>
            <w:tcMar>
              <w:left w:w="90" w:type="dxa"/>
              <w:top w:w="60" w:type="dxa"/>
              <w:right w:w="90" w:type="dxa"/>
              <w:bottom w:w="60" w:type="dxa"/>
            </w:tcMar>
            <w:tcW w:w="936" w:type="dxa"/>
            <w:vAlign w:val="center"/>
          </w:tcPr>
          <w:p w14:paraId="4C72EA5F">
            <w:pPr>
              <w:pBdr/>
              <w:spacing w:after="40" w:before="40" w:line="240" w:lineRule="auto"/>
              <w:ind/>
              <w:jc w:val="center"/>
              <w:rPr>
                <w:lang w:val="es-ES"/>
              </w:rPr>
            </w:pPr>
            <w:r>
              <w:rPr>
                <w:rFonts w:ascii="Calibri" w:hAnsi="Calibri" w:eastAsia="Calibri" w:cs="Calibri"/>
                <w:b w:val="0"/>
                <w:bCs w:val="0"/>
                <w:color w:val="000000"/>
                <w:sz w:val="16"/>
                <w:szCs w:val="16"/>
                <w:lang w:val="es-ES"/>
              </w:rPr>
              <w:t xml:space="preserve">0,15</w:t>
            </w:r>
            <w:r>
              <w:rPr>
                <w:lang w:val="es-ES"/>
              </w:rPr>
            </w:r>
          </w:p>
        </w:tc>
        <w:tc>
          <w:tcPr>
            <w:shd w:val="clear" w:color="ffffff" w:fill="f2f5fa"/>
            <w:tcBorders/>
            <w:tcMar>
              <w:left w:w="90" w:type="dxa"/>
              <w:top w:w="60" w:type="dxa"/>
              <w:right w:w="90" w:type="dxa"/>
              <w:bottom w:w="60" w:type="dxa"/>
            </w:tcMar>
            <w:tcW w:w="1872" w:type="dxa"/>
            <w:vAlign w:val="center"/>
          </w:tcPr>
          <w:p w14:paraId="21142D2D">
            <w:pPr>
              <w:pBdr/>
              <w:spacing w:after="40" w:before="40" w:line="240" w:lineRule="auto"/>
              <w:ind/>
              <w:jc w:val="center"/>
              <w:rPr>
                <w:lang w:val="es-ES"/>
              </w:rPr>
            </w:pPr>
            <w:r>
              <w:rPr>
                <w:rFonts w:ascii="Calibri" w:hAnsi="Calibri" w:eastAsia="Calibri" w:cs="Calibri"/>
                <w:b w:val="0"/>
                <w:bCs w:val="0"/>
                <w:color w:val="000000"/>
                <w:sz w:val="16"/>
                <w:szCs w:val="16"/>
                <w:lang w:val="es-ES"/>
              </w:rPr>
              <w:t xml:space="preserve">3 × 0,15 = 0,45</w:t>
            </w:r>
            <w:r>
              <w:rPr>
                <w:lang w:val="es-ES"/>
              </w:rPr>
            </w:r>
          </w:p>
        </w:tc>
        <w:tc>
          <w:tcPr>
            <w:shd w:val="clear" w:color="ffffff" w:fill="f2f5fa"/>
            <w:tcBorders/>
            <w:tcMar>
              <w:left w:w="90" w:type="dxa"/>
              <w:top w:w="60" w:type="dxa"/>
              <w:right w:w="90" w:type="dxa"/>
              <w:bottom w:w="60" w:type="dxa"/>
            </w:tcMar>
            <w:tcW w:w="1872" w:type="dxa"/>
            <w:vAlign w:val="center"/>
          </w:tcPr>
          <w:p w14:paraId="450C3DF1">
            <w:pPr>
              <w:pBdr/>
              <w:spacing w:after="40" w:before="40" w:line="240" w:lineRule="auto"/>
              <w:ind/>
              <w:jc w:val="center"/>
              <w:rPr>
                <w:lang w:val="es-ES"/>
              </w:rPr>
            </w:pPr>
            <w:r>
              <w:rPr>
                <w:rFonts w:ascii="Calibri" w:hAnsi="Calibri" w:eastAsia="Calibri" w:cs="Calibri"/>
                <w:b w:val="0"/>
                <w:bCs w:val="0"/>
                <w:color w:val="000000"/>
                <w:sz w:val="16"/>
                <w:szCs w:val="16"/>
                <w:lang w:val="es-ES"/>
              </w:rPr>
              <w:t xml:space="preserve">4 × 0,15 = 0,60</w:t>
            </w:r>
            <w:r>
              <w:rPr>
                <w:lang w:val="es-ES"/>
              </w:rPr>
            </w:r>
          </w:p>
        </w:tc>
        <w:tc>
          <w:tcPr>
            <w:shd w:val="clear" w:color="ffffff" w:fill="f2f5fa"/>
            <w:tcBorders/>
            <w:tcMar>
              <w:left w:w="90" w:type="dxa"/>
              <w:top w:w="60" w:type="dxa"/>
              <w:right w:w="90" w:type="dxa"/>
              <w:bottom w:w="60" w:type="dxa"/>
            </w:tcMar>
            <w:tcW w:w="1872" w:type="dxa"/>
            <w:vAlign w:val="center"/>
          </w:tcPr>
          <w:p w14:paraId="7C11F520">
            <w:pPr>
              <w:pBdr/>
              <w:spacing w:after="40" w:before="40" w:line="240" w:lineRule="auto"/>
              <w:ind/>
              <w:jc w:val="center"/>
              <w:rPr>
                <w:lang w:val="es-ES"/>
              </w:rPr>
            </w:pPr>
            <w:r>
              <w:rPr>
                <w:rFonts w:ascii="Calibri" w:hAnsi="Calibri" w:eastAsia="Calibri" w:cs="Calibri"/>
                <w:b w:val="0"/>
                <w:bCs w:val="0"/>
                <w:color w:val="000000"/>
                <w:sz w:val="16"/>
                <w:szCs w:val="16"/>
                <w:lang w:val="es-ES"/>
              </w:rPr>
              <w:t xml:space="preserve">3 × 0,15 = 0,45</w:t>
            </w:r>
            <w:r>
              <w:rPr>
                <w:lang w:val="es-ES"/>
              </w:rPr>
            </w:r>
          </w:p>
        </w:tc>
      </w:tr>
      <w:tr>
        <w:trPr>
          <w:cantSplit w:val="false"/>
        </w:trPr>
        <w:tc>
          <w:tcPr>
            <w:shd w:val="clear" w:color="ffffff" w:fill="ffffff"/>
            <w:tcBorders/>
            <w:tcMar>
              <w:left w:w="90" w:type="dxa"/>
              <w:top w:w="60" w:type="dxa"/>
              <w:right w:w="90" w:type="dxa"/>
              <w:bottom w:w="60" w:type="dxa"/>
            </w:tcMar>
            <w:tcW w:w="2808" w:type="dxa"/>
            <w:vAlign w:val="center"/>
          </w:tcPr>
          <w:p w14:paraId="0DEF85FA">
            <w:pPr>
              <w:pBdr/>
              <w:spacing w:after="40" w:before="40" w:line="240" w:lineRule="auto"/>
              <w:ind/>
              <w:jc w:val="left"/>
              <w:rPr>
                <w:lang w:val="es-ES"/>
              </w:rPr>
            </w:pPr>
            <w:r>
              <w:rPr>
                <w:rFonts w:ascii="Calibri" w:hAnsi="Calibri" w:eastAsia="Calibri" w:cs="Calibri"/>
                <w:b/>
                <w:bCs/>
                <w:color w:val="000000"/>
                <w:sz w:val="16"/>
                <w:szCs w:val="16"/>
                <w:lang w:val="es-ES"/>
              </w:rPr>
              <w:t xml:space="preserve">C-05 Mantenibilidad y capacidad de pruebas</w:t>
            </w:r>
            <w:r>
              <w:rPr>
                <w:lang w:val="es-ES"/>
              </w:rPr>
            </w:r>
          </w:p>
        </w:tc>
        <w:tc>
          <w:tcPr>
            <w:shd w:val="clear" w:color="ffffff" w:fill="ffffff"/>
            <w:tcBorders/>
            <w:tcMar>
              <w:left w:w="90" w:type="dxa"/>
              <w:top w:w="60" w:type="dxa"/>
              <w:right w:w="90" w:type="dxa"/>
              <w:bottom w:w="60" w:type="dxa"/>
            </w:tcMar>
            <w:tcW w:w="936" w:type="dxa"/>
            <w:vAlign w:val="center"/>
          </w:tcPr>
          <w:p w14:paraId="57AEF49B">
            <w:pPr>
              <w:pBdr/>
              <w:spacing w:after="40" w:before="40" w:line="240" w:lineRule="auto"/>
              <w:ind/>
              <w:jc w:val="center"/>
              <w:rPr>
                <w:lang w:val="es-ES"/>
              </w:rPr>
            </w:pPr>
            <w:r>
              <w:rPr>
                <w:rFonts w:ascii="Calibri" w:hAnsi="Calibri" w:eastAsia="Calibri" w:cs="Calibri"/>
                <w:b w:val="0"/>
                <w:bCs w:val="0"/>
                <w:color w:val="000000"/>
                <w:sz w:val="16"/>
                <w:szCs w:val="16"/>
                <w:lang w:val="es-ES"/>
              </w:rPr>
              <w:t xml:space="preserve">0,15</w:t>
            </w:r>
            <w:r>
              <w:rPr>
                <w:lang w:val="es-ES"/>
              </w:rPr>
            </w:r>
          </w:p>
        </w:tc>
        <w:tc>
          <w:tcPr>
            <w:shd w:val="clear" w:color="ffffff" w:fill="ffffff"/>
            <w:tcBorders/>
            <w:tcMar>
              <w:left w:w="90" w:type="dxa"/>
              <w:top w:w="60" w:type="dxa"/>
              <w:right w:w="90" w:type="dxa"/>
              <w:bottom w:w="60" w:type="dxa"/>
            </w:tcMar>
            <w:tcW w:w="1872" w:type="dxa"/>
            <w:vAlign w:val="center"/>
          </w:tcPr>
          <w:p w14:paraId="38AE0B27">
            <w:pPr>
              <w:pBdr/>
              <w:spacing w:after="40" w:before="40" w:line="240" w:lineRule="auto"/>
              <w:ind/>
              <w:jc w:val="center"/>
              <w:rPr>
                <w:lang w:val="es-ES"/>
              </w:rPr>
            </w:pPr>
            <w:r>
              <w:rPr>
                <w:rFonts w:ascii="Calibri" w:hAnsi="Calibri" w:eastAsia="Calibri" w:cs="Calibri"/>
                <w:b w:val="0"/>
                <w:bCs w:val="0"/>
                <w:color w:val="000000"/>
                <w:sz w:val="16"/>
                <w:szCs w:val="16"/>
                <w:lang w:val="es-ES"/>
              </w:rPr>
              <w:t xml:space="preserve">2 × 0,15 = 0,30</w:t>
            </w:r>
            <w:r>
              <w:rPr>
                <w:lang w:val="es-ES"/>
              </w:rPr>
            </w:r>
          </w:p>
        </w:tc>
        <w:tc>
          <w:tcPr>
            <w:shd w:val="clear" w:color="ffffff" w:fill="ffffff"/>
            <w:tcBorders/>
            <w:tcMar>
              <w:left w:w="90" w:type="dxa"/>
              <w:top w:w="60" w:type="dxa"/>
              <w:right w:w="90" w:type="dxa"/>
              <w:bottom w:w="60" w:type="dxa"/>
            </w:tcMar>
            <w:tcW w:w="1872" w:type="dxa"/>
            <w:vAlign w:val="center"/>
          </w:tcPr>
          <w:p w14:paraId="1A03DBCA">
            <w:pPr>
              <w:pBdr/>
              <w:spacing w:after="40" w:before="40" w:line="240" w:lineRule="auto"/>
              <w:ind/>
              <w:jc w:val="center"/>
              <w:rPr>
                <w:lang w:val="es-ES"/>
              </w:rPr>
            </w:pPr>
            <w:r>
              <w:rPr>
                <w:rFonts w:ascii="Calibri" w:hAnsi="Calibri" w:eastAsia="Calibri" w:cs="Calibri"/>
                <w:b w:val="0"/>
                <w:bCs w:val="0"/>
                <w:color w:val="000000"/>
                <w:sz w:val="16"/>
                <w:szCs w:val="16"/>
                <w:lang w:val="es-ES"/>
              </w:rPr>
              <w:t xml:space="preserve">5 × 0,15 = 0,75</w:t>
            </w:r>
            <w:r>
              <w:rPr>
                <w:lang w:val="es-ES"/>
              </w:rPr>
            </w:r>
          </w:p>
        </w:tc>
        <w:tc>
          <w:tcPr>
            <w:shd w:val="clear" w:color="ffffff" w:fill="ffffff"/>
            <w:tcBorders/>
            <w:tcMar>
              <w:left w:w="90" w:type="dxa"/>
              <w:top w:w="60" w:type="dxa"/>
              <w:right w:w="90" w:type="dxa"/>
              <w:bottom w:w="60" w:type="dxa"/>
            </w:tcMar>
            <w:tcW w:w="1872" w:type="dxa"/>
            <w:vAlign w:val="center"/>
          </w:tcPr>
          <w:p w14:paraId="29EDFAB7">
            <w:pPr>
              <w:pBdr/>
              <w:spacing w:after="40" w:before="40" w:line="240" w:lineRule="auto"/>
              <w:ind/>
              <w:jc w:val="center"/>
              <w:rPr>
                <w:lang w:val="es-ES"/>
              </w:rPr>
            </w:pPr>
            <w:r>
              <w:rPr>
                <w:rFonts w:ascii="Calibri" w:hAnsi="Calibri" w:eastAsia="Calibri" w:cs="Calibri"/>
                <w:b w:val="0"/>
                <w:bCs w:val="0"/>
                <w:color w:val="000000"/>
                <w:sz w:val="16"/>
                <w:szCs w:val="16"/>
                <w:lang w:val="es-ES"/>
              </w:rPr>
              <w:t xml:space="preserve">3 × 0,15 = 0,45</w:t>
            </w:r>
            <w:r>
              <w:rPr>
                <w:lang w:val="es-ES"/>
              </w:rPr>
            </w:r>
          </w:p>
        </w:tc>
      </w:tr>
      <w:tr>
        <w:trPr>
          <w:cantSplit w:val="false"/>
        </w:trPr>
        <w:tc>
          <w:tcPr>
            <w:shd w:val="clear" w:color="ffffff" w:fill="f2f5fa"/>
            <w:tcBorders/>
            <w:tcMar>
              <w:left w:w="90" w:type="dxa"/>
              <w:top w:w="60" w:type="dxa"/>
              <w:right w:w="90" w:type="dxa"/>
              <w:bottom w:w="60" w:type="dxa"/>
            </w:tcMar>
            <w:tcW w:w="2808" w:type="dxa"/>
            <w:vAlign w:val="center"/>
          </w:tcPr>
          <w:p w14:paraId="32B577D3">
            <w:pPr>
              <w:pBdr/>
              <w:spacing w:after="40" w:before="40" w:line="240" w:lineRule="auto"/>
              <w:ind/>
              <w:jc w:val="left"/>
              <w:rPr>
                <w:lang w:val="es-ES"/>
              </w:rPr>
            </w:pPr>
            <w:r>
              <w:rPr>
                <w:rFonts w:ascii="Calibri" w:hAnsi="Calibri" w:eastAsia="Calibri" w:cs="Calibri"/>
                <w:b/>
                <w:bCs/>
                <w:color w:val="000000"/>
                <w:sz w:val="16"/>
                <w:szCs w:val="16"/>
                <w:lang w:val="es-ES"/>
              </w:rPr>
              <w:t xml:space="preserve">C-06 Rendimiento esperado</w:t>
            </w:r>
            <w:r>
              <w:rPr>
                <w:lang w:val="es-ES"/>
              </w:rPr>
            </w:r>
          </w:p>
        </w:tc>
        <w:tc>
          <w:tcPr>
            <w:shd w:val="clear" w:color="ffffff" w:fill="f2f5fa"/>
            <w:tcBorders/>
            <w:tcMar>
              <w:left w:w="90" w:type="dxa"/>
              <w:top w:w="60" w:type="dxa"/>
              <w:right w:w="90" w:type="dxa"/>
              <w:bottom w:w="60" w:type="dxa"/>
            </w:tcMar>
            <w:tcW w:w="936" w:type="dxa"/>
            <w:vAlign w:val="center"/>
          </w:tcPr>
          <w:p w14:paraId="43FACCD2">
            <w:pPr>
              <w:pBdr/>
              <w:spacing w:after="40" w:before="40" w:line="240" w:lineRule="auto"/>
              <w:ind/>
              <w:jc w:val="center"/>
              <w:rPr>
                <w:lang w:val="es-ES"/>
              </w:rPr>
            </w:pPr>
            <w:r>
              <w:rPr>
                <w:rFonts w:ascii="Calibri" w:hAnsi="Calibri" w:eastAsia="Calibri" w:cs="Calibri"/>
                <w:b w:val="0"/>
                <w:bCs w:val="0"/>
                <w:color w:val="000000"/>
                <w:sz w:val="16"/>
                <w:szCs w:val="16"/>
                <w:lang w:val="es-ES"/>
              </w:rPr>
              <w:t xml:space="preserve">0,12</w:t>
            </w:r>
            <w:r>
              <w:rPr>
                <w:lang w:val="es-ES"/>
              </w:rPr>
            </w:r>
          </w:p>
        </w:tc>
        <w:tc>
          <w:tcPr>
            <w:shd w:val="clear" w:color="ffffff" w:fill="f2f5fa"/>
            <w:tcBorders/>
            <w:tcMar>
              <w:left w:w="90" w:type="dxa"/>
              <w:top w:w="60" w:type="dxa"/>
              <w:right w:w="90" w:type="dxa"/>
              <w:bottom w:w="60" w:type="dxa"/>
            </w:tcMar>
            <w:tcW w:w="1872" w:type="dxa"/>
            <w:vAlign w:val="center"/>
          </w:tcPr>
          <w:p w14:paraId="3B661BA5">
            <w:pPr>
              <w:pBdr/>
              <w:spacing w:after="40" w:before="40" w:line="240" w:lineRule="auto"/>
              <w:ind/>
              <w:jc w:val="center"/>
              <w:rPr>
                <w:lang w:val="es-ES"/>
              </w:rPr>
            </w:pPr>
            <w:r>
              <w:rPr>
                <w:rFonts w:ascii="Calibri" w:hAnsi="Calibri" w:eastAsia="Calibri" w:cs="Calibri"/>
                <w:b w:val="0"/>
                <w:bCs w:val="0"/>
                <w:color w:val="000000"/>
                <w:sz w:val="16"/>
                <w:szCs w:val="16"/>
                <w:lang w:val="es-ES"/>
              </w:rPr>
              <w:t xml:space="preserve">4 × 0,12 = 0,48</w:t>
            </w:r>
            <w:r>
              <w:rPr>
                <w:lang w:val="es-ES"/>
              </w:rPr>
            </w:r>
          </w:p>
        </w:tc>
        <w:tc>
          <w:tcPr>
            <w:shd w:val="clear" w:color="ffffff" w:fill="f2f5fa"/>
            <w:tcBorders/>
            <w:tcMar>
              <w:left w:w="90" w:type="dxa"/>
              <w:top w:w="60" w:type="dxa"/>
              <w:right w:w="90" w:type="dxa"/>
              <w:bottom w:w="60" w:type="dxa"/>
            </w:tcMar>
            <w:tcW w:w="1872" w:type="dxa"/>
            <w:vAlign w:val="center"/>
          </w:tcPr>
          <w:p w14:paraId="7E687159">
            <w:pPr>
              <w:pBdr/>
              <w:spacing w:after="40" w:before="40" w:line="240" w:lineRule="auto"/>
              <w:ind/>
              <w:jc w:val="center"/>
              <w:rPr>
                <w:lang w:val="es-ES"/>
              </w:rPr>
            </w:pPr>
            <w:r>
              <w:rPr>
                <w:rFonts w:ascii="Calibri" w:hAnsi="Calibri" w:eastAsia="Calibri" w:cs="Calibri"/>
                <w:b w:val="0"/>
                <w:bCs w:val="0"/>
                <w:color w:val="000000"/>
                <w:sz w:val="16"/>
                <w:szCs w:val="16"/>
                <w:lang w:val="es-ES"/>
              </w:rPr>
              <w:t xml:space="preserve">4 × 0,12 = 0,48</w:t>
            </w:r>
            <w:r>
              <w:rPr>
                <w:lang w:val="es-ES"/>
              </w:rPr>
            </w:r>
          </w:p>
        </w:tc>
        <w:tc>
          <w:tcPr>
            <w:shd w:val="clear" w:color="ffffff" w:fill="f2f5fa"/>
            <w:tcBorders/>
            <w:tcMar>
              <w:left w:w="90" w:type="dxa"/>
              <w:top w:w="60" w:type="dxa"/>
              <w:right w:w="90" w:type="dxa"/>
              <w:bottom w:w="60" w:type="dxa"/>
            </w:tcMar>
            <w:tcW w:w="1872" w:type="dxa"/>
            <w:vAlign w:val="center"/>
          </w:tcPr>
          <w:p w14:paraId="26424B50">
            <w:pPr>
              <w:pBdr/>
              <w:spacing w:after="40" w:before="40" w:line="240" w:lineRule="auto"/>
              <w:ind/>
              <w:jc w:val="center"/>
              <w:rPr>
                <w:lang w:val="es-ES"/>
              </w:rPr>
            </w:pPr>
            <w:r>
              <w:rPr>
                <w:rFonts w:ascii="Calibri" w:hAnsi="Calibri" w:eastAsia="Calibri" w:cs="Calibri"/>
                <w:b w:val="0"/>
                <w:bCs w:val="0"/>
                <w:color w:val="000000"/>
                <w:sz w:val="16"/>
                <w:szCs w:val="16"/>
                <w:lang w:val="es-ES"/>
              </w:rPr>
              <w:t xml:space="preserve">3 × 0,12 = 0,36</w:t>
            </w:r>
            <w:r>
              <w:rPr>
                <w:lang w:val="es-ES"/>
              </w:rPr>
            </w:r>
          </w:p>
        </w:tc>
      </w:tr>
      <w:tr>
        <w:trPr>
          <w:cantSplit w:val="false"/>
        </w:trPr>
        <w:tc>
          <w:tcPr>
            <w:shd w:val="clear" w:color="ffffff" w:fill="ffffff"/>
            <w:tcBorders/>
            <w:tcMar>
              <w:left w:w="90" w:type="dxa"/>
              <w:top w:w="60" w:type="dxa"/>
              <w:right w:w="90" w:type="dxa"/>
              <w:bottom w:w="60" w:type="dxa"/>
            </w:tcMar>
            <w:tcW w:w="2808" w:type="dxa"/>
            <w:vAlign w:val="center"/>
          </w:tcPr>
          <w:p w14:paraId="3973D969">
            <w:pPr>
              <w:pBdr/>
              <w:spacing w:after="40" w:before="40" w:line="240" w:lineRule="auto"/>
              <w:ind/>
              <w:jc w:val="left"/>
              <w:rPr>
                <w:lang w:val="es-ES"/>
              </w:rPr>
            </w:pPr>
            <w:r>
              <w:rPr>
                <w:rFonts w:ascii="Calibri" w:hAnsi="Calibri" w:eastAsia="Calibri" w:cs="Calibri"/>
                <w:b/>
                <w:bCs/>
                <w:color w:val="000000"/>
                <w:sz w:val="16"/>
                <w:szCs w:val="16"/>
                <w:lang w:val="es-ES"/>
              </w:rPr>
              <w:t xml:space="preserve">C-07 Costo y simplicidad</w:t>
            </w:r>
            <w:r>
              <w:rPr>
                <w:lang w:val="es-ES"/>
              </w:rPr>
            </w:r>
          </w:p>
        </w:tc>
        <w:tc>
          <w:tcPr>
            <w:shd w:val="clear" w:color="ffffff" w:fill="ffffff"/>
            <w:tcBorders/>
            <w:tcMar>
              <w:left w:w="90" w:type="dxa"/>
              <w:top w:w="60" w:type="dxa"/>
              <w:right w:w="90" w:type="dxa"/>
              <w:bottom w:w="60" w:type="dxa"/>
            </w:tcMar>
            <w:tcW w:w="936" w:type="dxa"/>
            <w:vAlign w:val="center"/>
          </w:tcPr>
          <w:p w14:paraId="727DFE33">
            <w:pPr>
              <w:pBdr/>
              <w:spacing w:after="40" w:before="40" w:line="240" w:lineRule="auto"/>
              <w:ind/>
              <w:jc w:val="center"/>
              <w:rPr>
                <w:lang w:val="es-ES"/>
              </w:rPr>
            </w:pPr>
            <w:r>
              <w:rPr>
                <w:rFonts w:ascii="Calibri" w:hAnsi="Calibri" w:eastAsia="Calibri" w:cs="Calibri"/>
                <w:b w:val="0"/>
                <w:bCs w:val="0"/>
                <w:color w:val="000000"/>
                <w:sz w:val="16"/>
                <w:szCs w:val="16"/>
                <w:lang w:val="es-ES"/>
              </w:rPr>
              <w:t xml:space="preserve">0,13</w:t>
            </w:r>
            <w:r>
              <w:rPr>
                <w:lang w:val="es-ES"/>
              </w:rPr>
            </w:r>
          </w:p>
        </w:tc>
        <w:tc>
          <w:tcPr>
            <w:shd w:val="clear" w:color="ffffff" w:fill="ffffff"/>
            <w:tcBorders/>
            <w:tcMar>
              <w:left w:w="90" w:type="dxa"/>
              <w:top w:w="60" w:type="dxa"/>
              <w:right w:w="90" w:type="dxa"/>
              <w:bottom w:w="60" w:type="dxa"/>
            </w:tcMar>
            <w:tcW w:w="1872" w:type="dxa"/>
            <w:vAlign w:val="center"/>
          </w:tcPr>
          <w:p w14:paraId="581E626C">
            <w:pPr>
              <w:pBdr/>
              <w:spacing w:after="40" w:before="40" w:line="240" w:lineRule="auto"/>
              <w:ind/>
              <w:jc w:val="center"/>
              <w:rPr>
                <w:lang w:val="es-ES"/>
              </w:rPr>
            </w:pPr>
            <w:r>
              <w:rPr>
                <w:rFonts w:ascii="Calibri" w:hAnsi="Calibri" w:eastAsia="Calibri" w:cs="Calibri"/>
                <w:b w:val="0"/>
                <w:bCs w:val="0"/>
                <w:color w:val="000000"/>
                <w:sz w:val="16"/>
                <w:szCs w:val="16"/>
                <w:lang w:val="es-ES"/>
              </w:rPr>
              <w:t xml:space="preserve">5 × 0,13 = 0,65</w:t>
            </w:r>
            <w:r>
              <w:rPr>
                <w:lang w:val="es-ES"/>
              </w:rPr>
            </w:r>
          </w:p>
        </w:tc>
        <w:tc>
          <w:tcPr>
            <w:shd w:val="clear" w:color="ffffff" w:fill="ffffff"/>
            <w:tcBorders/>
            <w:tcMar>
              <w:left w:w="90" w:type="dxa"/>
              <w:top w:w="60" w:type="dxa"/>
              <w:right w:w="90" w:type="dxa"/>
              <w:bottom w:w="60" w:type="dxa"/>
            </w:tcMar>
            <w:tcW w:w="1872" w:type="dxa"/>
            <w:vAlign w:val="center"/>
          </w:tcPr>
          <w:p w14:paraId="185A9F7C">
            <w:pPr>
              <w:pBdr/>
              <w:spacing w:after="40" w:before="40" w:line="240" w:lineRule="auto"/>
              <w:ind/>
              <w:jc w:val="center"/>
              <w:rPr>
                <w:lang w:val="es-ES"/>
              </w:rPr>
            </w:pPr>
            <w:r>
              <w:rPr>
                <w:rFonts w:ascii="Calibri" w:hAnsi="Calibri" w:eastAsia="Calibri" w:cs="Calibri"/>
                <w:b w:val="0"/>
                <w:bCs w:val="0"/>
                <w:color w:val="000000"/>
                <w:sz w:val="16"/>
                <w:szCs w:val="16"/>
                <w:lang w:val="es-ES"/>
              </w:rPr>
              <w:t xml:space="preserve">4 × 0,13 = 0,52</w:t>
            </w:r>
            <w:r>
              <w:rPr>
                <w:lang w:val="es-ES"/>
              </w:rPr>
            </w:r>
          </w:p>
        </w:tc>
        <w:tc>
          <w:tcPr>
            <w:shd w:val="clear" w:color="ffffff" w:fill="ffffff"/>
            <w:tcBorders/>
            <w:tcMar>
              <w:left w:w="90" w:type="dxa"/>
              <w:top w:w="60" w:type="dxa"/>
              <w:right w:w="90" w:type="dxa"/>
              <w:bottom w:w="60" w:type="dxa"/>
            </w:tcMar>
            <w:tcW w:w="1872" w:type="dxa"/>
            <w:vAlign w:val="center"/>
          </w:tcPr>
          <w:p w14:paraId="53E44602">
            <w:pPr>
              <w:pBdr/>
              <w:spacing w:after="40" w:before="40" w:line="240" w:lineRule="auto"/>
              <w:ind/>
              <w:jc w:val="center"/>
              <w:rPr>
                <w:lang w:val="es-ES"/>
              </w:rPr>
            </w:pPr>
            <w:r>
              <w:rPr>
                <w:rFonts w:ascii="Calibri" w:hAnsi="Calibri" w:eastAsia="Calibri" w:cs="Calibri"/>
                <w:b w:val="0"/>
                <w:bCs w:val="0"/>
                <w:color w:val="000000"/>
                <w:sz w:val="16"/>
                <w:szCs w:val="16"/>
                <w:lang w:val="es-ES"/>
              </w:rPr>
              <w:t xml:space="preserve">1 × 0,13 = 0,13</w:t>
            </w:r>
            <w:r>
              <w:rPr>
                <w:lang w:val="es-ES"/>
              </w:rPr>
            </w:r>
          </w:p>
        </w:tc>
      </w:tr>
      <w:tr>
        <w:trPr>
          <w:cantSplit w:val="false"/>
        </w:trPr>
        <w:tc>
          <w:tcPr>
            <w:shd w:val="clear" w:color="ffffff" w:fill="f2f5fa"/>
            <w:tcBorders/>
            <w:tcMar>
              <w:left w:w="90" w:type="dxa"/>
              <w:top w:w="60" w:type="dxa"/>
              <w:right w:w="90" w:type="dxa"/>
              <w:bottom w:w="60" w:type="dxa"/>
            </w:tcMar>
            <w:tcW w:w="2808" w:type="dxa"/>
            <w:vAlign w:val="center"/>
          </w:tcPr>
          <w:p w14:paraId="3869E09C">
            <w:pPr>
              <w:pBdr/>
              <w:spacing w:after="40" w:before="40" w:line="240" w:lineRule="auto"/>
              <w:ind/>
              <w:jc w:val="left"/>
              <w:rPr>
                <w:lang w:val="es-ES"/>
              </w:rPr>
            </w:pPr>
            <w:r>
              <w:rPr>
                <w:rFonts w:ascii="Calibri" w:hAnsi="Calibri" w:eastAsia="Calibri" w:cs="Calibri"/>
                <w:b/>
                <w:bCs/>
                <w:color w:val="000000"/>
                <w:sz w:val="16"/>
                <w:szCs w:val="16"/>
                <w:lang w:val="es-ES"/>
              </w:rPr>
              <w:t xml:space="preserve">C-08 Interoperabilidad</w:t>
            </w:r>
            <w:r>
              <w:rPr>
                <w:lang w:val="es-ES"/>
              </w:rPr>
            </w:r>
          </w:p>
        </w:tc>
        <w:tc>
          <w:tcPr>
            <w:shd w:val="clear" w:color="ffffff" w:fill="f2f5fa"/>
            <w:tcBorders/>
            <w:tcMar>
              <w:left w:w="90" w:type="dxa"/>
              <w:top w:w="60" w:type="dxa"/>
              <w:right w:w="90" w:type="dxa"/>
              <w:bottom w:w="60" w:type="dxa"/>
            </w:tcMar>
            <w:tcW w:w="936" w:type="dxa"/>
            <w:vAlign w:val="center"/>
          </w:tcPr>
          <w:p w14:paraId="7909316E">
            <w:pPr>
              <w:pBdr/>
              <w:spacing w:after="40" w:before="40" w:line="240" w:lineRule="auto"/>
              <w:ind/>
              <w:jc w:val="center"/>
              <w:rPr>
                <w:lang w:val="es-ES"/>
              </w:rPr>
            </w:pPr>
            <w:r>
              <w:rPr>
                <w:rFonts w:ascii="Calibri" w:hAnsi="Calibri" w:eastAsia="Calibri" w:cs="Calibri"/>
                <w:b w:val="0"/>
                <w:bCs w:val="0"/>
                <w:color w:val="000000"/>
                <w:sz w:val="16"/>
                <w:szCs w:val="16"/>
                <w:lang w:val="es-ES"/>
              </w:rPr>
              <w:t xml:space="preserve">0,08</w:t>
            </w:r>
            <w:r>
              <w:rPr>
                <w:lang w:val="es-ES"/>
              </w:rPr>
            </w:r>
          </w:p>
        </w:tc>
        <w:tc>
          <w:tcPr>
            <w:shd w:val="clear" w:color="ffffff" w:fill="f2f5fa"/>
            <w:tcBorders/>
            <w:tcMar>
              <w:left w:w="90" w:type="dxa"/>
              <w:top w:w="60" w:type="dxa"/>
              <w:right w:w="90" w:type="dxa"/>
              <w:bottom w:w="60" w:type="dxa"/>
            </w:tcMar>
            <w:tcW w:w="1872" w:type="dxa"/>
            <w:vAlign w:val="center"/>
          </w:tcPr>
          <w:p w14:paraId="7C776656">
            <w:pPr>
              <w:pBdr/>
              <w:spacing w:after="40" w:before="40" w:line="240" w:lineRule="auto"/>
              <w:ind/>
              <w:jc w:val="center"/>
              <w:rPr>
                <w:lang w:val="es-ES"/>
              </w:rPr>
            </w:pPr>
            <w:r>
              <w:rPr>
                <w:rFonts w:ascii="Calibri" w:hAnsi="Calibri" w:eastAsia="Calibri" w:cs="Calibri"/>
                <w:b w:val="0"/>
                <w:bCs w:val="0"/>
                <w:color w:val="000000"/>
                <w:sz w:val="16"/>
                <w:szCs w:val="16"/>
                <w:lang w:val="es-ES"/>
              </w:rPr>
              <w:t xml:space="preserve">2 × 0,08 = 0,16</w:t>
            </w:r>
            <w:r>
              <w:rPr>
                <w:lang w:val="es-ES"/>
              </w:rPr>
            </w:r>
          </w:p>
        </w:tc>
        <w:tc>
          <w:tcPr>
            <w:shd w:val="clear" w:color="ffffff" w:fill="f2f5fa"/>
            <w:tcBorders/>
            <w:tcMar>
              <w:left w:w="90" w:type="dxa"/>
              <w:top w:w="60" w:type="dxa"/>
              <w:right w:w="90" w:type="dxa"/>
              <w:bottom w:w="60" w:type="dxa"/>
            </w:tcMar>
            <w:tcW w:w="1872" w:type="dxa"/>
            <w:vAlign w:val="center"/>
          </w:tcPr>
          <w:p w14:paraId="070A3D5A">
            <w:pPr>
              <w:pBdr/>
              <w:spacing w:after="40" w:before="40" w:line="240" w:lineRule="auto"/>
              <w:ind/>
              <w:jc w:val="center"/>
              <w:rPr>
                <w:lang w:val="es-ES"/>
              </w:rPr>
            </w:pPr>
            <w:r>
              <w:rPr>
                <w:rFonts w:ascii="Calibri" w:hAnsi="Calibri" w:eastAsia="Calibri" w:cs="Calibri"/>
                <w:b w:val="0"/>
                <w:bCs w:val="0"/>
                <w:color w:val="000000"/>
                <w:sz w:val="16"/>
                <w:szCs w:val="16"/>
                <w:lang w:val="es-ES"/>
              </w:rPr>
              <w:t xml:space="preserve">5 × 0,08 = 0,40</w:t>
            </w:r>
            <w:r>
              <w:rPr>
                <w:lang w:val="es-ES"/>
              </w:rPr>
            </w:r>
          </w:p>
        </w:tc>
        <w:tc>
          <w:tcPr>
            <w:shd w:val="clear" w:color="ffffff" w:fill="f2f5fa"/>
            <w:tcBorders/>
            <w:tcMar>
              <w:left w:w="90" w:type="dxa"/>
              <w:top w:w="60" w:type="dxa"/>
              <w:right w:w="90" w:type="dxa"/>
              <w:bottom w:w="60" w:type="dxa"/>
            </w:tcMar>
            <w:tcW w:w="1872" w:type="dxa"/>
            <w:vAlign w:val="center"/>
          </w:tcPr>
          <w:p w14:paraId="54FFDAB9">
            <w:pPr>
              <w:pBdr/>
              <w:spacing w:after="40" w:before="40" w:line="240" w:lineRule="auto"/>
              <w:ind/>
              <w:jc w:val="center"/>
              <w:rPr>
                <w:lang w:val="es-ES"/>
              </w:rPr>
            </w:pPr>
            <w:r>
              <w:rPr>
                <w:rFonts w:ascii="Calibri" w:hAnsi="Calibri" w:eastAsia="Calibri" w:cs="Calibri"/>
                <w:b w:val="0"/>
                <w:bCs w:val="0"/>
                <w:color w:val="000000"/>
                <w:sz w:val="16"/>
                <w:szCs w:val="16"/>
                <w:lang w:val="es-ES"/>
              </w:rPr>
              <w:t xml:space="preserve">4 × 0,08 = 0,32</w:t>
            </w:r>
            <w:r>
              <w:rPr>
                <w:lang w:val="es-ES"/>
              </w:rPr>
            </w:r>
          </w:p>
        </w:tc>
      </w:tr>
      <w:tr>
        <w:trPr>
          <w:cantSplit w:val="false"/>
        </w:trPr>
        <w:tc>
          <w:tcPr>
            <w:shd w:val="clear" w:color="ffffff" w:fill="ffffff"/>
            <w:tcBorders/>
            <w:tcMar>
              <w:left w:w="90" w:type="dxa"/>
              <w:top w:w="60" w:type="dxa"/>
              <w:right w:w="90" w:type="dxa"/>
              <w:bottom w:w="60" w:type="dxa"/>
            </w:tcMar>
            <w:tcW w:w="2808" w:type="dxa"/>
            <w:vAlign w:val="center"/>
          </w:tcPr>
          <w:p w14:paraId="3F02112E">
            <w:pPr>
              <w:pBdr/>
              <w:spacing w:after="40" w:before="40" w:line="240" w:lineRule="auto"/>
              <w:ind/>
              <w:jc w:val="left"/>
              <w:rPr>
                <w:lang w:val="es-ES"/>
              </w:rPr>
            </w:pPr>
            <w:r>
              <w:rPr>
                <w:rFonts w:ascii="Calibri" w:hAnsi="Calibri" w:eastAsia="Calibri" w:cs="Calibri"/>
                <w:b/>
                <w:bCs/>
                <w:color w:val="000000"/>
                <w:sz w:val="16"/>
                <w:szCs w:val="16"/>
                <w:lang w:val="es-ES"/>
              </w:rPr>
              <w:t xml:space="preserve">TOTAL</w:t>
            </w:r>
            <w:r>
              <w:rPr>
                <w:lang w:val="es-ES"/>
              </w:rPr>
            </w:r>
          </w:p>
        </w:tc>
        <w:tc>
          <w:tcPr>
            <w:shd w:val="clear" w:color="ffffff" w:fill="ffffff"/>
            <w:tcBorders/>
            <w:tcMar>
              <w:left w:w="90" w:type="dxa"/>
              <w:top w:w="60" w:type="dxa"/>
              <w:right w:w="90" w:type="dxa"/>
              <w:bottom w:w="60" w:type="dxa"/>
            </w:tcMar>
            <w:tcW w:w="936" w:type="dxa"/>
            <w:vAlign w:val="center"/>
          </w:tcPr>
          <w:p w14:paraId="72510AA3">
            <w:pPr>
              <w:pBdr/>
              <w:spacing w:after="40" w:before="40" w:line="240" w:lineRule="auto"/>
              <w:ind/>
              <w:jc w:val="center"/>
              <w:rPr>
                <w:lang w:val="es-ES"/>
              </w:rPr>
            </w:pPr>
            <w:r>
              <w:rPr>
                <w:rFonts w:ascii="Calibri" w:hAnsi="Calibri" w:eastAsia="Calibri" w:cs="Calibri"/>
                <w:b w:val="0"/>
                <w:bCs w:val="0"/>
                <w:color w:val="000000"/>
                <w:sz w:val="16"/>
                <w:szCs w:val="16"/>
                <w:lang w:val="es-ES"/>
              </w:rPr>
              <w:t xml:space="preserve">1,00</w:t>
            </w:r>
            <w:r>
              <w:rPr>
                <w:lang w:val="es-ES"/>
              </w:rPr>
            </w:r>
          </w:p>
        </w:tc>
        <w:tc>
          <w:tcPr>
            <w:shd w:val="clear" w:color="ffffff" w:fill="ffffff"/>
            <w:tcBorders/>
            <w:tcMar>
              <w:left w:w="90" w:type="dxa"/>
              <w:top w:w="60" w:type="dxa"/>
              <w:right w:w="90" w:type="dxa"/>
              <w:bottom w:w="60" w:type="dxa"/>
            </w:tcMar>
            <w:tcW w:w="1872" w:type="dxa"/>
            <w:vAlign w:val="center"/>
          </w:tcPr>
          <w:p w14:paraId="6EAD1E69">
            <w:pPr>
              <w:pBdr/>
              <w:spacing w:after="40" w:before="40" w:line="240" w:lineRule="auto"/>
              <w:ind/>
              <w:jc w:val="center"/>
              <w:rPr>
                <w:lang w:val="es-ES"/>
              </w:rPr>
            </w:pPr>
            <w:r>
              <w:rPr>
                <w:rFonts w:ascii="Calibri" w:hAnsi="Calibri" w:eastAsia="Calibri" w:cs="Calibri"/>
                <w:b w:val="0"/>
                <w:bCs w:val="0"/>
                <w:color w:val="000000"/>
                <w:sz w:val="16"/>
                <w:szCs w:val="16"/>
                <w:lang w:val="es-ES"/>
              </w:rPr>
              <w:t xml:space="preserve">2,90  (58,0 %)</w:t>
            </w:r>
            <w:r>
              <w:rPr>
                <w:lang w:val="es-ES"/>
              </w:rPr>
            </w:r>
          </w:p>
        </w:tc>
        <w:tc>
          <w:tcPr>
            <w:shd w:val="clear" w:color="ffffff" w:fill="ffffff"/>
            <w:tcBorders/>
            <w:tcMar>
              <w:left w:w="90" w:type="dxa"/>
              <w:top w:w="60" w:type="dxa"/>
              <w:right w:w="90" w:type="dxa"/>
              <w:bottom w:w="60" w:type="dxa"/>
            </w:tcMar>
            <w:tcW w:w="1872" w:type="dxa"/>
            <w:vAlign w:val="center"/>
          </w:tcPr>
          <w:p w14:paraId="0C6CDC7D">
            <w:pPr>
              <w:pBdr/>
              <w:spacing w:after="40" w:before="40" w:line="240" w:lineRule="auto"/>
              <w:ind/>
              <w:jc w:val="center"/>
              <w:rPr>
                <w:lang w:val="es-ES"/>
              </w:rPr>
            </w:pPr>
            <w:r>
              <w:rPr>
                <w:rFonts w:ascii="Calibri" w:hAnsi="Calibri" w:eastAsia="Calibri" w:cs="Calibri"/>
                <w:b w:val="0"/>
                <w:bCs w:val="0"/>
                <w:color w:val="000000"/>
                <w:sz w:val="16"/>
                <w:szCs w:val="16"/>
                <w:lang w:val="es-ES"/>
              </w:rPr>
              <w:t xml:space="preserve">4,35  (87,0 %)</w:t>
            </w:r>
            <w:r>
              <w:rPr>
                <w:lang w:val="es-ES"/>
              </w:rPr>
            </w:r>
          </w:p>
        </w:tc>
        <w:tc>
          <w:tcPr>
            <w:shd w:val="clear" w:color="ffffff" w:fill="ffffff"/>
            <w:tcBorders/>
            <w:tcMar>
              <w:left w:w="90" w:type="dxa"/>
              <w:top w:w="60" w:type="dxa"/>
              <w:right w:w="90" w:type="dxa"/>
              <w:bottom w:w="60" w:type="dxa"/>
            </w:tcMar>
            <w:tcW w:w="1872" w:type="dxa"/>
            <w:vAlign w:val="center"/>
          </w:tcPr>
          <w:p w14:paraId="2757F8CC">
            <w:pPr>
              <w:pBdr/>
              <w:spacing w:after="40" w:before="40" w:line="240" w:lineRule="auto"/>
              <w:ind/>
              <w:jc w:val="center"/>
              <w:rPr>
                <w:lang w:val="es-ES"/>
              </w:rPr>
            </w:pPr>
            <w:r>
              <w:rPr>
                <w:rFonts w:ascii="Calibri" w:hAnsi="Calibri" w:eastAsia="Calibri" w:cs="Calibri"/>
                <w:b w:val="0"/>
                <w:bCs w:val="0"/>
                <w:color w:val="000000"/>
                <w:sz w:val="16"/>
                <w:szCs w:val="16"/>
                <w:lang w:val="es-ES"/>
              </w:rPr>
              <w:t xml:space="preserve">3,56  (71,2 %)</w:t>
            </w:r>
            <w:r>
              <w:rPr>
                <w:lang w:val="es-ES"/>
              </w:rPr>
            </w:r>
          </w:p>
        </w:tc>
      </w:tr>
    </w:tbl>
    <w:p w14:paraId="023DFDD0">
      <w:pPr>
        <w:pBdr/>
        <w:spacing w:after="160"/>
        <w:ind/>
        <w:rPr>
          <w:lang w:val="es-ES"/>
        </w:rPr>
      </w:pPr>
      <w:r>
        <w:rPr>
          <w:lang w:val="es-ES" w:bidi="es-ES"/>
        </w:rPr>
      </w:r>
      <w:r>
        <w:rPr>
          <w:lang w:val="es-ES"/>
        </w:rPr>
      </w:r>
    </w:p>
    <w:p w14:paraId="09017658">
      <w:pPr>
        <w:pBdr/>
        <w:spacing w:after="140" w:line="276" w:lineRule="auto"/>
        <w:ind/>
        <w:jc w:val="both"/>
        <w:rPr>
          <w:lang w:val="es-ES"/>
        </w:rPr>
      </w:pPr>
      <w:r>
        <w:rPr>
          <w:rFonts w:ascii="Calibri" w:hAnsi="Calibri" w:eastAsia="Calibri" w:cs="Calibri"/>
          <w:color w:val="000000"/>
          <w:sz w:val="21"/>
          <w:szCs w:val="21"/>
          <w:lang w:val="es-ES"/>
        </w:rPr>
        <w:t xml:space="preserve">Criterio de calificación empleado: 5 indica que la alternativa satisface el criterio de forma sobresaliente y sin esfuerzo adicional; 4, que lo satisface con un costo razonable; 3, que lo satisface de manera aceptable pero con reservas; 2, que lo satisface con dificultad y requiere trabajo compensatorio; y 1, que lo incumple o solo lo alcanza a un costo desproporcionado.</w:t>
      </w:r>
      <w:r>
        <w:rPr>
          <w:lang w:val="es-ES"/>
        </w:rPr>
      </w:r>
    </w:p>
    <w:p w14:paraId="1A912223">
      <w:pPr>
        <w:pStyle w:val="904"/>
        <w:keepNext w:val="true"/>
        <w:pBdr/>
        <w:spacing w:after="140" w:before="280"/>
        <w:ind/>
        <w:rPr>
          <w:lang w:val="es-ES"/>
        </w:rPr>
      </w:pPr>
      <w:r/>
      <w:bookmarkStart w:id="55" w:name="_Toc55"/>
      <w:r>
        <w:rPr>
          <w:rFonts w:ascii="Calibri" w:hAnsi="Calibri" w:eastAsia="Calibri" w:cs="Calibri"/>
          <w:b/>
          <w:bCs/>
          <w:color w:val="2e5496"/>
          <w:sz w:val="25"/>
          <w:szCs w:val="25"/>
          <w:lang w:val="es-ES"/>
        </w:rPr>
        <w:t xml:space="preserve">Anexo G — Resumen ejecutivo</w:t>
      </w:r>
      <w:r/>
      <w:bookmarkEnd w:id="55"/>
      <w:r/>
      <w:r>
        <w:rPr>
          <w:lang w:val="es-ES"/>
        </w:rPr>
      </w:r>
    </w:p>
    <w:tbl>
      <w:tblPr>
        <w:tblW w:w="9360" w:type="dxa"/>
        <w:tblBorders>
          <w:top w:val="single" w:color="8ea9db" w:sz="4" w:space="0"/>
          <w:left w:val="single" w:color="8ea9db" w:sz="4" w:space="0"/>
          <w:bottom w:val="single" w:color="8ea9db" w:sz="4" w:space="0"/>
          <w:right w:val="single" w:color="8ea9db" w:sz="4" w:space="0"/>
          <w:insideH w:val="single" w:color="b4c6e7" w:sz="2" w:space="0"/>
          <w:insideV w:val="single" w:color="b4c6e7" w:sz="2" w:space="0"/>
        </w:tblBorders>
        <w:tblLook w:val="04A0" w:firstRow="1" w:lastRow="0" w:firstColumn="1" w:lastColumn="0" w:noHBand="0" w:noVBand="1"/>
      </w:tblPr>
      <w:tblGrid>
        <w:gridCol w:w="2246"/>
        <w:gridCol w:w="7114"/>
      </w:tblGrid>
      <w:tr>
        <w:trPr>
          <w:cantSplit w:val="false"/>
          <w:tblHeader/>
        </w:trPr>
        <w:tc>
          <w:tcPr>
            <w:shd w:val="clear" w:color="ffffff" w:fill="d9e2f3"/>
            <w:tcBorders/>
            <w:tcMar>
              <w:left w:w="90" w:type="dxa"/>
              <w:top w:w="60" w:type="dxa"/>
              <w:right w:w="90" w:type="dxa"/>
              <w:bottom w:w="60" w:type="dxa"/>
            </w:tcMar>
            <w:tcW w:w="2246" w:type="dxa"/>
            <w:vAlign w:val="center"/>
          </w:tcPr>
          <w:p w14:paraId="13E18743">
            <w:pPr>
              <w:pBdr/>
              <w:spacing w:after="40" w:before="40" w:line="240" w:lineRule="auto"/>
              <w:ind/>
              <w:jc w:val="left"/>
              <w:rPr>
                <w:lang w:val="es-ES"/>
              </w:rPr>
            </w:pPr>
            <w:r>
              <w:rPr>
                <w:rFonts w:ascii="Calibri" w:hAnsi="Calibri" w:eastAsia="Calibri" w:cs="Calibri"/>
                <w:b/>
                <w:bCs/>
                <w:color w:val="1f3864"/>
                <w:sz w:val="17"/>
                <w:szCs w:val="17"/>
                <w:lang w:val="es-ES"/>
              </w:rPr>
              <w:t xml:space="preserve">Campo</w:t>
            </w:r>
            <w:r>
              <w:rPr>
                <w:lang w:val="es-ES"/>
              </w:rPr>
            </w:r>
          </w:p>
        </w:tc>
        <w:tc>
          <w:tcPr>
            <w:shd w:val="clear" w:color="ffffff" w:fill="d9e2f3"/>
            <w:tcBorders/>
            <w:tcMar>
              <w:left w:w="90" w:type="dxa"/>
              <w:top w:w="60" w:type="dxa"/>
              <w:right w:w="90" w:type="dxa"/>
              <w:bottom w:w="60" w:type="dxa"/>
            </w:tcMar>
            <w:tcW w:w="7114" w:type="dxa"/>
            <w:vAlign w:val="center"/>
          </w:tcPr>
          <w:p w14:paraId="544ECF00">
            <w:pPr>
              <w:pBdr/>
              <w:spacing w:after="40" w:before="40" w:line="240" w:lineRule="auto"/>
              <w:ind/>
              <w:jc w:val="left"/>
              <w:rPr>
                <w:lang w:val="es-ES"/>
              </w:rPr>
            </w:pPr>
            <w:r>
              <w:rPr>
                <w:rFonts w:ascii="Calibri" w:hAnsi="Calibri" w:eastAsia="Calibri" w:cs="Calibri"/>
                <w:b/>
                <w:bCs/>
                <w:color w:val="1f3864"/>
                <w:sz w:val="17"/>
                <w:szCs w:val="17"/>
                <w:lang w:val="es-ES"/>
              </w:rPr>
              <w:t xml:space="preserve">Contenido</w:t>
            </w:r>
            <w:r>
              <w:rPr>
                <w:lang w:val="es-ES"/>
              </w:rPr>
            </w:r>
          </w:p>
        </w:tc>
      </w:tr>
      <w:tr>
        <w:trPr>
          <w:cantSplit w:val="false"/>
        </w:trPr>
        <w:tc>
          <w:tcPr>
            <w:shd w:val="clear" w:color="ffffff" w:fill="ffffff"/>
            <w:tcBorders/>
            <w:tcMar>
              <w:left w:w="90" w:type="dxa"/>
              <w:top w:w="60" w:type="dxa"/>
              <w:right w:w="90" w:type="dxa"/>
              <w:bottom w:w="60" w:type="dxa"/>
            </w:tcMar>
            <w:tcW w:w="2246" w:type="dxa"/>
            <w:vAlign w:val="center"/>
          </w:tcPr>
          <w:p w14:paraId="14802352">
            <w:pPr>
              <w:pBdr/>
              <w:spacing w:after="40" w:before="40" w:line="240" w:lineRule="auto"/>
              <w:ind/>
              <w:jc w:val="left"/>
              <w:rPr>
                <w:lang w:val="es-ES"/>
              </w:rPr>
            </w:pPr>
            <w:r>
              <w:rPr>
                <w:rFonts w:ascii="Calibri" w:hAnsi="Calibri" w:eastAsia="Calibri" w:cs="Calibri"/>
                <w:b/>
                <w:bCs/>
                <w:color w:val="000000"/>
                <w:sz w:val="17"/>
                <w:szCs w:val="17"/>
                <w:lang w:val="es-ES"/>
              </w:rPr>
              <w:t xml:space="preserve">Arquitectura elegida</w:t>
            </w:r>
            <w:r>
              <w:rPr>
                <w:lang w:val="es-ES"/>
              </w:rPr>
            </w:r>
          </w:p>
        </w:tc>
        <w:tc>
          <w:tcPr>
            <w:shd w:val="clear" w:color="ffffff" w:fill="ffffff"/>
            <w:tcBorders/>
            <w:tcMar>
              <w:left w:w="90" w:type="dxa"/>
              <w:top w:w="60" w:type="dxa"/>
              <w:right w:w="90" w:type="dxa"/>
              <w:bottom w:w="60" w:type="dxa"/>
            </w:tcMar>
            <w:tcW w:w="7114" w:type="dxa"/>
            <w:vAlign w:val="center"/>
          </w:tcPr>
          <w:p w14:paraId="7F68AF7A">
            <w:pPr>
              <w:pBdr/>
              <w:spacing w:after="40" w:before="40" w:line="240" w:lineRule="auto"/>
              <w:ind/>
              <w:jc w:val="left"/>
              <w:rPr>
                <w:lang w:val="es-ES"/>
              </w:rPr>
            </w:pPr>
            <w:r>
              <w:rPr>
                <w:rFonts w:ascii="Calibri" w:hAnsi="Calibri" w:eastAsia="Calibri" w:cs="Calibri"/>
                <w:b w:val="0"/>
                <w:bCs w:val="0"/>
                <w:color w:val="000000"/>
                <w:sz w:val="17"/>
                <w:szCs w:val="17"/>
                <w:lang w:val="es-ES"/>
              </w:rPr>
              <w:t xml:space="preserve">Monolito modular en cuatro capas con puertos y adaptadores (hexagonal), API REST y procesamiento asíncrono por eventos de dominio.</w:t>
            </w:r>
            <w:r>
              <w:rPr>
                <w:lang w:val="es-ES"/>
              </w:rPr>
            </w:r>
          </w:p>
        </w:tc>
      </w:tr>
      <w:tr>
        <w:trPr>
          <w:cantSplit w:val="false"/>
        </w:trPr>
        <w:tc>
          <w:tcPr>
            <w:shd w:val="clear" w:color="ffffff" w:fill="f2f5fa"/>
            <w:tcBorders/>
            <w:tcMar>
              <w:left w:w="90" w:type="dxa"/>
              <w:top w:w="60" w:type="dxa"/>
              <w:right w:w="90" w:type="dxa"/>
              <w:bottom w:w="60" w:type="dxa"/>
            </w:tcMar>
            <w:tcW w:w="2246" w:type="dxa"/>
            <w:vAlign w:val="center"/>
          </w:tcPr>
          <w:p w14:paraId="61FD14A6">
            <w:pPr>
              <w:pBdr/>
              <w:spacing w:after="40" w:before="40" w:line="240" w:lineRule="auto"/>
              <w:ind/>
              <w:jc w:val="left"/>
              <w:rPr>
                <w:lang w:val="es-ES"/>
              </w:rPr>
            </w:pPr>
            <w:r>
              <w:rPr>
                <w:rFonts w:ascii="Calibri" w:hAnsi="Calibri" w:eastAsia="Calibri" w:cs="Calibri"/>
                <w:b/>
                <w:bCs/>
                <w:color w:val="000000"/>
                <w:sz w:val="17"/>
                <w:szCs w:val="17"/>
                <w:lang w:val="es-ES"/>
              </w:rPr>
              <w:t xml:space="preserve">Criterio principal de elección</w:t>
            </w:r>
            <w:r>
              <w:rPr>
                <w:lang w:val="es-ES"/>
              </w:rPr>
            </w:r>
          </w:p>
        </w:tc>
        <w:tc>
          <w:tcPr>
            <w:shd w:val="clear" w:color="ffffff" w:fill="f2f5fa"/>
            <w:tcBorders/>
            <w:tcMar>
              <w:left w:w="90" w:type="dxa"/>
              <w:top w:w="60" w:type="dxa"/>
              <w:right w:w="90" w:type="dxa"/>
              <w:bottom w:w="60" w:type="dxa"/>
            </w:tcMar>
            <w:tcW w:w="7114" w:type="dxa"/>
            <w:vAlign w:val="center"/>
          </w:tcPr>
          <w:p w14:paraId="4B6E19AA">
            <w:pPr>
              <w:pBdr/>
              <w:spacing w:after="40" w:before="40" w:line="240" w:lineRule="auto"/>
              <w:ind/>
              <w:jc w:val="left"/>
              <w:rPr>
                <w:lang w:val="es-ES"/>
              </w:rPr>
            </w:pPr>
            <w:r>
              <w:rPr>
                <w:rFonts w:ascii="Calibri" w:hAnsi="Calibri" w:eastAsia="Calibri" w:cs="Calibri"/>
                <w:b w:val="0"/>
                <w:bCs w:val="0"/>
                <w:color w:val="000000"/>
                <w:sz w:val="17"/>
                <w:szCs w:val="17"/>
                <w:lang w:val="es-ES"/>
              </w:rPr>
              <w:t xml:space="preserve">Mantenibilidad y capacidad de pruebas (C-05, 15 %), reforzada por costo y simplicidad (C-07, 13 %) y por seguridad y cumplimiento (C-04, 15 %). Puntuación obtenida: 4,35 sobre 5,00, equivalente al 87,0 %.</w:t>
            </w:r>
            <w:r>
              <w:rPr>
                <w:lang w:val="es-ES"/>
              </w:rPr>
            </w:r>
          </w:p>
        </w:tc>
      </w:tr>
      <w:tr>
        <w:trPr>
          <w:cantSplit w:val="false"/>
        </w:trPr>
        <w:tc>
          <w:tcPr>
            <w:shd w:val="clear" w:color="ffffff" w:fill="ffffff"/>
            <w:tcBorders/>
            <w:tcMar>
              <w:left w:w="90" w:type="dxa"/>
              <w:top w:w="60" w:type="dxa"/>
              <w:right w:w="90" w:type="dxa"/>
              <w:bottom w:w="60" w:type="dxa"/>
            </w:tcMar>
            <w:tcW w:w="2246" w:type="dxa"/>
            <w:vAlign w:val="center"/>
          </w:tcPr>
          <w:p w14:paraId="593714B4">
            <w:pPr>
              <w:pBdr/>
              <w:spacing w:after="40" w:before="40" w:line="240" w:lineRule="auto"/>
              <w:ind/>
              <w:jc w:val="left"/>
              <w:rPr>
                <w:lang w:val="es-ES"/>
              </w:rPr>
            </w:pPr>
            <w:r>
              <w:rPr>
                <w:rFonts w:ascii="Calibri" w:hAnsi="Calibri" w:eastAsia="Calibri" w:cs="Calibri"/>
                <w:b/>
                <w:bCs/>
                <w:color w:val="000000"/>
                <w:sz w:val="17"/>
                <w:szCs w:val="17"/>
                <w:lang w:val="es-ES"/>
              </w:rPr>
              <w:t xml:space="preserve">Relación con los requisitos</w:t>
            </w:r>
            <w:r>
              <w:rPr>
                <w:lang w:val="es-ES"/>
              </w:rPr>
            </w:r>
          </w:p>
        </w:tc>
        <w:tc>
          <w:tcPr>
            <w:shd w:val="clear" w:color="ffffff" w:fill="ffffff"/>
            <w:tcBorders/>
            <w:tcMar>
              <w:left w:w="90" w:type="dxa"/>
              <w:top w:w="60" w:type="dxa"/>
              <w:right w:w="90" w:type="dxa"/>
              <w:bottom w:w="60" w:type="dxa"/>
            </w:tcMar>
            <w:tcW w:w="7114" w:type="dxa"/>
            <w:vAlign w:val="center"/>
          </w:tcPr>
          <w:p w14:paraId="63800484">
            <w:pPr>
              <w:pBdr/>
              <w:spacing w:after="40" w:before="40" w:line="240" w:lineRule="auto"/>
              <w:ind/>
              <w:jc w:val="left"/>
              <w:rPr>
                <w:lang w:val="es-ES"/>
              </w:rPr>
            </w:pPr>
            <w:r>
              <w:rPr>
                <w:rFonts w:ascii="Calibri" w:hAnsi="Calibri" w:eastAsia="Calibri" w:cs="Calibri"/>
                <w:b w:val="0"/>
                <w:bCs w:val="0"/>
                <w:color w:val="000000"/>
                <w:sz w:val="17"/>
                <w:szCs w:val="17"/>
                <w:lang w:val="es-ES"/>
              </w:rPr>
              <w:t xml:space="preserve">Esta arquitectura satisface los requisitos porque sitúa las reglas de negocio en un núcleo comprobable sin infraestructura, lo que hace alcanzable el umbral de cobertura del 80 % de RNF-04; mantiene las instancias sin estado, lo que habilita el escalamiento horizontal exigido por RNF-05; desacopla los efectos diferidos del ciclo de petición y respuesta, protegiendo los umbrales de RNF-01 frente a la latencia de un tercero; e impone la inmutabilidad de la auditoría en el gestor de base de datos y no en el código, satisfaciendo de forma verificable a RF-10 y RNF-03.</w:t>
            </w:r>
            <w:r>
              <w:rPr>
                <w:lang w:val="es-ES"/>
              </w:rPr>
            </w:r>
          </w:p>
        </w:tc>
      </w:tr>
      <w:tr>
        <w:trPr>
          <w:cantSplit w:val="false"/>
        </w:trPr>
        <w:tc>
          <w:tcPr>
            <w:shd w:val="clear" w:color="ffffff" w:fill="f2f5fa"/>
            <w:tcBorders/>
            <w:tcMar>
              <w:left w:w="90" w:type="dxa"/>
              <w:top w:w="60" w:type="dxa"/>
              <w:right w:w="90" w:type="dxa"/>
              <w:bottom w:w="60" w:type="dxa"/>
            </w:tcMar>
            <w:tcW w:w="2246" w:type="dxa"/>
            <w:vAlign w:val="center"/>
          </w:tcPr>
          <w:p w14:paraId="5BAEE5E9">
            <w:pPr>
              <w:pBdr/>
              <w:spacing w:after="40" w:before="40" w:line="240" w:lineRule="auto"/>
              <w:ind/>
              <w:jc w:val="left"/>
              <w:rPr>
                <w:lang w:val="es-ES"/>
              </w:rPr>
            </w:pPr>
            <w:r>
              <w:rPr>
                <w:rFonts w:ascii="Calibri" w:hAnsi="Calibri" w:eastAsia="Calibri" w:cs="Calibri"/>
                <w:b/>
                <w:bCs/>
                <w:color w:val="000000"/>
                <w:sz w:val="17"/>
                <w:szCs w:val="17"/>
                <w:lang w:val="es-ES"/>
              </w:rPr>
              <w:t xml:space="preserve">Cumplimiento de ISO/IEC/IEEE 42010:2022</w:t>
            </w:r>
            <w:r>
              <w:rPr>
                <w:lang w:val="es-ES"/>
              </w:rPr>
            </w:r>
          </w:p>
        </w:tc>
        <w:tc>
          <w:tcPr>
            <w:shd w:val="clear" w:color="ffffff" w:fill="f2f5fa"/>
            <w:tcBorders/>
            <w:tcMar>
              <w:left w:w="90" w:type="dxa"/>
              <w:top w:w="60" w:type="dxa"/>
              <w:right w:w="90" w:type="dxa"/>
              <w:bottom w:w="60" w:type="dxa"/>
            </w:tcMar>
            <w:tcW w:w="7114" w:type="dxa"/>
            <w:vAlign w:val="center"/>
          </w:tcPr>
          <w:p w14:paraId="1FE18828">
            <w:pPr>
              <w:pBdr/>
              <w:spacing w:after="40" w:before="40" w:line="240" w:lineRule="auto"/>
              <w:ind/>
              <w:jc w:val="left"/>
              <w:rPr>
                <w:lang w:val="es-ES"/>
              </w:rPr>
            </w:pPr>
            <w:r>
              <w:rPr>
                <w:rFonts w:ascii="Calibri" w:hAnsi="Calibri" w:eastAsia="Calibri" w:cs="Calibri"/>
                <w:b w:val="0"/>
                <w:bCs w:val="0"/>
                <w:color w:val="000000"/>
                <w:sz w:val="17"/>
                <w:szCs w:val="17"/>
                <w:lang w:val="es-ES"/>
              </w:rPr>
              <w:t xml:space="preserve">Esta Descripción de Arquitectura recorre íntegramente la Cláusula 6: identificación de la entidad de interés, interesados, perspectivas, preocupaciones, aspectos, puntos de vista, vistas, correspondencias y decisiones acompañadas de su justificación. La verificación de cubrimiento de la sección 2.12 registra diez requisitos de la norma, nueve plenamente verificados y uno parcial, este último documentado con su motivo.</w:t>
            </w:r>
            <w:r>
              <w:rPr>
                <w:lang w:val="es-ES"/>
              </w:rPr>
            </w:r>
          </w:p>
        </w:tc>
      </w:tr>
      <w:tr>
        <w:trPr>
          <w:cantSplit w:val="false"/>
        </w:trPr>
        <w:tc>
          <w:tcPr>
            <w:shd w:val="clear" w:color="ffffff" w:fill="ffffff"/>
            <w:tcBorders/>
            <w:tcMar>
              <w:left w:w="90" w:type="dxa"/>
              <w:top w:w="60" w:type="dxa"/>
              <w:right w:w="90" w:type="dxa"/>
              <w:bottom w:w="60" w:type="dxa"/>
            </w:tcMar>
            <w:tcW w:w="2246" w:type="dxa"/>
            <w:vAlign w:val="center"/>
          </w:tcPr>
          <w:p w14:paraId="6651DFD8">
            <w:pPr>
              <w:pBdr/>
              <w:spacing w:after="40" w:before="40" w:line="240" w:lineRule="auto"/>
              <w:ind/>
              <w:jc w:val="left"/>
              <w:rPr>
                <w:lang w:val="es-ES"/>
              </w:rPr>
            </w:pPr>
            <w:r>
              <w:rPr>
                <w:rFonts w:ascii="Calibri" w:hAnsi="Calibri" w:eastAsia="Calibri" w:cs="Calibri"/>
                <w:b/>
                <w:bCs/>
                <w:color w:val="000000"/>
                <w:sz w:val="17"/>
                <w:szCs w:val="17"/>
                <w:lang w:val="es-ES"/>
              </w:rPr>
              <w:t xml:space="preserve">Limitaciones declaradas</w:t>
            </w:r>
            <w:r>
              <w:rPr>
                <w:lang w:val="es-ES"/>
              </w:rPr>
            </w:r>
          </w:p>
        </w:tc>
        <w:tc>
          <w:tcPr>
            <w:shd w:val="clear" w:color="ffffff" w:fill="ffffff"/>
            <w:tcBorders/>
            <w:tcMar>
              <w:left w:w="90" w:type="dxa"/>
              <w:top w:w="60" w:type="dxa"/>
              <w:right w:w="90" w:type="dxa"/>
              <w:bottom w:w="60" w:type="dxa"/>
            </w:tcMar>
            <w:tcW w:w="7114" w:type="dxa"/>
            <w:vAlign w:val="center"/>
          </w:tcPr>
          <w:p w14:paraId="410ABFF8">
            <w:pPr>
              <w:pBdr/>
              <w:spacing w:after="40" w:before="40" w:line="240" w:lineRule="auto"/>
              <w:ind/>
              <w:jc w:val="left"/>
              <w:rPr>
                <w:lang w:val="es-ES"/>
              </w:rPr>
            </w:pPr>
            <w:r>
              <w:rPr>
                <w:rFonts w:ascii="Calibri" w:hAnsi="Calibri" w:eastAsia="Calibri" w:cs="Calibri"/>
                <w:b w:val="0"/>
                <w:bCs w:val="0"/>
                <w:color w:val="000000"/>
                <w:sz w:val="17"/>
                <w:szCs w:val="17"/>
                <w:lang w:val="es-ES"/>
              </w:rPr>
              <w:t xml:space="preserve">Autoevaluación realizada por el propio equipo, no por revisores independientes; umbrales de rendimiento satisfechos por diseño pero pendientes de verificación empírica; una correspondencia (CR-10) declarada parcial y dos inconsistencias entre vistas registradas de forma explícita.</w:t>
            </w:r>
            <w:r>
              <w:rPr>
                <w:lang w:val="es-ES"/>
              </w:rPr>
            </w:r>
          </w:p>
        </w:tc>
      </w:tr>
    </w:tbl>
    <w:p w14:paraId="6D3FE4EE">
      <w:pPr>
        <w:pBdr/>
        <w:spacing w:after="160"/>
        <w:ind/>
        <w:rPr>
          <w:lang w:val="es-ES"/>
        </w:rPr>
      </w:pPr>
      <w:r>
        <w:rPr>
          <w:lang w:val="es-ES" w:bidi="es-ES"/>
        </w:rPr>
      </w:r>
      <w:r>
        <w:rPr>
          <w:lang w:val="es-ES"/>
        </w:rPr>
      </w:r>
    </w:p>
    <w:p>
      <w:pPr>
        <w:pBdr/>
        <w:spacing w:after="160"/>
        <w:ind/>
        <w:rPr>
          <w:lang w:val="es-ES"/>
        </w:rPr>
      </w:pPr>
      <w:r>
        <w:rPr>
          <w:lang w:val="es-ES"/>
        </w:rPr>
      </w:r>
    </w:p>
    <w:sectPr>
      <w:headerReference w:type="default" r:id="rId9"/>
      <w:footerReference w:type="default" r:id="rId10"/>
      <w:footnotePr/>
      <w:endnotePr/>
      <w:type w:val="nextPage"/>
      <w:pgSz w:h="15840" w:orient="portrait" w:w="12240"/>
      <w:pgMar w:top="1440" w:right="1440" w:bottom="1440" w:left="144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top w:val="single" w:color="b4c6e7" w:sz="4" w:space="0"/>
      </w:pBdr>
      <w:spacing w:before="100"/>
      <w:ind/>
      <w:jc w:val="center"/>
      <w:rPr/>
    </w:pPr>
    <w:r>
      <w:rPr>
        <w:rFonts w:ascii="Calibri" w:hAnsi="Calibri" w:eastAsia="Calibri" w:cs="Calibri"/>
        <w:color w:val="595959"/>
        <w:sz w:val="16"/>
        <w:szCs w:val="16"/>
      </w:rPr>
      <w:t xml:space="preserve">AbasteceNi — Descripción de Arquitectura de Software  ·  Versión 1.1  ·  Página </w:t>
    </w:r>
    <w:r>
      <w:rPr>
        <w:rFonts w:ascii="Calibri" w:hAnsi="Calibri" w:eastAsia="Calibri" w:cs="Calibri"/>
        <w:color w:val="595959"/>
        <w:sz w:val="16"/>
        <w:szCs w:val="16"/>
      </w:rPr>
      <w:fldChar w:fldCharType="begin"/>
      <w:instrText xml:space="preserve">PAGE</w:instrText>
      <w:fldChar w:fldCharType="separate"/>
      <w:fldChar w:fldCharType="end"/>
    </w:r>
    <w:r>
      <w:rPr>
        <w:rFonts w:ascii="Calibri" w:hAnsi="Calibri" w:eastAsia="Calibri" w:cs="Calibri"/>
        <w:color w:val="595959"/>
        <w:sz w:val="16"/>
        <w:szCs w:val="16"/>
      </w:rPr>
      <w:t xml:space="preserve"> de </w:t>
    </w:r>
    <w:r>
      <w:rPr>
        <w:rFonts w:ascii="Calibri" w:hAnsi="Calibri" w:eastAsia="Calibri" w:cs="Calibri"/>
        <w:color w:val="595959"/>
        <w:sz w:val="16"/>
        <w:szCs w:val="16"/>
      </w:rPr>
      <w:fldChar w:fldCharType="begin"/>
      <w:instrText xml:space="preserve">NUMPAGES</w:instrText>
      <w:fldChar w:fldCharType="separate"/>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bottom w:val="single" w:color="b4c6e7" w:sz="4" w:space="0"/>
      </w:pBdr>
      <w:spacing w:after="100"/>
      <w:ind/>
      <w:jc w:val="right"/>
      <w:rPr/>
    </w:pPr>
    <w:r>
      <w:rPr>
        <w:rFonts w:ascii="Calibri" w:hAnsi="Calibri" w:eastAsia="Calibri" w:cs="Calibri"/>
        <w:i/>
        <w:iCs/>
        <w:color w:val="595959"/>
        <w:sz w:val="16"/>
        <w:szCs w:val="16"/>
      </w:rPr>
      <w:t xml:space="preserve">Universidad Nacional de Ingeniería  ·  Ingeniería de Software I  ·  Grupo 4S1-COM</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259" w:left="460"/>
      </w:pPr>
      <w:rPr/>
      <w:start w:val="1"/>
      <w:suff w:val="tab"/>
    </w:lvl>
    <w:lvl w:ilvl="1">
      <w:isLgl w:val="false"/>
      <w:lvlJc w:val="left"/>
      <w:lvlText w:val="◦"/>
      <w:numFmt w:val="bullet"/>
      <w:pPr>
        <w:pBdr/>
        <w:spacing/>
        <w:ind w:hanging="259" w:left="892"/>
      </w:pPr>
      <w:rPr/>
      <w:start w:val="1"/>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sz w:val="21"/>
        <w:szCs w:val="21"/>
        <w:lang w:val="es-ES" w:eastAsia="zh-CN"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8"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Table Grid"/>
    <w:basedOn w:val="728"/>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Table Grid Light"/>
    <w:basedOn w:val="72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Plain Table 1"/>
    <w:basedOn w:val="72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Plain Table 2"/>
    <w:basedOn w:val="728"/>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Plain Table 3"/>
    <w:basedOn w:val="72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Plain Table 4"/>
    <w:basedOn w:val="72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Plain Table 5"/>
    <w:basedOn w:val="72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w:basedOn w:val="728"/>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1"/>
    <w:basedOn w:val="72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1 Light - Accent 2"/>
    <w:basedOn w:val="72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1 Light - Accent 3"/>
    <w:basedOn w:val="72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1 Light - Accent 4"/>
    <w:basedOn w:val="72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1 Light - Accent 5"/>
    <w:basedOn w:val="72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1 Light - Accent 6"/>
    <w:basedOn w:val="72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w:basedOn w:val="72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1"/>
    <w:basedOn w:val="72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2 - Accent 2"/>
    <w:basedOn w:val="72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2 - Accent 3"/>
    <w:basedOn w:val="72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2 - Accent 4"/>
    <w:basedOn w:val="72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2 - Accent 5"/>
    <w:basedOn w:val="72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2 - Accent 6"/>
    <w:basedOn w:val="72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w:basedOn w:val="72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1"/>
    <w:basedOn w:val="72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3 - Accent 2"/>
    <w:basedOn w:val="72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3 - Accent 3"/>
    <w:basedOn w:val="72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3 - Accent 4"/>
    <w:basedOn w:val="72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3 - Accent 5"/>
    <w:basedOn w:val="72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3 - Accent 6"/>
    <w:basedOn w:val="72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w:basedOn w:val="728"/>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1"/>
    <w:basedOn w:val="72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4 - Accent 2"/>
    <w:basedOn w:val="72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4 - Accent 3"/>
    <w:basedOn w:val="72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4 - Accent 4"/>
    <w:basedOn w:val="72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4 - Accent 5"/>
    <w:basedOn w:val="72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4 - Accent 6"/>
    <w:basedOn w:val="72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w:basedOn w:val="72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Accent 1"/>
    <w:basedOn w:val="72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5 Dark - Accent 2"/>
    <w:basedOn w:val="72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5 Dark - Accent 3"/>
    <w:basedOn w:val="72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5 Dark- Accent 4"/>
    <w:basedOn w:val="72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5 Dark - Accent 5"/>
    <w:basedOn w:val="72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5 Dark - Accent 6"/>
    <w:basedOn w:val="72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6 Colorful"/>
    <w:basedOn w:val="728"/>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72">
    <w:name w:val="Grid Table 6 Colorful - Accent 1"/>
    <w:basedOn w:val="72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73">
    <w:name w:val="Grid Table 6 Colorful - Accent 2"/>
    <w:basedOn w:val="72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74">
    <w:name w:val="Grid Table 6 Colorful - Accent 3"/>
    <w:basedOn w:val="72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5">
    <w:name w:val="Grid Table 6 Colorful - Accent 4"/>
    <w:basedOn w:val="72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6">
    <w:name w:val="Grid Table 6 Colorful - Accent 5"/>
    <w:basedOn w:val="72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7">
    <w:name w:val="Grid Table 6 Colorful - Accent 6"/>
    <w:basedOn w:val="72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8">
    <w:name w:val="Grid Table 7 Colorful"/>
    <w:basedOn w:val="728"/>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1"/>
    <w:basedOn w:val="72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7 Colorful - Accent 2"/>
    <w:basedOn w:val="72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7 Colorful - Accent 3"/>
    <w:basedOn w:val="72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7 Colorful - Accent 4"/>
    <w:basedOn w:val="72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7 Colorful - Accent 5"/>
    <w:basedOn w:val="72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7 Colorful - Accent 6"/>
    <w:basedOn w:val="72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w:basedOn w:val="72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1"/>
    <w:basedOn w:val="72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1 Light - Accent 2"/>
    <w:basedOn w:val="72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1 Light - Accent 3"/>
    <w:basedOn w:val="72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1 Light - Accent 4"/>
    <w:basedOn w:val="72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1 Light - Accent 5"/>
    <w:basedOn w:val="72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1 Light - Accent 6"/>
    <w:basedOn w:val="72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w:basedOn w:val="728"/>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1"/>
    <w:basedOn w:val="72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2 - Accent 2"/>
    <w:basedOn w:val="72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2 - Accent 3"/>
    <w:basedOn w:val="72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2 - Accent 4"/>
    <w:basedOn w:val="72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2 - Accent 5"/>
    <w:basedOn w:val="72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2 - Accent 6"/>
    <w:basedOn w:val="72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w:basedOn w:val="72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1"/>
    <w:basedOn w:val="72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3 - Accent 2"/>
    <w:basedOn w:val="72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3 - Accent 3"/>
    <w:basedOn w:val="72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3 - Accent 4"/>
    <w:basedOn w:val="72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3 - Accent 5"/>
    <w:basedOn w:val="72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3 - Accent 6"/>
    <w:basedOn w:val="72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w:basedOn w:val="72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1"/>
    <w:basedOn w:val="72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4 - Accent 2"/>
    <w:basedOn w:val="72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4 - Accent 3"/>
    <w:basedOn w:val="72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4 - Accent 4"/>
    <w:basedOn w:val="72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4 - Accent 5"/>
    <w:basedOn w:val="72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4 - Accent 6"/>
    <w:basedOn w:val="72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5 Dark"/>
    <w:basedOn w:val="728"/>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1"/>
    <w:basedOn w:val="72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5 Dark - Accent 2"/>
    <w:basedOn w:val="72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6">
    <w:name w:val="List Table 5 Dark - Accent 3"/>
    <w:basedOn w:val="72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7">
    <w:name w:val="List Table 5 Dark - Accent 4"/>
    <w:basedOn w:val="72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8">
    <w:name w:val="List Table 5 Dark - Accent 5"/>
    <w:basedOn w:val="72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9">
    <w:name w:val="List Table 5 Dark - Accent 6"/>
    <w:basedOn w:val="72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0">
    <w:name w:val="List Table 6 Colorful"/>
    <w:basedOn w:val="728"/>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1"/>
    <w:basedOn w:val="72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6 Colorful - Accent 2"/>
    <w:basedOn w:val="72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6 Colorful - Accent 3"/>
    <w:basedOn w:val="72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6 Colorful - Accent 4"/>
    <w:basedOn w:val="72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6 Colorful - Accent 5"/>
    <w:basedOn w:val="72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6 Colorful - Accent 6"/>
    <w:basedOn w:val="72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7 Colorful"/>
    <w:basedOn w:val="728"/>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8">
    <w:name w:val="List Table 7 Colorful - Accent 1"/>
    <w:basedOn w:val="72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9">
    <w:name w:val="List Table 7 Colorful - Accent 2"/>
    <w:basedOn w:val="72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30">
    <w:name w:val="List Table 7 Colorful - Accent 3"/>
    <w:basedOn w:val="72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31">
    <w:name w:val="List Table 7 Colorful - Accent 4"/>
    <w:basedOn w:val="72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32">
    <w:name w:val="List Table 7 Colorful - Accent 5"/>
    <w:basedOn w:val="72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33">
    <w:name w:val="List Table 7 Colorful - Accent 6"/>
    <w:basedOn w:val="72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34">
    <w:name w:val="Lined - Accent"/>
    <w:basedOn w:val="72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1"/>
    <w:basedOn w:val="72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ned - Accent 2"/>
    <w:basedOn w:val="72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ned - Accent 3"/>
    <w:basedOn w:val="72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ned - Accent 4"/>
    <w:basedOn w:val="72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ned - Accent 5"/>
    <w:basedOn w:val="72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ned - Accent 6"/>
    <w:basedOn w:val="72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w:basedOn w:val="728"/>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1"/>
    <w:basedOn w:val="728"/>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amp; Lined - Accent 2"/>
    <w:basedOn w:val="728"/>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amp; Lined - Accent 3"/>
    <w:basedOn w:val="728"/>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amp; Lined - Accent 4"/>
    <w:basedOn w:val="728"/>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amp; Lined - Accent 5"/>
    <w:basedOn w:val="728"/>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amp; Lined - Accent 6"/>
    <w:basedOn w:val="728"/>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w:basedOn w:val="728"/>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1"/>
    <w:basedOn w:val="72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Bordered - Accent 2"/>
    <w:basedOn w:val="72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Bordered - Accent 3"/>
    <w:basedOn w:val="72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Bordered - Accent 4"/>
    <w:basedOn w:val="72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Bordered - Accent 5"/>
    <w:basedOn w:val="72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Bordered - Accent 6"/>
    <w:basedOn w:val="72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5" w:default="1">
    <w:name w:val="Normal"/>
    <w:qFormat/>
    <w:pPr>
      <w:pBdr/>
      <w:spacing/>
      <w:ind/>
    </w:pPr>
  </w:style>
  <w:style w:type="paragraph" w:styleId="856">
    <w:name w:val="Heading 7"/>
    <w:basedOn w:val="855"/>
    <w:next w:val="855"/>
    <w:link w:val="867"/>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57">
    <w:name w:val="Heading 8"/>
    <w:basedOn w:val="855"/>
    <w:next w:val="855"/>
    <w:link w:val="868"/>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58">
    <w:name w:val="Heading 9"/>
    <w:basedOn w:val="855"/>
    <w:next w:val="855"/>
    <w:link w:val="869"/>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59" w:default="1">
    <w:name w:val="Default Paragraph Font"/>
    <w:uiPriority w:val="1"/>
    <w:semiHidden/>
    <w:unhideWhenUsed/>
    <w:pPr>
      <w:pBdr/>
      <w:spacing/>
      <w:ind/>
    </w:pPr>
  </w:style>
  <w:style w:type="numbering" w:styleId="860" w:default="1">
    <w:name w:val="No List"/>
    <w:uiPriority w:val="99"/>
    <w:semiHidden/>
    <w:unhideWhenUsed/>
    <w:pPr>
      <w:pBdr/>
      <w:spacing/>
      <w:ind/>
    </w:pPr>
  </w:style>
  <w:style w:type="character" w:styleId="861">
    <w:name w:val="Heading 1 Char"/>
    <w:basedOn w:val="859"/>
    <w:link w:val="903"/>
    <w:uiPriority w:val="9"/>
    <w:pPr>
      <w:pBdr/>
      <w:spacing/>
      <w:ind/>
    </w:pPr>
    <w:rPr>
      <w:rFonts w:ascii="Arial" w:hAnsi="Arial" w:eastAsia="Arial" w:cs="Arial"/>
      <w:color w:val="0f4761" w:themeColor="accent1" w:themeShade="BF"/>
      <w:sz w:val="40"/>
      <w:szCs w:val="40"/>
    </w:rPr>
  </w:style>
  <w:style w:type="character" w:styleId="862">
    <w:name w:val="Heading 2 Char"/>
    <w:basedOn w:val="859"/>
    <w:link w:val="904"/>
    <w:uiPriority w:val="9"/>
    <w:pPr>
      <w:pBdr/>
      <w:spacing/>
      <w:ind/>
    </w:pPr>
    <w:rPr>
      <w:rFonts w:ascii="Arial" w:hAnsi="Arial" w:eastAsia="Arial" w:cs="Arial"/>
      <w:color w:val="0f4761" w:themeColor="accent1" w:themeShade="BF"/>
      <w:sz w:val="32"/>
      <w:szCs w:val="32"/>
    </w:rPr>
  </w:style>
  <w:style w:type="character" w:styleId="863">
    <w:name w:val="Heading 3 Char"/>
    <w:basedOn w:val="859"/>
    <w:link w:val="905"/>
    <w:uiPriority w:val="9"/>
    <w:pPr>
      <w:pBdr/>
      <w:spacing/>
      <w:ind/>
    </w:pPr>
    <w:rPr>
      <w:rFonts w:ascii="Arial" w:hAnsi="Arial" w:eastAsia="Arial" w:cs="Arial"/>
      <w:color w:val="0f4761" w:themeColor="accent1" w:themeShade="BF"/>
      <w:sz w:val="28"/>
      <w:szCs w:val="28"/>
    </w:rPr>
  </w:style>
  <w:style w:type="character" w:styleId="864">
    <w:name w:val="Heading 4 Char"/>
    <w:basedOn w:val="859"/>
    <w:link w:val="906"/>
    <w:uiPriority w:val="9"/>
    <w:pPr>
      <w:pBdr/>
      <w:spacing/>
      <w:ind/>
    </w:pPr>
    <w:rPr>
      <w:rFonts w:ascii="Arial" w:hAnsi="Arial" w:eastAsia="Arial" w:cs="Arial"/>
      <w:i/>
      <w:iCs/>
      <w:color w:val="0f4761" w:themeColor="accent1" w:themeShade="BF"/>
    </w:rPr>
  </w:style>
  <w:style w:type="character" w:styleId="865">
    <w:name w:val="Heading 5 Char"/>
    <w:basedOn w:val="859"/>
    <w:link w:val="907"/>
    <w:uiPriority w:val="9"/>
    <w:pPr>
      <w:pBdr/>
      <w:spacing/>
      <w:ind/>
    </w:pPr>
    <w:rPr>
      <w:rFonts w:ascii="Arial" w:hAnsi="Arial" w:eastAsia="Arial" w:cs="Arial"/>
      <w:color w:val="0f4761" w:themeColor="accent1" w:themeShade="BF"/>
    </w:rPr>
  </w:style>
  <w:style w:type="character" w:styleId="866">
    <w:name w:val="Heading 6 Char"/>
    <w:basedOn w:val="859"/>
    <w:link w:val="908"/>
    <w:uiPriority w:val="9"/>
    <w:pPr>
      <w:pBdr/>
      <w:spacing/>
      <w:ind/>
    </w:pPr>
    <w:rPr>
      <w:rFonts w:ascii="Arial" w:hAnsi="Arial" w:eastAsia="Arial" w:cs="Arial"/>
      <w:i/>
      <w:iCs/>
      <w:color w:val="595959" w:themeColor="text1" w:themeTint="A6"/>
    </w:rPr>
  </w:style>
  <w:style w:type="character" w:styleId="867">
    <w:name w:val="Heading 7 Char"/>
    <w:basedOn w:val="859"/>
    <w:link w:val="856"/>
    <w:uiPriority w:val="9"/>
    <w:pPr>
      <w:pBdr/>
      <w:spacing/>
      <w:ind/>
    </w:pPr>
    <w:rPr>
      <w:rFonts w:ascii="Arial" w:hAnsi="Arial" w:eastAsia="Arial" w:cs="Arial"/>
      <w:color w:val="595959" w:themeColor="text1" w:themeTint="A6"/>
    </w:rPr>
  </w:style>
  <w:style w:type="character" w:styleId="868">
    <w:name w:val="Heading 8 Char"/>
    <w:basedOn w:val="859"/>
    <w:link w:val="857"/>
    <w:uiPriority w:val="9"/>
    <w:pPr>
      <w:pBdr/>
      <w:spacing/>
      <w:ind/>
    </w:pPr>
    <w:rPr>
      <w:rFonts w:ascii="Arial" w:hAnsi="Arial" w:eastAsia="Arial" w:cs="Arial"/>
      <w:i/>
      <w:iCs/>
      <w:color w:val="272727" w:themeColor="text1" w:themeTint="D8"/>
    </w:rPr>
  </w:style>
  <w:style w:type="character" w:styleId="869">
    <w:name w:val="Heading 9 Char"/>
    <w:basedOn w:val="859"/>
    <w:link w:val="858"/>
    <w:uiPriority w:val="9"/>
    <w:pPr>
      <w:pBdr/>
      <w:spacing/>
      <w:ind/>
    </w:pPr>
    <w:rPr>
      <w:rFonts w:ascii="Arial" w:hAnsi="Arial" w:eastAsia="Arial" w:cs="Arial"/>
      <w:i/>
      <w:iCs/>
      <w:color w:val="272727" w:themeColor="text1" w:themeTint="D8"/>
    </w:rPr>
  </w:style>
  <w:style w:type="character" w:styleId="870">
    <w:name w:val="Title Char"/>
    <w:basedOn w:val="859"/>
    <w:link w:val="902"/>
    <w:uiPriority w:val="10"/>
    <w:pPr>
      <w:pBdr/>
      <w:spacing/>
      <w:ind/>
    </w:pPr>
    <w:rPr>
      <w:rFonts w:ascii="Arial" w:hAnsi="Arial" w:eastAsia="Arial" w:cs="Arial"/>
      <w:spacing w:val="-10"/>
      <w:sz w:val="56"/>
      <w:szCs w:val="56"/>
    </w:rPr>
  </w:style>
  <w:style w:type="paragraph" w:styleId="871">
    <w:name w:val="Subtitle"/>
    <w:basedOn w:val="855"/>
    <w:next w:val="855"/>
    <w:link w:val="872"/>
    <w:uiPriority w:val="11"/>
    <w:qFormat/>
    <w:pPr>
      <w:numPr>
        <w:ilvl w:val="1"/>
      </w:numPr>
      <w:pBdr/>
      <w:spacing/>
      <w:ind/>
    </w:pPr>
    <w:rPr>
      <w:color w:val="595959" w:themeColor="text1" w:themeTint="A6"/>
      <w:spacing w:val="15"/>
      <w:sz w:val="28"/>
      <w:szCs w:val="28"/>
    </w:rPr>
  </w:style>
  <w:style w:type="character" w:styleId="872">
    <w:name w:val="Subtitle Char"/>
    <w:basedOn w:val="859"/>
    <w:link w:val="871"/>
    <w:uiPriority w:val="11"/>
    <w:pPr>
      <w:pBdr/>
      <w:spacing/>
      <w:ind/>
    </w:pPr>
    <w:rPr>
      <w:color w:val="595959" w:themeColor="text1" w:themeTint="A6"/>
      <w:spacing w:val="15"/>
      <w:sz w:val="28"/>
      <w:szCs w:val="28"/>
    </w:rPr>
  </w:style>
  <w:style w:type="paragraph" w:styleId="873">
    <w:name w:val="Quote"/>
    <w:basedOn w:val="855"/>
    <w:next w:val="855"/>
    <w:link w:val="874"/>
    <w:uiPriority w:val="29"/>
    <w:qFormat/>
    <w:pPr>
      <w:pBdr/>
      <w:spacing w:before="160"/>
      <w:ind/>
      <w:jc w:val="center"/>
    </w:pPr>
    <w:rPr>
      <w:i/>
      <w:iCs/>
      <w:color w:val="404040" w:themeColor="text1" w:themeTint="BF"/>
    </w:rPr>
  </w:style>
  <w:style w:type="character" w:styleId="874">
    <w:name w:val="Quote Char"/>
    <w:basedOn w:val="859"/>
    <w:link w:val="873"/>
    <w:uiPriority w:val="29"/>
    <w:pPr>
      <w:pBdr/>
      <w:spacing/>
      <w:ind/>
    </w:pPr>
    <w:rPr>
      <w:i/>
      <w:iCs/>
      <w:color w:val="404040" w:themeColor="text1" w:themeTint="BF"/>
    </w:rPr>
  </w:style>
  <w:style w:type="character" w:styleId="875">
    <w:name w:val="Intense Emphasis"/>
    <w:basedOn w:val="859"/>
    <w:uiPriority w:val="21"/>
    <w:qFormat/>
    <w:pPr>
      <w:pBdr/>
      <w:spacing/>
      <w:ind/>
    </w:pPr>
    <w:rPr>
      <w:i/>
      <w:iCs/>
      <w:color w:val="0f4761" w:themeColor="accent1" w:themeShade="BF"/>
    </w:rPr>
  </w:style>
  <w:style w:type="paragraph" w:styleId="876">
    <w:name w:val="Intense Quote"/>
    <w:basedOn w:val="855"/>
    <w:next w:val="855"/>
    <w:link w:val="87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77">
    <w:name w:val="Intense Quote Char"/>
    <w:basedOn w:val="859"/>
    <w:link w:val="876"/>
    <w:uiPriority w:val="30"/>
    <w:pPr>
      <w:pBdr/>
      <w:spacing/>
      <w:ind/>
    </w:pPr>
    <w:rPr>
      <w:i/>
      <w:iCs/>
      <w:color w:val="0f4761" w:themeColor="accent1" w:themeShade="BF"/>
    </w:rPr>
  </w:style>
  <w:style w:type="character" w:styleId="878">
    <w:name w:val="Intense Reference"/>
    <w:basedOn w:val="859"/>
    <w:uiPriority w:val="32"/>
    <w:qFormat/>
    <w:pPr>
      <w:pBdr/>
      <w:spacing/>
      <w:ind/>
    </w:pPr>
    <w:rPr>
      <w:b/>
      <w:bCs/>
      <w:smallCaps/>
      <w:color w:val="0f4761" w:themeColor="accent1" w:themeShade="BF"/>
      <w:spacing w:val="5"/>
    </w:rPr>
  </w:style>
  <w:style w:type="paragraph" w:styleId="879">
    <w:name w:val="No Spacing"/>
    <w:basedOn w:val="855"/>
    <w:uiPriority w:val="1"/>
    <w:qFormat/>
    <w:pPr>
      <w:pBdr/>
      <w:spacing w:after="0" w:line="240" w:lineRule="auto"/>
      <w:ind/>
    </w:pPr>
  </w:style>
  <w:style w:type="character" w:styleId="880">
    <w:name w:val="Subtle Emphasis"/>
    <w:basedOn w:val="859"/>
    <w:uiPriority w:val="19"/>
    <w:qFormat/>
    <w:pPr>
      <w:pBdr/>
      <w:spacing/>
      <w:ind/>
    </w:pPr>
    <w:rPr>
      <w:i/>
      <w:iCs/>
      <w:color w:val="404040" w:themeColor="text1" w:themeTint="BF"/>
    </w:rPr>
  </w:style>
  <w:style w:type="character" w:styleId="881">
    <w:name w:val="Emphasis"/>
    <w:basedOn w:val="859"/>
    <w:uiPriority w:val="20"/>
    <w:qFormat/>
    <w:pPr>
      <w:pBdr/>
      <w:spacing/>
      <w:ind/>
    </w:pPr>
    <w:rPr>
      <w:i/>
      <w:iCs/>
    </w:rPr>
  </w:style>
  <w:style w:type="character" w:styleId="882">
    <w:name w:val="Subtle Reference"/>
    <w:basedOn w:val="859"/>
    <w:uiPriority w:val="31"/>
    <w:qFormat/>
    <w:pPr>
      <w:pBdr/>
      <w:spacing/>
      <w:ind/>
    </w:pPr>
    <w:rPr>
      <w:smallCaps/>
      <w:color w:val="5a5a5a" w:themeColor="text1" w:themeTint="A5"/>
    </w:rPr>
  </w:style>
  <w:style w:type="character" w:styleId="883">
    <w:name w:val="Book Title"/>
    <w:basedOn w:val="859"/>
    <w:uiPriority w:val="33"/>
    <w:qFormat/>
    <w:pPr>
      <w:pBdr/>
      <w:spacing/>
      <w:ind/>
    </w:pPr>
    <w:rPr>
      <w:b/>
      <w:bCs/>
      <w:i/>
      <w:iCs/>
      <w:spacing w:val="5"/>
    </w:rPr>
  </w:style>
  <w:style w:type="paragraph" w:styleId="884">
    <w:name w:val="Header"/>
    <w:basedOn w:val="855"/>
    <w:link w:val="885"/>
    <w:uiPriority w:val="99"/>
    <w:unhideWhenUsed/>
    <w:pPr>
      <w:pBdr/>
      <w:tabs>
        <w:tab w:val="center" w:leader="none" w:pos="4844"/>
        <w:tab w:val="right" w:leader="none" w:pos="9689"/>
      </w:tabs>
      <w:spacing w:after="0" w:line="240" w:lineRule="auto"/>
      <w:ind/>
    </w:pPr>
  </w:style>
  <w:style w:type="character" w:styleId="885">
    <w:name w:val="Header Char"/>
    <w:basedOn w:val="859"/>
    <w:link w:val="884"/>
    <w:uiPriority w:val="99"/>
    <w:pPr>
      <w:pBdr/>
      <w:spacing/>
      <w:ind/>
    </w:pPr>
  </w:style>
  <w:style w:type="paragraph" w:styleId="886">
    <w:name w:val="Footer"/>
    <w:basedOn w:val="855"/>
    <w:link w:val="887"/>
    <w:uiPriority w:val="99"/>
    <w:unhideWhenUsed/>
    <w:pPr>
      <w:pBdr/>
      <w:tabs>
        <w:tab w:val="center" w:leader="none" w:pos="4844"/>
        <w:tab w:val="right" w:leader="none" w:pos="9689"/>
      </w:tabs>
      <w:spacing w:after="0" w:line="240" w:lineRule="auto"/>
      <w:ind/>
    </w:pPr>
  </w:style>
  <w:style w:type="character" w:styleId="887">
    <w:name w:val="Footer Char"/>
    <w:basedOn w:val="859"/>
    <w:link w:val="886"/>
    <w:uiPriority w:val="99"/>
    <w:pPr>
      <w:pBdr/>
      <w:spacing/>
      <w:ind/>
    </w:pPr>
  </w:style>
  <w:style w:type="paragraph" w:styleId="888">
    <w:name w:val="Caption"/>
    <w:basedOn w:val="855"/>
    <w:next w:val="855"/>
    <w:uiPriority w:val="35"/>
    <w:unhideWhenUsed/>
    <w:qFormat/>
    <w:pPr>
      <w:pBdr/>
      <w:spacing w:after="200" w:line="240" w:lineRule="auto"/>
      <w:ind/>
    </w:pPr>
    <w:rPr>
      <w:i/>
      <w:iCs/>
      <w:color w:val="0e2841" w:themeColor="text2"/>
      <w:sz w:val="18"/>
      <w:szCs w:val="18"/>
    </w:rPr>
  </w:style>
  <w:style w:type="character" w:styleId="889">
    <w:name w:val="FollowedHyperlink"/>
    <w:basedOn w:val="859"/>
    <w:uiPriority w:val="99"/>
    <w:semiHidden/>
    <w:unhideWhenUsed/>
    <w:pPr>
      <w:pBdr/>
      <w:spacing/>
      <w:ind/>
    </w:pPr>
    <w:rPr>
      <w:color w:val="954f72" w:themeColor="followedHyperlink"/>
      <w:u w:val="single"/>
    </w:rPr>
  </w:style>
  <w:style w:type="paragraph" w:styleId="890">
    <w:name w:val="toc 1"/>
    <w:basedOn w:val="855"/>
    <w:next w:val="855"/>
    <w:uiPriority w:val="39"/>
    <w:unhideWhenUsed/>
    <w:pPr>
      <w:pBdr/>
      <w:spacing w:after="100"/>
      <w:ind/>
    </w:pPr>
  </w:style>
  <w:style w:type="paragraph" w:styleId="891">
    <w:name w:val="toc 2"/>
    <w:basedOn w:val="855"/>
    <w:next w:val="855"/>
    <w:uiPriority w:val="39"/>
    <w:unhideWhenUsed/>
    <w:pPr>
      <w:pBdr/>
      <w:spacing w:after="100"/>
      <w:ind w:left="220"/>
    </w:pPr>
  </w:style>
  <w:style w:type="paragraph" w:styleId="892">
    <w:name w:val="toc 3"/>
    <w:basedOn w:val="855"/>
    <w:next w:val="855"/>
    <w:uiPriority w:val="39"/>
    <w:unhideWhenUsed/>
    <w:pPr>
      <w:pBdr/>
      <w:spacing w:after="100"/>
      <w:ind w:left="440"/>
    </w:pPr>
  </w:style>
  <w:style w:type="paragraph" w:styleId="893">
    <w:name w:val="toc 4"/>
    <w:basedOn w:val="855"/>
    <w:next w:val="855"/>
    <w:uiPriority w:val="39"/>
    <w:unhideWhenUsed/>
    <w:pPr>
      <w:pBdr/>
      <w:spacing w:after="100"/>
      <w:ind w:left="660"/>
    </w:pPr>
  </w:style>
  <w:style w:type="paragraph" w:styleId="894">
    <w:name w:val="toc 5"/>
    <w:basedOn w:val="855"/>
    <w:next w:val="855"/>
    <w:uiPriority w:val="39"/>
    <w:unhideWhenUsed/>
    <w:pPr>
      <w:pBdr/>
      <w:spacing w:after="100"/>
      <w:ind w:left="880"/>
    </w:pPr>
  </w:style>
  <w:style w:type="paragraph" w:styleId="895">
    <w:name w:val="toc 6"/>
    <w:basedOn w:val="855"/>
    <w:next w:val="855"/>
    <w:uiPriority w:val="39"/>
    <w:unhideWhenUsed/>
    <w:pPr>
      <w:pBdr/>
      <w:spacing w:after="100"/>
      <w:ind w:left="1100"/>
    </w:pPr>
  </w:style>
  <w:style w:type="paragraph" w:styleId="896">
    <w:name w:val="toc 7"/>
    <w:basedOn w:val="855"/>
    <w:next w:val="855"/>
    <w:uiPriority w:val="39"/>
    <w:unhideWhenUsed/>
    <w:pPr>
      <w:pBdr/>
      <w:spacing w:after="100"/>
      <w:ind w:left="1320"/>
    </w:pPr>
  </w:style>
  <w:style w:type="paragraph" w:styleId="897">
    <w:name w:val="toc 8"/>
    <w:basedOn w:val="855"/>
    <w:next w:val="855"/>
    <w:uiPriority w:val="39"/>
    <w:unhideWhenUsed/>
    <w:pPr>
      <w:pBdr/>
      <w:spacing w:after="100"/>
      <w:ind w:left="1540"/>
    </w:pPr>
  </w:style>
  <w:style w:type="paragraph" w:styleId="898">
    <w:name w:val="toc 9"/>
    <w:basedOn w:val="855"/>
    <w:next w:val="855"/>
    <w:uiPriority w:val="39"/>
    <w:unhideWhenUsed/>
    <w:pPr>
      <w:pBdr/>
      <w:spacing w:after="100"/>
      <w:ind w:left="1760"/>
    </w:pPr>
  </w:style>
  <w:style w:type="character" w:styleId="899">
    <w:name w:val="Placeholder Text"/>
    <w:basedOn w:val="859"/>
    <w:uiPriority w:val="99"/>
    <w:semiHidden/>
    <w:pPr>
      <w:pBdr/>
      <w:spacing/>
      <w:ind/>
    </w:pPr>
    <w:rPr>
      <w:color w:val="666666"/>
    </w:rPr>
  </w:style>
  <w:style w:type="paragraph" w:styleId="900">
    <w:name w:val="TOC Heading"/>
    <w:uiPriority w:val="39"/>
    <w:unhideWhenUsed/>
    <w:pPr>
      <w:pBdr/>
      <w:spacing/>
      <w:ind/>
    </w:pPr>
  </w:style>
  <w:style w:type="paragraph" w:styleId="901">
    <w:name w:val="table of figures"/>
    <w:basedOn w:val="855"/>
    <w:next w:val="855"/>
    <w:uiPriority w:val="99"/>
    <w:unhideWhenUsed/>
    <w:pPr>
      <w:pBdr/>
      <w:spacing w:after="0" w:afterAutospacing="0"/>
      <w:ind/>
    </w:pPr>
  </w:style>
  <w:style w:type="paragraph" w:styleId="902">
    <w:name w:val="Title"/>
    <w:qFormat/>
    <w:pPr>
      <w:pBdr/>
      <w:spacing/>
      <w:ind/>
    </w:pPr>
    <w:rPr>
      <w:sz w:val="56"/>
      <w:szCs w:val="56"/>
    </w:rPr>
  </w:style>
  <w:style w:type="paragraph" w:styleId="903">
    <w:name w:val="Heading 1"/>
    <w:qFormat/>
    <w:pPr>
      <w:pBdr/>
      <w:spacing/>
      <w:ind/>
    </w:pPr>
    <w:rPr>
      <w:color w:val="2e74b5"/>
      <w:sz w:val="32"/>
      <w:szCs w:val="32"/>
    </w:rPr>
  </w:style>
  <w:style w:type="paragraph" w:styleId="904">
    <w:name w:val="Heading 2"/>
    <w:qFormat/>
    <w:pPr>
      <w:pBdr/>
      <w:spacing/>
      <w:ind/>
    </w:pPr>
    <w:rPr>
      <w:color w:val="2e74b5"/>
      <w:sz w:val="26"/>
      <w:szCs w:val="26"/>
    </w:rPr>
  </w:style>
  <w:style w:type="paragraph" w:styleId="905">
    <w:name w:val="Heading 3"/>
    <w:qFormat/>
    <w:pPr>
      <w:pBdr/>
      <w:spacing/>
      <w:ind/>
    </w:pPr>
    <w:rPr>
      <w:color w:val="1f4d78"/>
      <w:sz w:val="24"/>
      <w:szCs w:val="24"/>
    </w:rPr>
  </w:style>
  <w:style w:type="paragraph" w:styleId="906">
    <w:name w:val="Heading 4"/>
    <w:qFormat/>
    <w:pPr>
      <w:pBdr/>
      <w:spacing/>
      <w:ind/>
    </w:pPr>
    <w:rPr>
      <w:i/>
      <w:iCs/>
      <w:color w:val="2e74b5"/>
    </w:rPr>
  </w:style>
  <w:style w:type="paragraph" w:styleId="907">
    <w:name w:val="Heading 5"/>
    <w:qFormat/>
    <w:pPr>
      <w:pBdr/>
      <w:spacing/>
      <w:ind/>
    </w:pPr>
    <w:rPr>
      <w:color w:val="2e74b5"/>
    </w:rPr>
  </w:style>
  <w:style w:type="paragraph" w:styleId="908">
    <w:name w:val="Heading 6"/>
    <w:qFormat/>
    <w:pPr>
      <w:pBdr/>
      <w:spacing/>
      <w:ind/>
    </w:pPr>
    <w:rPr>
      <w:color w:val="1f4d78"/>
    </w:rPr>
  </w:style>
  <w:style w:type="paragraph" w:styleId="909">
    <w:name w:val="Strong"/>
    <w:qFormat/>
    <w:pPr>
      <w:pBdr/>
      <w:spacing/>
      <w:ind/>
    </w:pPr>
    <w:rPr>
      <w:b/>
      <w:bCs/>
    </w:rPr>
  </w:style>
  <w:style w:type="paragraph" w:styleId="910">
    <w:name w:val="List Paragraph"/>
    <w:qFormat/>
    <w:pPr>
      <w:pBdr/>
      <w:spacing/>
      <w:ind/>
    </w:pPr>
  </w:style>
  <w:style w:type="character" w:styleId="911">
    <w:name w:val="Hyperlink"/>
    <w:uiPriority w:val="99"/>
    <w:unhideWhenUsed/>
    <w:pPr>
      <w:pBdr/>
      <w:spacing/>
      <w:ind/>
    </w:pPr>
    <w:rPr>
      <w:color w:val="0563c1"/>
      <w:u w:val="single"/>
    </w:rPr>
  </w:style>
  <w:style w:type="character" w:styleId="912">
    <w:name w:val="footnote reference"/>
    <w:uiPriority w:val="99"/>
    <w:semiHidden/>
    <w:unhideWhenUsed/>
    <w:pPr>
      <w:pBdr/>
      <w:spacing/>
      <w:ind/>
    </w:pPr>
    <w:rPr>
      <w:vertAlign w:val="superscript"/>
    </w:rPr>
  </w:style>
  <w:style w:type="paragraph" w:styleId="913">
    <w:name w:val="footnote text"/>
    <w:link w:val="914"/>
    <w:uiPriority w:val="99"/>
    <w:semiHidden/>
    <w:unhideWhenUsed/>
    <w:pPr>
      <w:pBdr/>
      <w:spacing w:after="0" w:line="240" w:lineRule="auto"/>
      <w:ind/>
    </w:pPr>
    <w:rPr>
      <w:sz w:val="20"/>
      <w:szCs w:val="20"/>
    </w:rPr>
  </w:style>
  <w:style w:type="character" w:styleId="914">
    <w:name w:val="Footnote Text Char"/>
    <w:link w:val="913"/>
    <w:uiPriority w:val="99"/>
    <w:semiHidden/>
    <w:unhideWhenUsed/>
    <w:pPr>
      <w:pBdr/>
      <w:spacing/>
      <w:ind/>
    </w:pPr>
    <w:rPr>
      <w:sz w:val="20"/>
      <w:szCs w:val="20"/>
    </w:rPr>
  </w:style>
  <w:style w:type="character" w:styleId="915">
    <w:name w:val="endnote reference"/>
    <w:uiPriority w:val="99"/>
    <w:semiHidden/>
    <w:unhideWhenUsed/>
    <w:pPr>
      <w:pBdr/>
      <w:spacing/>
      <w:ind/>
    </w:pPr>
    <w:rPr>
      <w:vertAlign w:val="superscript"/>
    </w:rPr>
  </w:style>
  <w:style w:type="paragraph" w:styleId="916">
    <w:name w:val="endnote text"/>
    <w:link w:val="917"/>
    <w:uiPriority w:val="99"/>
    <w:semiHidden/>
    <w:unhideWhenUsed/>
    <w:pPr>
      <w:pBdr/>
      <w:spacing w:after="0" w:line="240" w:lineRule="auto"/>
      <w:ind/>
    </w:pPr>
    <w:rPr>
      <w:sz w:val="20"/>
      <w:szCs w:val="20"/>
    </w:rPr>
  </w:style>
  <w:style w:type="character" w:styleId="917">
    <w:name w:val="Endnote Text Char"/>
    <w:link w:val="916"/>
    <w:uiPriority w:val="99"/>
    <w:semiHidden/>
    <w:unhideWhenUsed/>
    <w:pPr>
      <w:pBdr/>
      <w:spacing/>
      <w:ind/>
    </w:pPr>
    <w:rPr>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Descripción y Elección de Arquitectura de Software — AbasteceNi</dc:title>
  <dc:creator>Edith Yasohara Roda Hernández; Pedro José Miranda Gómez</dc:creator>
  <dc:description>Descripción de Arquitectura conforme a ISO/IEC/IEEE 42010:2022 y SWEBOK v4.0a Cap. 02</dc:description>
  <cp:revision>8</cp:revision>
  <dcterms:created xsi:type="dcterms:W3CDTF">2026-09-01T01:36:38Z</dcterms:created>
  <dcterms:modified xsi:type="dcterms:W3CDTF">2026-10-03T17:58:10Z</dcterms:modified>
</cp:coreProperties>
</file>