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jc w:val="center"/>
        <w:rPr/>
      </w:pPr>
      <w:r>
        <w:rPr>
          <w:rFonts w:ascii="Calibri" w:hAnsi="Calibri" w:eastAsia="Calibri" w:cs="Calibri"/>
          <w:b/>
          <w:bCs/>
          <w:i w:val="0"/>
          <w:iCs w:val="0"/>
          <w:color w:val="000000"/>
          <w:sz w:val="26"/>
          <w:szCs w:val="26"/>
        </w:rPr>
        <w:t xml:space="preserve">UNIVERSIDAD NACIONAL DE INGENIERÍA</w:t>
      </w:r>
      <w:r/>
    </w:p>
    <w:p>
      <w:pPr>
        <w:pBdr/>
        <w:spacing w:after="60"/>
        <w:ind/>
        <w:jc w:val="center"/>
        <w:rPr/>
      </w:pPr>
      <w:r>
        <w:rPr>
          <w:rFonts w:ascii="Calibri" w:hAnsi="Calibri" w:eastAsia="Calibri" w:cs="Calibri"/>
          <w:b/>
          <w:bCs/>
          <w:i w:val="0"/>
          <w:iCs w:val="0"/>
          <w:color w:val="000000"/>
          <w:sz w:val="24"/>
          <w:szCs w:val="24"/>
        </w:rPr>
        <w:t xml:space="preserve">ÁREA DACTIC</w:t>
      </w:r>
      <w:r/>
    </w:p>
    <w:p>
      <w:pPr>
        <w:pBdr/>
        <w:spacing w:after="60"/>
        <w:ind/>
        <w:jc w:val="center"/>
        <w:rPr/>
      </w:pPr>
      <w:r>
        <w:rPr>
          <w:rFonts w:ascii="Calibri" w:hAnsi="Calibri" w:eastAsia="Calibri" w:cs="Calibri"/>
          <w:b w:val="0"/>
          <w:bCs w:val="0"/>
          <w:i w:val="0"/>
          <w:iCs w:val="0"/>
          <w:color w:val="000000"/>
          <w:sz w:val="22"/>
          <w:szCs w:val="22"/>
        </w:rPr>
        <w:t xml:space="preserve">Programa Académico de Ingeniería en Computación</w:t>
      </w:r>
      <w:r/>
    </w:p>
    <w:p>
      <w:pPr>
        <w:pBdr/>
        <w:spacing w:after="500"/>
        <w:ind/>
        <w:jc w:val="center"/>
        <w:rPr/>
      </w:pPr>
      <w:r>
        <w:rPr>
          <w:rFonts w:ascii="Calibri" w:hAnsi="Calibri" w:eastAsia="Calibri" w:cs="Calibri"/>
          <w:b/>
          <w:bCs/>
          <w:i w:val="0"/>
          <w:iCs w:val="0"/>
          <w:color w:val="000000"/>
          <w:sz w:val="24"/>
          <w:szCs w:val="24"/>
        </w:rPr>
        <w:t xml:space="preserve">INGENIERÍA DE SOFTWARE I</w:t>
      </w:r>
      <w:r/>
    </w:p>
    <w:p>
      <w:pPr>
        <w:pBdr/>
        <w:spacing w:after="40"/>
        <w:ind/>
        <w:jc w:val="center"/>
        <w:rPr/>
      </w:pPr>
      <w:r>
        <w:rPr>
          <w:rFonts w:ascii="Calibri" w:hAnsi="Calibri" w:eastAsia="Calibri" w:cs="Calibri"/>
          <w:b/>
          <w:bCs/>
          <w:i w:val="0"/>
          <w:iCs w:val="0"/>
          <w:color w:val="1f4e79"/>
          <w:sz w:val="32"/>
          <w:szCs w:val="32"/>
        </w:rPr>
        <w:t xml:space="preserve">DOCUMENTO DE SELECCIÓN DE METODOLOGÍA</w:t>
      </w:r>
      <w:r/>
    </w:p>
    <w:p>
      <w:pPr>
        <w:pBdr/>
        <w:spacing w:after="240"/>
        <w:ind/>
        <w:jc w:val="center"/>
        <w:rPr/>
      </w:pPr>
      <w:r>
        <w:rPr>
          <w:rFonts w:ascii="Calibri" w:hAnsi="Calibri" w:eastAsia="Calibri" w:cs="Calibri"/>
          <w:b/>
          <w:bCs/>
          <w:i w:val="0"/>
          <w:iCs w:val="0"/>
          <w:color w:val="1f4e79"/>
          <w:sz w:val="32"/>
          <w:szCs w:val="32"/>
        </w:rPr>
        <w:t xml:space="preserve">Y MODELO DE CICLO DE VIDA DEL SOFTWARE</w:t>
      </w:r>
      <w:r/>
    </w:p>
    <w:p>
      <w:pPr>
        <w:pBdr/>
        <w:spacing w:after="60"/>
        <w:ind/>
        <w:jc w:val="center"/>
        <w:rPr/>
      </w:pPr>
      <w:r>
        <w:rPr>
          <w:rFonts w:ascii="Calibri" w:hAnsi="Calibri" w:eastAsia="Calibri" w:cs="Calibri"/>
          <w:b w:val="0"/>
          <w:bCs w:val="0"/>
          <w:i w:val="0"/>
          <w:iCs w:val="0"/>
          <w:color w:val="000000"/>
          <w:sz w:val="24"/>
          <w:szCs w:val="24"/>
        </w:rPr>
        <w:t xml:space="preserve">Plataforma Web B2B de Emparejamiento Comercial «AbasteceNi»</w:t>
      </w:r>
      <w:r/>
    </w:p>
    <w:p>
      <w:pPr>
        <w:pBdr/>
        <w:spacing w:after="420"/>
        <w:ind/>
        <w:jc w:val="center"/>
        <w:rPr/>
      </w:pPr>
      <w:r>
        <w:rPr>
          <w:rFonts w:ascii="Calibri" w:hAnsi="Calibri" w:eastAsia="Calibri" w:cs="Calibri"/>
          <w:b w:val="0"/>
          <w:bCs w:val="0"/>
          <w:i/>
          <w:iCs/>
          <w:color w:val="000000"/>
          <w:sz w:val="20"/>
          <w:szCs w:val="20"/>
        </w:rPr>
        <w:t xml:space="preserve">Empresa simulada AbasteceNi, S.A. — Sector minorista y productor departamental de Nicaragua</w:t>
      </w:r>
      <w:r/>
    </w:p>
    <w:p>
      <w:pPr>
        <w:pBdr/>
        <w:spacing w:after="140"/>
        <w:ind/>
        <w:jc w:val="center"/>
        <w:rPr/>
      </w:pPr>
      <w:r>
        <w:rPr>
          <w:rFonts w:ascii="Calibri" w:hAnsi="Calibri" w:eastAsia="Calibri" w:cs="Calibri"/>
          <w:b/>
          <w:bCs/>
          <w:i w:val="0"/>
          <w:iCs w:val="0"/>
          <w:color w:val="000000"/>
          <w:sz w:val="22"/>
          <w:szCs w:val="22"/>
        </w:rPr>
        <w:t xml:space="preserve">Marco normativo rector</w:t>
      </w:r>
      <w:r/>
    </w:p>
    <w:p>
      <w:pPr>
        <w:pBdr/>
        <w:spacing w:after="90"/>
        <w:ind/>
        <w:jc w:val="center"/>
        <w:rPr/>
      </w:pPr>
      <w:r>
        <w:rPr>
          <w:rFonts w:ascii="Calibri" w:hAnsi="Calibri" w:eastAsia="Calibri" w:cs="Calibri"/>
          <w:b w:val="0"/>
          <w:bCs w:val="0"/>
          <w:i w:val="0"/>
          <w:iCs w:val="0"/>
          <w:color w:val="000000"/>
          <w:sz w:val="19"/>
          <w:szCs w:val="19"/>
        </w:rPr>
        <w:t xml:space="preserve">ISO/IEC/IEEE 12207:2017 — procesos del ciclo de vida del software: categorías de procesos, etapas y gestión del modelo de ciclo de vida</w:t>
      </w:r>
      <w:r/>
    </w:p>
    <w:p>
      <w:pPr>
        <w:pBdr/>
        <w:spacing w:after="90"/>
        <w:ind/>
        <w:jc w:val="center"/>
        <w:rPr/>
      </w:pPr>
      <w:r>
        <w:rPr>
          <w:rFonts w:ascii="Calibri" w:hAnsi="Calibri" w:eastAsia="Calibri" w:cs="Calibri"/>
          <w:b w:val="0"/>
          <w:bCs w:val="0"/>
          <w:i w:val="0"/>
          <w:iCs w:val="0"/>
          <w:color w:val="000000"/>
          <w:sz w:val="19"/>
          <w:szCs w:val="19"/>
        </w:rPr>
        <w:t xml:space="preserve">ISO/IEC 29110 — normas y guías de ingeniería de sistemas y software para Entidades Muy Pequeñas</w:t>
      </w:r>
      <w:r/>
    </w:p>
    <w:p>
      <w:pPr>
        <w:pBdr/>
        <w:spacing w:after="90"/>
        <w:ind/>
        <w:jc w:val="center"/>
        <w:rPr/>
      </w:pPr>
      <w:r>
        <w:rPr>
          <w:rFonts w:ascii="Calibri" w:hAnsi="Calibri" w:eastAsia="Calibri" w:cs="Calibri"/>
          <w:b w:val="0"/>
          <w:bCs w:val="0"/>
          <w:i w:val="0"/>
          <w:iCs w:val="0"/>
          <w:color w:val="000000"/>
          <w:sz w:val="19"/>
          <w:szCs w:val="19"/>
        </w:rPr>
        <w:t xml:space="preserve">SWEBOK® Guide v4.0a — KA 10 Proceso de Ingeniería de Software; KA 11 Modelos y Métodos de Ingeniería de Software</w:t>
      </w:r>
      <w:r/>
    </w:p>
    <w:p>
      <w:pPr>
        <w:pBdr/>
        <w:spacing w:after="90"/>
        <w:ind/>
        <w:jc w:val="center"/>
        <w:rPr/>
      </w:pPr>
      <w:r>
        <w:rPr>
          <w:rFonts w:ascii="Calibri" w:hAnsi="Calibri" w:eastAsia="Calibri" w:cs="Calibri"/>
          <w:b w:val="0"/>
          <w:bCs w:val="0"/>
          <w:i w:val="0"/>
          <w:iCs w:val="0"/>
          <w:color w:val="000000"/>
          <w:sz w:val="19"/>
          <w:szCs w:val="19"/>
        </w:rPr>
        <w:t xml:space="preserve">ISO/IEC/IEEE 29148:2011, apartado 5.3.1 — aplicación iterativa y recursiva de los procesos de requisitos</w:t>
      </w:r>
      <w:r/>
    </w:p>
    <w:p>
      <w:pPr>
        <w:pBdr/>
        <w:spacing w:after="420"/>
        <w:ind/>
        <w:jc w:val="center"/>
        <w:rPr/>
      </w:pPr>
      <w:r>
        <w:rPr>
          <w:rFonts w:ascii="Calibri" w:hAnsi="Calibri" w:eastAsia="Calibri" w:cs="Calibri"/>
          <w:b w:val="0"/>
          <w:bCs w:val="0"/>
          <w:i w:val="0"/>
          <w:iCs w:val="0"/>
          <w:color w:val="000000"/>
          <w:sz w:val="19"/>
          <w:szCs w:val="19"/>
        </w:rPr>
        <w:t xml:space="preserve">ISO 9001:2015 — enfoque basado en procesos y mejora continua</w:t>
      </w:r>
      <w:r/>
    </w:p>
    <w:p>
      <w:pPr>
        <w:pBdr/>
        <w:spacing w:after="120"/>
        <w:ind/>
        <w:jc w:val="center"/>
        <w:rPr/>
      </w:pPr>
      <w:r>
        <w:rPr>
          <w:rFonts w:ascii="Calibri" w:hAnsi="Calibri" w:eastAsia="Calibri" w:cs="Calibri"/>
          <w:b/>
          <w:bCs/>
          <w:i w:val="0"/>
          <w:iCs w:val="0"/>
          <w:color w:val="000000"/>
          <w:sz w:val="22"/>
          <w:szCs w:val="22"/>
        </w:rPr>
        <w:t xml:space="preserve">Integrantes</w:t>
      </w:r>
      <w:r/>
    </w:p>
    <w:p>
      <w:pPr>
        <w:pBdr/>
        <w:spacing w:after="70"/>
        <w:ind/>
        <w:jc w:val="center"/>
        <w:rPr/>
      </w:pPr>
      <w:r>
        <w:rPr>
          <w:rFonts w:ascii="Calibri" w:hAnsi="Calibri" w:eastAsia="Calibri" w:cs="Calibri"/>
          <w:b w:val="0"/>
          <w:bCs w:val="0"/>
          <w:i w:val="0"/>
          <w:iCs w:val="0"/>
          <w:color w:val="000000"/>
          <w:sz w:val="21"/>
          <w:szCs w:val="21"/>
        </w:rPr>
        <w:t xml:space="preserve">Edith Yasohara Roda Hernández — 2023-0752U</w:t>
      </w:r>
      <w:r/>
    </w:p>
    <w:p>
      <w:pPr>
        <w:pBdr/>
        <w:spacing w:after="300"/>
        <w:ind/>
        <w:jc w:val="center"/>
        <w:rPr/>
      </w:pPr>
      <w:r>
        <w:rPr>
          <w:rFonts w:ascii="Calibri" w:hAnsi="Calibri" w:eastAsia="Calibri" w:cs="Calibri"/>
          <w:b w:val="0"/>
          <w:bCs w:val="0"/>
          <w:i w:val="0"/>
          <w:iCs w:val="0"/>
          <w:color w:val="000000"/>
          <w:sz w:val="21"/>
          <w:szCs w:val="21"/>
        </w:rPr>
        <w:t xml:space="preserve">Pedro José Miranda Gómez — 2022-0288U</w:t>
      </w:r>
      <w:r/>
    </w:p>
    <w:p>
      <w:pPr>
        <w:pBdr/>
        <w:spacing w:after="70"/>
        <w:ind/>
        <w:jc w:val="center"/>
        <w:rPr/>
      </w:pPr>
      <w:r>
        <w:rPr>
          <w:rFonts w:ascii="Calibri" w:hAnsi="Calibri" w:eastAsia="Calibri" w:cs="Calibri"/>
          <w:b w:val="0"/>
          <w:bCs w:val="0"/>
          <w:i w:val="0"/>
          <w:iCs w:val="0"/>
          <w:color w:val="000000"/>
          <w:sz w:val="21"/>
          <w:szCs w:val="21"/>
        </w:rPr>
        <w:t xml:space="preserve">Grupo: 4S1-COM · Documento: 4 de la serie</w:t>
      </w:r>
      <w:r/>
    </w:p>
    <w:p>
      <w:pPr>
        <w:pBdr/>
        <w:spacing w:after="60"/>
        <w:ind/>
        <w:jc w:val="center"/>
        <w:rPr/>
      </w:pPr>
      <w:r>
        <w:rPr>
          <w:rFonts w:ascii="Calibri" w:hAnsi="Calibri" w:eastAsia="Calibri" w:cs="Calibri"/>
          <w:b w:val="0"/>
          <w:bCs w:val="0"/>
          <w:i w:val="0"/>
          <w:iCs w:val="0"/>
          <w:color w:val="000000"/>
          <w:sz w:val="21"/>
          <w:szCs w:val="21"/>
        </w:rPr>
        <w:t xml:space="preserve">Versión: 1.1 · Fecha de emisión original: 23 de septiembre de 2026</w:t>
      </w:r>
      <w:r/>
    </w:p>
    <w:p>
      <w:pPr>
        <w:pBdr/>
        <w:spacing/>
        <w:ind/>
        <w:rPr/>
      </w:pPr>
      <w:r>
        <w:br w:type="page" w:clear="all"/>
      </w:r>
    </w:p>
    <w:p>
      <w:pPr>
        <w:pBdr/>
        <w:spacing w:after="240"/>
        <w:ind/>
        <w:jc w:val="center"/>
        <w:rPr/>
      </w:pPr>
      <w:r>
        <w:rPr>
          <w:rFonts w:ascii="Calibri" w:hAnsi="Calibri" w:eastAsia="Calibri" w:cs="Calibri"/>
          <w:b/>
          <w:bCs/>
          <w:color w:val="1f4e79"/>
          <w:sz w:val="28"/>
          <w:szCs w:val="28"/>
        </w:rPr>
        <w:t xml:space="preserve">Tabla de Contenido</w:t>
      </w:r>
      <w:r/>
    </w:p>
    <w:sdt>
      <w:sdtPr>
        <w:alias w:val="Tabla de contenido"/>
        <w15:appearance w15:val="boundingBox"/>
        <w:rPr/>
      </w:sdtPr>
      <w:sdtContent>
        <w:p w14:paraId="6CC8452C">
          <w:pPr>
            <w:pStyle w:val="904"/>
            <w:pBdr/>
            <w:tabs>
              <w:tab w:val="right" w:leader="dot" w:pos="9070"/>
            </w:tabs>
            <w:spacing/>
            <w:ind/>
            <w:rPr/>
          </w:pPr>
          <w:r>
            <w:fldChar w:fldCharType="begin"/>
            <w:instrText xml:space="preserve">TOC \h \o "1-3"</w:instrText>
            <w:fldChar w:fldCharType="separate"/>
          </w:r>
          <w:hyperlink w:tooltip="#_Toc1" w:anchor="_Toc1" w:history="1">
            <w:r>
              <w:rPr>
                <w:rStyle w:val="925"/>
              </w:rPr>
            </w:r>
            <w:r>
              <w:rPr>
                <w:rStyle w:val="925"/>
                <w:rFonts w:ascii="Calibri" w:hAnsi="Calibri" w:eastAsia="Calibri" w:cs="Calibri"/>
              </w:rPr>
              <w:t xml:space="preserve">1. Introducción</w:t>
            </w:r>
            <w:r>
              <w:rPr>
                <w:rStyle w:val="925"/>
              </w:rPr>
            </w:r>
            <w:r>
              <w:tab/>
              <w:fldChar w:fldCharType="begin"/>
              <w:instrText xml:space="preserve">PAGEREF _Toc1 \h</w:instrText>
              <w:fldChar w:fldCharType="separate"/>
              <w:t xml:space="preserve">3</w:t>
              <w:fldChar w:fldCharType="end"/>
            </w:r>
          </w:hyperlink>
          <w:r/>
        </w:p>
        <w:p w14:paraId="1CF06CD0">
          <w:pPr>
            <w:pStyle w:val="905"/>
            <w:pBdr/>
            <w:tabs>
              <w:tab w:val="right" w:leader="dot" w:pos="9070"/>
            </w:tabs>
            <w:spacing/>
            <w:ind/>
            <w:rPr/>
          </w:pPr>
          <w:r/>
          <w:hyperlink w:tooltip="#_Toc2" w:anchor="_Toc2" w:history="1">
            <w:r>
              <w:rPr>
                <w:rStyle w:val="925"/>
              </w:rPr>
            </w:r>
            <w:r>
              <w:rPr>
                <w:rStyle w:val="925"/>
                <w:rFonts w:ascii="Calibri" w:hAnsi="Calibri" w:eastAsia="Calibri" w:cs="Calibri"/>
              </w:rPr>
              <w:t xml:space="preserve">1.1 Propósito del documento</w:t>
            </w:r>
            <w:r>
              <w:rPr>
                <w:rStyle w:val="925"/>
              </w:rPr>
            </w:r>
            <w:r>
              <w:tab/>
              <w:fldChar w:fldCharType="begin"/>
              <w:instrText xml:space="preserve">PAGEREF _Toc2 \h</w:instrText>
              <w:fldChar w:fldCharType="separate"/>
              <w:t xml:space="preserve">3</w:t>
              <w:fldChar w:fldCharType="end"/>
            </w:r>
          </w:hyperlink>
          <w:r/>
        </w:p>
        <w:p w14:paraId="0AC65EF5">
          <w:pPr>
            <w:pStyle w:val="905"/>
            <w:pBdr/>
            <w:tabs>
              <w:tab w:val="right" w:leader="dot" w:pos="9070"/>
            </w:tabs>
            <w:spacing/>
            <w:ind/>
            <w:rPr/>
          </w:pPr>
          <w:r/>
          <w:hyperlink w:tooltip="#_Toc3" w:anchor="_Toc3" w:history="1">
            <w:r>
              <w:rPr>
                <w:rStyle w:val="925"/>
              </w:rPr>
            </w:r>
            <w:r>
              <w:rPr>
                <w:rStyle w:val="925"/>
                <w:rFonts w:ascii="Calibri" w:hAnsi="Calibri" w:eastAsia="Calibri" w:cs="Calibri"/>
              </w:rPr>
              <w:t xml:space="preserve">1.2 Fundamento normativo de la posición de este documento en la serie</w:t>
            </w:r>
            <w:r>
              <w:rPr>
                <w:rStyle w:val="925"/>
              </w:rPr>
            </w:r>
            <w:r>
              <w:tab/>
              <w:fldChar w:fldCharType="begin"/>
              <w:instrText xml:space="preserve">PAGEREF _Toc3 \h</w:instrText>
              <w:fldChar w:fldCharType="separate"/>
              <w:t xml:space="preserve">3</w:t>
              <w:fldChar w:fldCharType="end"/>
            </w:r>
          </w:hyperlink>
          <w:r/>
        </w:p>
        <w:p w14:paraId="407878AC">
          <w:pPr>
            <w:pStyle w:val="905"/>
            <w:pBdr/>
            <w:tabs>
              <w:tab w:val="right" w:leader="dot" w:pos="9070"/>
            </w:tabs>
            <w:spacing/>
            <w:ind/>
            <w:rPr/>
          </w:pPr>
          <w:r/>
          <w:hyperlink w:tooltip="#_Toc4" w:anchor="_Toc4" w:history="1">
            <w:r>
              <w:rPr>
                <w:rStyle w:val="925"/>
              </w:rPr>
            </w:r>
            <w:r>
              <w:rPr>
                <w:rStyle w:val="925"/>
                <w:rFonts w:ascii="Calibri" w:hAnsi="Calibri" w:eastAsia="Calibri" w:cs="Calibri"/>
              </w:rPr>
              <w:t xml:space="preserve">1.3 Alcance y límites de la decisión</w:t>
            </w:r>
            <w:r>
              <w:rPr>
                <w:rStyle w:val="925"/>
              </w:rPr>
            </w:r>
            <w:r>
              <w:tab/>
              <w:fldChar w:fldCharType="begin"/>
              <w:instrText xml:space="preserve">PAGEREF _Toc4 \h</w:instrText>
              <w:fldChar w:fldCharType="separate"/>
              <w:t xml:space="preserve">4</w:t>
              <w:fldChar w:fldCharType="end"/>
            </w:r>
          </w:hyperlink>
          <w:r/>
        </w:p>
        <w:p w14:paraId="41AEC716">
          <w:pPr>
            <w:pStyle w:val="905"/>
            <w:pBdr/>
            <w:tabs>
              <w:tab w:val="right" w:leader="dot" w:pos="9070"/>
            </w:tabs>
            <w:spacing/>
            <w:ind/>
            <w:rPr/>
          </w:pPr>
          <w:r/>
          <w:hyperlink w:tooltip="#_Toc5" w:anchor="_Toc5" w:history="1">
            <w:r>
              <w:rPr>
                <w:rStyle w:val="925"/>
              </w:rPr>
            </w:r>
            <w:r>
              <w:rPr>
                <w:rStyle w:val="925"/>
                <w:rFonts w:ascii="Calibri" w:hAnsi="Calibri" w:eastAsia="Calibri" w:cs="Calibri"/>
              </w:rPr>
              <w:t xml:space="preserve">1.4 Definiciones y distinciones conceptuales</w:t>
            </w:r>
            <w:r>
              <w:rPr>
                <w:rStyle w:val="925"/>
              </w:rPr>
            </w:r>
            <w:r>
              <w:tab/>
              <w:fldChar w:fldCharType="begin"/>
              <w:instrText xml:space="preserve">PAGEREF _Toc5 \h</w:instrText>
              <w:fldChar w:fldCharType="separate"/>
              <w:t xml:space="preserve">4</w:t>
              <w:fldChar w:fldCharType="end"/>
            </w:r>
          </w:hyperlink>
          <w:r/>
        </w:p>
        <w:p w14:paraId="394A7271">
          <w:pPr>
            <w:pStyle w:val="905"/>
            <w:pBdr/>
            <w:tabs>
              <w:tab w:val="right" w:leader="dot" w:pos="9070"/>
            </w:tabs>
            <w:spacing/>
            <w:ind/>
            <w:rPr/>
          </w:pPr>
          <w:r/>
          <w:hyperlink w:tooltip="#_Toc6" w:anchor="_Toc6" w:history="1">
            <w:r>
              <w:rPr>
                <w:rStyle w:val="925"/>
              </w:rPr>
            </w:r>
            <w:r>
              <w:rPr>
                <w:rStyle w:val="925"/>
                <w:rFonts w:ascii="Calibri" w:hAnsi="Calibri" w:eastAsia="Calibri" w:cs="Calibri"/>
              </w:rPr>
              <w:t xml:space="preserve">1.5 Tres precisiones sobre el enfoque ágil que este documento asume</w:t>
            </w:r>
            <w:r>
              <w:rPr>
                <w:rStyle w:val="925"/>
              </w:rPr>
            </w:r>
            <w:r>
              <w:tab/>
              <w:fldChar w:fldCharType="begin"/>
              <w:instrText xml:space="preserve">PAGEREF _Toc6 \h</w:instrText>
              <w:fldChar w:fldCharType="separate"/>
              <w:t xml:space="preserve">5</w:t>
              <w:fldChar w:fldCharType="end"/>
            </w:r>
          </w:hyperlink>
          <w:r/>
        </w:p>
        <w:p w14:paraId="2BC708A6">
          <w:pPr>
            <w:pStyle w:val="904"/>
            <w:pBdr/>
            <w:tabs>
              <w:tab w:val="right" w:leader="dot" w:pos="9070"/>
            </w:tabs>
            <w:spacing/>
            <w:ind/>
            <w:rPr/>
          </w:pPr>
          <w:r/>
          <w:hyperlink w:tooltip="#_Toc7" w:anchor="_Toc7" w:history="1">
            <w:r>
              <w:rPr>
                <w:rStyle w:val="925"/>
              </w:rPr>
            </w:r>
            <w:r>
              <w:rPr>
                <w:rStyle w:val="925"/>
                <w:rFonts w:ascii="Calibri" w:hAnsi="Calibri" w:eastAsia="Calibri" w:cs="Calibri"/>
              </w:rPr>
              <w:t xml:space="preserve">2. Desarrollo</w:t>
            </w:r>
            <w:r>
              <w:rPr>
                <w:rStyle w:val="925"/>
              </w:rPr>
            </w:r>
            <w:r>
              <w:tab/>
              <w:fldChar w:fldCharType="begin"/>
              <w:instrText xml:space="preserve">PAGEREF _Toc7 \h</w:instrText>
              <w:fldChar w:fldCharType="separate"/>
              <w:t xml:space="preserve">6</w:t>
              <w:fldChar w:fldCharType="end"/>
            </w:r>
          </w:hyperlink>
          <w:r/>
        </w:p>
        <w:p w14:paraId="755C78CF">
          <w:pPr>
            <w:pStyle w:val="905"/>
            <w:pBdr/>
            <w:tabs>
              <w:tab w:val="right" w:leader="dot" w:pos="9070"/>
            </w:tabs>
            <w:spacing/>
            <w:ind/>
            <w:rPr/>
          </w:pPr>
          <w:r/>
          <w:hyperlink w:tooltip="#_Toc8" w:anchor="_Toc8" w:history="1">
            <w:r>
              <w:rPr>
                <w:rStyle w:val="925"/>
              </w:rPr>
            </w:r>
            <w:r>
              <w:rPr>
                <w:rStyle w:val="925"/>
                <w:rFonts w:ascii="Calibri" w:hAnsi="Calibri" w:eastAsia="Calibri" w:cs="Calibri"/>
              </w:rPr>
              <w:t xml:space="preserve">2.1 Insumos heredados de los documentos precedentes</w:t>
            </w:r>
            <w:r>
              <w:rPr>
                <w:rStyle w:val="925"/>
              </w:rPr>
            </w:r>
            <w:r>
              <w:tab/>
              <w:fldChar w:fldCharType="begin"/>
              <w:instrText xml:space="preserve">PAGEREF _Toc8 \h</w:instrText>
              <w:fldChar w:fldCharType="separate"/>
              <w:t xml:space="preserve">6</w:t>
              <w:fldChar w:fldCharType="end"/>
            </w:r>
          </w:hyperlink>
          <w:r/>
        </w:p>
        <w:p w14:paraId="19B3D48E">
          <w:pPr>
            <w:pStyle w:val="905"/>
            <w:pBdr/>
            <w:tabs>
              <w:tab w:val="right" w:leader="dot" w:pos="9070"/>
            </w:tabs>
            <w:spacing/>
            <w:ind/>
            <w:rPr/>
          </w:pPr>
          <w:r/>
          <w:hyperlink w:tooltip="#_Toc9" w:anchor="_Toc9" w:history="1">
            <w:r>
              <w:rPr>
                <w:rStyle w:val="925"/>
              </w:rPr>
            </w:r>
            <w:r>
              <w:rPr>
                <w:rStyle w:val="925"/>
                <w:rFonts w:ascii="Calibri" w:hAnsi="Calibri" w:eastAsia="Calibri" w:cs="Calibri"/>
              </w:rPr>
              <w:t xml:space="preserve">2.2 Fundamento económico de la elección del proceso</w:t>
            </w:r>
            <w:r>
              <w:rPr>
                <w:rStyle w:val="925"/>
              </w:rPr>
            </w:r>
            <w:r>
              <w:tab/>
              <w:fldChar w:fldCharType="begin"/>
              <w:instrText xml:space="preserve">PAGEREF _Toc9 \h</w:instrText>
              <w:fldChar w:fldCharType="separate"/>
              <w:t xml:space="preserve">7</w:t>
              <w:fldChar w:fldCharType="end"/>
            </w:r>
          </w:hyperlink>
          <w:r/>
        </w:p>
        <w:p w14:paraId="47926C56">
          <w:pPr>
            <w:pStyle w:val="905"/>
            <w:pBdr/>
            <w:tabs>
              <w:tab w:val="right" w:leader="dot" w:pos="9070"/>
            </w:tabs>
            <w:spacing/>
            <w:ind/>
            <w:rPr/>
          </w:pPr>
          <w:r/>
          <w:hyperlink w:tooltip="#_Toc10" w:anchor="_Toc10" w:history="1">
            <w:r>
              <w:rPr>
                <w:rStyle w:val="925"/>
              </w:rPr>
            </w:r>
            <w:r>
              <w:rPr>
                <w:rStyle w:val="925"/>
                <w:rFonts w:ascii="Calibri" w:hAnsi="Calibri" w:eastAsia="Calibri" w:cs="Calibri"/>
              </w:rPr>
              <w:t xml:space="preserve">2.3 Categorías y etapas del ciclo de vida aplicables</w:t>
            </w:r>
            <w:r>
              <w:rPr>
                <w:rStyle w:val="925"/>
              </w:rPr>
            </w:r>
            <w:r>
              <w:tab/>
              <w:fldChar w:fldCharType="begin"/>
              <w:instrText xml:space="preserve">PAGEREF _Toc10 \h</w:instrText>
              <w:fldChar w:fldCharType="separate"/>
              <w:t xml:space="preserve">8</w:t>
              <w:fldChar w:fldCharType="end"/>
            </w:r>
          </w:hyperlink>
          <w:r/>
        </w:p>
        <w:p w14:paraId="2FCF91E3">
          <w:pPr>
            <w:pStyle w:val="906"/>
            <w:pBdr/>
            <w:tabs>
              <w:tab w:val="right" w:leader="dot" w:pos="9070"/>
            </w:tabs>
            <w:spacing/>
            <w:ind/>
            <w:rPr/>
          </w:pPr>
          <w:r/>
          <w:hyperlink w:tooltip="#_Toc11" w:anchor="_Toc11" w:history="1">
            <w:r>
              <w:rPr>
                <w:rStyle w:val="925"/>
              </w:rPr>
            </w:r>
            <w:r>
              <w:rPr>
                <w:rStyle w:val="925"/>
                <w:rFonts w:ascii="Calibri" w:hAnsi="Calibri" w:eastAsia="Calibri" w:cs="Calibri"/>
              </w:rPr>
              <w:t xml:space="preserve">2.3.1 Las cuatro categorías de procesos y su instanciación</w:t>
            </w:r>
            <w:r>
              <w:rPr>
                <w:rStyle w:val="925"/>
              </w:rPr>
            </w:r>
            <w:r>
              <w:tab/>
              <w:fldChar w:fldCharType="begin"/>
              <w:instrText xml:space="preserve">PAGEREF _Toc11 \h</w:instrText>
              <w:fldChar w:fldCharType="separate"/>
              <w:t xml:space="preserve">8</w:t>
              <w:fldChar w:fldCharType="end"/>
            </w:r>
          </w:hyperlink>
          <w:r/>
        </w:p>
        <w:p w14:paraId="020BE7D4">
          <w:pPr>
            <w:pStyle w:val="906"/>
            <w:pBdr/>
            <w:tabs>
              <w:tab w:val="right" w:leader="dot" w:pos="9070"/>
            </w:tabs>
            <w:spacing/>
            <w:ind/>
            <w:rPr/>
          </w:pPr>
          <w:r/>
          <w:hyperlink w:tooltip="#_Toc12" w:anchor="_Toc12" w:history="1">
            <w:r>
              <w:rPr>
                <w:rStyle w:val="925"/>
              </w:rPr>
            </w:r>
            <w:r>
              <w:rPr>
                <w:rStyle w:val="925"/>
                <w:rFonts w:ascii="Calibri" w:hAnsi="Calibri" w:eastAsia="Calibri" w:cs="Calibri"/>
              </w:rPr>
              <w:t xml:space="preserve">2.3.2 Las seis etapas y su cobertura</w:t>
            </w:r>
            <w:r>
              <w:rPr>
                <w:rStyle w:val="925"/>
              </w:rPr>
            </w:r>
            <w:r>
              <w:tab/>
              <w:fldChar w:fldCharType="begin"/>
              <w:instrText xml:space="preserve">PAGEREF _Toc12 \h</w:instrText>
              <w:fldChar w:fldCharType="separate"/>
              <w:t xml:space="preserve">8</w:t>
              <w:fldChar w:fldCharType="end"/>
            </w:r>
          </w:hyperlink>
          <w:r/>
        </w:p>
        <w:p w14:paraId="29454109">
          <w:pPr>
            <w:pStyle w:val="905"/>
            <w:pBdr/>
            <w:tabs>
              <w:tab w:val="right" w:leader="dot" w:pos="9070"/>
            </w:tabs>
            <w:spacing/>
            <w:ind/>
            <w:rPr/>
          </w:pPr>
          <w:r/>
          <w:hyperlink w:tooltip="#_Toc13" w:anchor="_Toc13" w:history="1">
            <w:r>
              <w:rPr>
                <w:rStyle w:val="925"/>
              </w:rPr>
            </w:r>
            <w:r>
              <w:rPr>
                <w:rStyle w:val="925"/>
                <w:rFonts w:ascii="Calibri" w:hAnsi="Calibri" w:eastAsia="Calibri" w:cs="Calibri"/>
              </w:rPr>
              <w:t xml:space="preserve">2.4 Paradigma de ciclo de vida adoptado</w:t>
            </w:r>
            <w:r>
              <w:rPr>
                <w:rStyle w:val="925"/>
              </w:rPr>
            </w:r>
            <w:r>
              <w:tab/>
              <w:fldChar w:fldCharType="begin"/>
              <w:instrText xml:space="preserve">PAGEREF _Toc13 \h</w:instrText>
              <w:fldChar w:fldCharType="separate"/>
              <w:t xml:space="preserve">9</w:t>
              <w:fldChar w:fldCharType="end"/>
            </w:r>
          </w:hyperlink>
          <w:r/>
        </w:p>
        <w:p w14:paraId="4B7D48C0">
          <w:pPr>
            <w:pStyle w:val="905"/>
            <w:pBdr/>
            <w:tabs>
              <w:tab w:val="right" w:leader="dot" w:pos="9070"/>
            </w:tabs>
            <w:spacing/>
            <w:ind/>
            <w:rPr/>
          </w:pPr>
          <w:r/>
          <w:hyperlink w:tooltip="#_Toc14" w:anchor="_Toc14" w:history="1">
            <w:r>
              <w:rPr>
                <w:rStyle w:val="925"/>
              </w:rPr>
            </w:r>
            <w:r>
              <w:rPr>
                <w:rStyle w:val="925"/>
                <w:rFonts w:ascii="Calibri" w:hAnsi="Calibri" w:eastAsia="Calibri" w:cs="Calibri"/>
              </w:rPr>
              <w:t xml:space="preserve">2.5 Modelos de ciclo de vida evaluados</w:t>
            </w:r>
            <w:r>
              <w:rPr>
                <w:rStyle w:val="925"/>
              </w:rPr>
            </w:r>
            <w:r>
              <w:tab/>
              <w:fldChar w:fldCharType="begin"/>
              <w:instrText xml:space="preserve">PAGEREF _Toc14 \h</w:instrText>
              <w:fldChar w:fldCharType="separate"/>
              <w:t xml:space="preserve">10</w:t>
              <w:fldChar w:fldCharType="end"/>
            </w:r>
          </w:hyperlink>
          <w:r/>
        </w:p>
        <w:p w14:paraId="4F3D3A5A">
          <w:pPr>
            <w:pStyle w:val="906"/>
            <w:pBdr/>
            <w:tabs>
              <w:tab w:val="right" w:leader="dot" w:pos="9070"/>
            </w:tabs>
            <w:spacing/>
            <w:ind/>
            <w:rPr/>
          </w:pPr>
          <w:r/>
          <w:hyperlink w:tooltip="#_Toc15" w:anchor="_Toc15" w:history="1">
            <w:r>
              <w:rPr>
                <w:rStyle w:val="925"/>
              </w:rPr>
            </w:r>
            <w:r>
              <w:rPr>
                <w:rStyle w:val="925"/>
                <w:rFonts w:ascii="Calibri" w:hAnsi="Calibri" w:eastAsia="Calibri" w:cs="Calibri"/>
              </w:rPr>
              <w:t xml:space="preserve">2.5.1 Universo considerado y descarte previo</w:t>
            </w:r>
            <w:r>
              <w:rPr>
                <w:rStyle w:val="925"/>
              </w:rPr>
            </w:r>
            <w:r>
              <w:tab/>
              <w:fldChar w:fldCharType="begin"/>
              <w:instrText xml:space="preserve">PAGEREF _Toc15 \h</w:instrText>
              <w:fldChar w:fldCharType="separate"/>
              <w:t xml:space="preserve">10</w:t>
              <w:fldChar w:fldCharType="end"/>
            </w:r>
          </w:hyperlink>
          <w:r/>
        </w:p>
        <w:p w14:paraId="50C604A9">
          <w:pPr>
            <w:pStyle w:val="906"/>
            <w:pBdr/>
            <w:tabs>
              <w:tab w:val="right" w:leader="dot" w:pos="9070"/>
            </w:tabs>
            <w:spacing/>
            <w:ind/>
            <w:rPr/>
          </w:pPr>
          <w:r/>
          <w:hyperlink w:tooltip="#_Toc16" w:anchor="_Toc16" w:history="1">
            <w:r>
              <w:rPr>
                <w:rStyle w:val="925"/>
              </w:rPr>
            </w:r>
            <w:r>
              <w:rPr>
                <w:rStyle w:val="925"/>
                <w:rFonts w:ascii="Calibri" w:hAnsi="Calibri" w:eastAsia="Calibri" w:cs="Calibri"/>
              </w:rPr>
              <w:t xml:space="preserve">2.5.2 Alternativa A — Modelo en V</w:t>
            </w:r>
            <w:r>
              <w:rPr>
                <w:rStyle w:val="925"/>
              </w:rPr>
            </w:r>
            <w:r>
              <w:tab/>
              <w:fldChar w:fldCharType="begin"/>
              <w:instrText xml:space="preserve">PAGEREF _Toc16 \h</w:instrText>
              <w:fldChar w:fldCharType="separate"/>
              <w:t xml:space="preserve">11</w:t>
              <w:fldChar w:fldCharType="end"/>
            </w:r>
          </w:hyperlink>
          <w:r/>
        </w:p>
        <w:p w14:paraId="435D01B9">
          <w:pPr>
            <w:pStyle w:val="906"/>
            <w:pBdr/>
            <w:tabs>
              <w:tab w:val="right" w:leader="dot" w:pos="9070"/>
            </w:tabs>
            <w:spacing/>
            <w:ind/>
            <w:rPr/>
          </w:pPr>
          <w:r/>
          <w:hyperlink w:tooltip="#_Toc17" w:anchor="_Toc17" w:history="1">
            <w:r>
              <w:rPr>
                <w:rStyle w:val="925"/>
              </w:rPr>
            </w:r>
            <w:r>
              <w:rPr>
                <w:rStyle w:val="925"/>
                <w:rFonts w:ascii="Calibri" w:hAnsi="Calibri" w:eastAsia="Calibri" w:cs="Calibri"/>
              </w:rPr>
              <w:t xml:space="preserve">2.5.3 Alternativa B — Modelo iterativo-incremental con marco ágil de gestión adaptado</w:t>
            </w:r>
            <w:r>
              <w:rPr>
                <w:rStyle w:val="925"/>
              </w:rPr>
            </w:r>
            <w:r>
              <w:tab/>
              <w:fldChar w:fldCharType="begin"/>
              <w:instrText xml:space="preserve">PAGEREF _Toc17 \h</w:instrText>
              <w:fldChar w:fldCharType="separate"/>
              <w:t xml:space="preserve">11</w:t>
              <w:fldChar w:fldCharType="end"/>
            </w:r>
          </w:hyperlink>
          <w:r/>
        </w:p>
        <w:p w14:paraId="091A5335">
          <w:pPr>
            <w:pStyle w:val="906"/>
            <w:pBdr/>
            <w:tabs>
              <w:tab w:val="right" w:leader="dot" w:pos="9070"/>
            </w:tabs>
            <w:spacing/>
            <w:ind/>
            <w:rPr/>
          </w:pPr>
          <w:r/>
          <w:hyperlink w:tooltip="#_Toc18" w:anchor="_Toc18" w:history="1">
            <w:r>
              <w:rPr>
                <w:rStyle w:val="925"/>
              </w:rPr>
            </w:r>
            <w:r>
              <w:rPr>
                <w:rStyle w:val="925"/>
                <w:rFonts w:ascii="Calibri" w:hAnsi="Calibri" w:eastAsia="Calibri" w:cs="Calibri"/>
              </w:rPr>
              <w:t xml:space="preserve">2.5.4 Alternativa C — Proceso Unificado en variante ligera</w:t>
            </w:r>
            <w:r>
              <w:rPr>
                <w:rStyle w:val="925"/>
              </w:rPr>
            </w:r>
            <w:r>
              <w:tab/>
              <w:fldChar w:fldCharType="begin"/>
              <w:instrText xml:space="preserve">PAGEREF _Toc18 \h</w:instrText>
              <w:fldChar w:fldCharType="separate"/>
              <w:t xml:space="preserve">11</w:t>
              <w:fldChar w:fldCharType="end"/>
            </w:r>
          </w:hyperlink>
          <w:r/>
        </w:p>
        <w:p w14:paraId="205539D4">
          <w:pPr>
            <w:pStyle w:val="905"/>
            <w:pBdr/>
            <w:tabs>
              <w:tab w:val="right" w:leader="dot" w:pos="9070"/>
            </w:tabs>
            <w:spacing/>
            <w:ind/>
            <w:rPr/>
          </w:pPr>
          <w:r/>
          <w:hyperlink w:tooltip="#_Toc19" w:anchor="_Toc19" w:history="1">
            <w:r>
              <w:rPr>
                <w:rStyle w:val="925"/>
              </w:rPr>
            </w:r>
            <w:r>
              <w:rPr>
                <w:rStyle w:val="925"/>
                <w:rFonts w:ascii="Calibri" w:hAnsi="Calibri" w:eastAsia="Calibri" w:cs="Calibri"/>
              </w:rPr>
              <w:t xml:space="preserve">2.6 Criterios de decisión y su ponderación</w:t>
            </w:r>
            <w:r>
              <w:rPr>
                <w:rStyle w:val="925"/>
              </w:rPr>
            </w:r>
            <w:r>
              <w:tab/>
              <w:fldChar w:fldCharType="begin"/>
              <w:instrText xml:space="preserve">PAGEREF _Toc19 \h</w:instrText>
              <w:fldChar w:fldCharType="separate"/>
              <w:t xml:space="preserve">12</w:t>
              <w:fldChar w:fldCharType="end"/>
            </w:r>
          </w:hyperlink>
          <w:r/>
        </w:p>
        <w:p w14:paraId="12001B76">
          <w:pPr>
            <w:pStyle w:val="905"/>
            <w:pBdr/>
            <w:tabs>
              <w:tab w:val="right" w:leader="dot" w:pos="9070"/>
            </w:tabs>
            <w:spacing/>
            <w:ind/>
            <w:rPr/>
          </w:pPr>
          <w:r/>
          <w:hyperlink w:tooltip="#_Toc20" w:anchor="_Toc20" w:history="1">
            <w:r>
              <w:rPr>
                <w:rStyle w:val="925"/>
              </w:rPr>
            </w:r>
            <w:r>
              <w:rPr>
                <w:rStyle w:val="925"/>
                <w:rFonts w:ascii="Calibri" w:hAnsi="Calibri" w:eastAsia="Calibri" w:cs="Calibri"/>
              </w:rPr>
              <w:t xml:space="preserve">2.7 Matriz de evaluación comparativa ponderada</w:t>
            </w:r>
            <w:r>
              <w:rPr>
                <w:rStyle w:val="925"/>
              </w:rPr>
            </w:r>
            <w:r>
              <w:tab/>
              <w:fldChar w:fldCharType="begin"/>
              <w:instrText xml:space="preserve">PAGEREF _Toc20 \h</w:instrText>
              <w:fldChar w:fldCharType="separate"/>
              <w:t xml:space="preserve">13</w:t>
              <w:fldChar w:fldCharType="end"/>
            </w:r>
          </w:hyperlink>
          <w:r/>
        </w:p>
        <w:p w14:paraId="634D38A2">
          <w:pPr>
            <w:pStyle w:val="905"/>
            <w:pBdr/>
            <w:tabs>
              <w:tab w:val="right" w:leader="dot" w:pos="9070"/>
            </w:tabs>
            <w:spacing/>
            <w:ind/>
            <w:rPr/>
          </w:pPr>
          <w:r/>
          <w:hyperlink w:tooltip="#_Toc21" w:anchor="_Toc21" w:history="1">
            <w:r>
              <w:rPr>
                <w:rStyle w:val="925"/>
              </w:rPr>
            </w:r>
            <w:r>
              <w:rPr>
                <w:rStyle w:val="925"/>
                <w:rFonts w:ascii="Calibri" w:hAnsi="Calibri" w:eastAsia="Calibri" w:cs="Calibri"/>
              </w:rPr>
              <w:t xml:space="preserve">2.8 Análisis de sensibilidad</w:t>
            </w:r>
            <w:r>
              <w:rPr>
                <w:rStyle w:val="925"/>
              </w:rPr>
            </w:r>
            <w:r>
              <w:tab/>
              <w:fldChar w:fldCharType="begin"/>
              <w:instrText xml:space="preserve">PAGEREF _Toc21 \h</w:instrText>
              <w:fldChar w:fldCharType="separate"/>
              <w:t xml:space="preserve">13</w:t>
              <w:fldChar w:fldCharType="end"/>
            </w:r>
          </w:hyperlink>
          <w:r/>
        </w:p>
        <w:p w14:paraId="1B5008D4">
          <w:pPr>
            <w:pStyle w:val="905"/>
            <w:pBdr/>
            <w:tabs>
              <w:tab w:val="right" w:leader="dot" w:pos="9070"/>
            </w:tabs>
            <w:spacing/>
            <w:ind/>
            <w:rPr/>
          </w:pPr>
          <w:r/>
          <w:hyperlink w:tooltip="#_Toc22" w:anchor="_Toc22" w:history="1">
            <w:r>
              <w:rPr>
                <w:rStyle w:val="925"/>
              </w:rPr>
            </w:r>
            <w:r>
              <w:rPr>
                <w:rStyle w:val="925"/>
                <w:rFonts w:ascii="Calibri" w:hAnsi="Calibri" w:eastAsia="Calibri" w:cs="Calibri"/>
              </w:rPr>
              <w:t xml:space="preserve">2.9 Decisión adoptada y justificación</w:t>
            </w:r>
            <w:r>
              <w:rPr>
                <w:rStyle w:val="925"/>
              </w:rPr>
            </w:r>
            <w:r>
              <w:tab/>
              <w:fldChar w:fldCharType="begin"/>
              <w:instrText xml:space="preserve">PAGEREF _Toc22 \h</w:instrText>
              <w:fldChar w:fldCharType="separate"/>
              <w:t xml:space="preserve">14</w:t>
              <w:fldChar w:fldCharType="end"/>
            </w:r>
          </w:hyperlink>
          <w:r/>
        </w:p>
        <w:p w14:paraId="4D4F826A">
          <w:pPr>
            <w:pStyle w:val="905"/>
            <w:pBdr/>
            <w:tabs>
              <w:tab w:val="right" w:leader="dot" w:pos="9070"/>
            </w:tabs>
            <w:spacing/>
            <w:ind/>
            <w:rPr/>
          </w:pPr>
          <w:r/>
          <w:hyperlink w:tooltip="#_Toc23" w:anchor="_Toc23" w:history="1">
            <w:r>
              <w:rPr>
                <w:rStyle w:val="925"/>
              </w:rPr>
            </w:r>
            <w:r>
              <w:rPr>
                <w:rStyle w:val="925"/>
                <w:rFonts w:ascii="Calibri" w:hAnsi="Calibri" w:eastAsia="Calibri" w:cs="Calibri"/>
              </w:rPr>
              <w:t xml:space="preserve">2.10 Decisiones metodológicas complementarias</w:t>
            </w:r>
            <w:r>
              <w:rPr>
                <w:rStyle w:val="925"/>
              </w:rPr>
            </w:r>
            <w:r>
              <w:tab/>
              <w:fldChar w:fldCharType="begin"/>
              <w:instrText xml:space="preserve">PAGEREF _Toc23 \h</w:instrText>
              <w:fldChar w:fldCharType="separate"/>
              <w:t xml:space="preserve">15</w:t>
              <w:fldChar w:fldCharType="end"/>
            </w:r>
          </w:hyperlink>
          <w:r/>
        </w:p>
        <w:p w14:paraId="33336CCA">
          <w:pPr>
            <w:pStyle w:val="905"/>
            <w:pBdr/>
            <w:tabs>
              <w:tab w:val="right" w:leader="dot" w:pos="9070"/>
            </w:tabs>
            <w:spacing/>
            <w:ind/>
            <w:rPr/>
          </w:pPr>
          <w:r/>
          <w:hyperlink w:tooltip="#_Toc24" w:anchor="_Toc24" w:history="1">
            <w:r>
              <w:rPr>
                <w:rStyle w:val="925"/>
              </w:rPr>
            </w:r>
            <w:r>
              <w:rPr>
                <w:rStyle w:val="925"/>
                <w:rFonts w:ascii="Calibri" w:hAnsi="Calibri" w:eastAsia="Calibri" w:cs="Calibri"/>
              </w:rPr>
              <w:t xml:space="preserve">2.11 Prácticas adoptadas</w:t>
            </w:r>
            <w:r>
              <w:rPr>
                <w:rStyle w:val="925"/>
              </w:rPr>
            </w:r>
            <w:r>
              <w:tab/>
              <w:fldChar w:fldCharType="begin"/>
              <w:instrText xml:space="preserve">PAGEREF _Toc24 \h</w:instrText>
              <w:fldChar w:fldCharType="separate"/>
              <w:t xml:space="preserve">17</w:t>
              <w:fldChar w:fldCharType="end"/>
            </w:r>
          </w:hyperlink>
          <w:r/>
        </w:p>
        <w:p w14:paraId="0EB9D3E1">
          <w:pPr>
            <w:pStyle w:val="905"/>
            <w:pBdr/>
            <w:tabs>
              <w:tab w:val="right" w:leader="dot" w:pos="9070"/>
            </w:tabs>
            <w:spacing/>
            <w:ind/>
            <w:rPr/>
          </w:pPr>
          <w:r/>
          <w:hyperlink w:tooltip="#_Toc25" w:anchor="_Toc25" w:history="1">
            <w:r>
              <w:rPr>
                <w:rStyle w:val="925"/>
              </w:rPr>
            </w:r>
            <w:r>
              <w:rPr>
                <w:rStyle w:val="925"/>
                <w:rFonts w:ascii="Calibri" w:hAnsi="Calibri" w:eastAsia="Calibri" w:cs="Calibri"/>
              </w:rPr>
              <w:t xml:space="preserve">2.12 Estimación del esfuerzo y del plazo de construcción</w:t>
            </w:r>
            <w:r>
              <w:rPr>
                <w:rStyle w:val="925"/>
              </w:rPr>
            </w:r>
            <w:r>
              <w:tab/>
              <w:fldChar w:fldCharType="begin"/>
              <w:instrText xml:space="preserve">PAGEREF _Toc25 \h</w:instrText>
              <w:fldChar w:fldCharType="separate"/>
              <w:t xml:space="preserve">18</w:t>
              <w:fldChar w:fldCharType="end"/>
            </w:r>
          </w:hyperlink>
          <w:r/>
        </w:p>
        <w:p w14:paraId="4D6EE7E1">
          <w:pPr>
            <w:pStyle w:val="906"/>
            <w:pBdr/>
            <w:tabs>
              <w:tab w:val="right" w:leader="dot" w:pos="9070"/>
            </w:tabs>
            <w:spacing/>
            <w:ind/>
            <w:rPr/>
          </w:pPr>
          <w:r/>
          <w:hyperlink w:tooltip="#_Toc26" w:anchor="_Toc26" w:history="1">
            <w:r>
              <w:rPr>
                <w:rStyle w:val="925"/>
              </w:rPr>
            </w:r>
            <w:r>
              <w:rPr>
                <w:rStyle w:val="925"/>
                <w:rFonts w:ascii="Calibri" w:hAnsi="Calibri" w:eastAsia="Calibri" w:cs="Calibri"/>
              </w:rPr>
              <w:t xml:space="preserve">2.12.1 Técnica empleada y supuestos</w:t>
            </w:r>
            <w:r>
              <w:rPr>
                <w:rStyle w:val="925"/>
              </w:rPr>
            </w:r>
            <w:r>
              <w:tab/>
              <w:fldChar w:fldCharType="begin"/>
              <w:instrText xml:space="preserve">PAGEREF _Toc26 \h</w:instrText>
              <w:fldChar w:fldCharType="separate"/>
              <w:t xml:space="preserve">18</w:t>
              <w:fldChar w:fldCharType="end"/>
            </w:r>
          </w:hyperlink>
          <w:r/>
        </w:p>
        <w:p w14:paraId="7C623B7F">
          <w:pPr>
            <w:pStyle w:val="906"/>
            <w:pBdr/>
            <w:tabs>
              <w:tab w:val="right" w:leader="dot" w:pos="9070"/>
            </w:tabs>
            <w:spacing/>
            <w:ind/>
            <w:rPr/>
          </w:pPr>
          <w:r/>
          <w:hyperlink w:tooltip="#_Toc27" w:anchor="_Toc27" w:history="1">
            <w:r>
              <w:rPr>
                <w:rStyle w:val="925"/>
              </w:rPr>
            </w:r>
            <w:r>
              <w:rPr>
                <w:rStyle w:val="925"/>
                <w:rFonts w:ascii="Calibri" w:hAnsi="Calibri" w:eastAsia="Calibri" w:cs="Calibri"/>
              </w:rPr>
              <w:t xml:space="preserve">2.12.2 Descomposición del esfuerzo</w:t>
            </w:r>
            <w:r>
              <w:rPr>
                <w:rStyle w:val="925"/>
              </w:rPr>
            </w:r>
            <w:r>
              <w:tab/>
              <w:fldChar w:fldCharType="begin"/>
              <w:instrText xml:space="preserve">PAGEREF _Toc27 \h</w:instrText>
              <w:fldChar w:fldCharType="separate"/>
              <w:t xml:space="preserve">19</w:t>
              <w:fldChar w:fldCharType="end"/>
            </w:r>
          </w:hyperlink>
          <w:r/>
        </w:p>
        <w:p w14:paraId="2B91A235">
          <w:pPr>
            <w:pStyle w:val="906"/>
            <w:pBdr/>
            <w:tabs>
              <w:tab w:val="right" w:leader="dot" w:pos="9070"/>
            </w:tabs>
            <w:spacing/>
            <w:ind/>
            <w:rPr/>
          </w:pPr>
          <w:r/>
          <w:hyperlink w:tooltip="#_Toc28" w:anchor="_Toc28" w:history="1">
            <w:r>
              <w:rPr>
                <w:rStyle w:val="925"/>
              </w:rPr>
            </w:r>
            <w:r>
              <w:rPr>
                <w:rStyle w:val="925"/>
                <w:rFonts w:ascii="Calibri" w:hAnsi="Calibri" w:eastAsia="Calibri" w:cs="Calibri"/>
              </w:rPr>
              <w:t xml:space="preserve">2.12.3 Resultado, holgura y rango de incertidumbre</w:t>
            </w:r>
            <w:r>
              <w:rPr>
                <w:rStyle w:val="925"/>
              </w:rPr>
            </w:r>
            <w:r>
              <w:tab/>
              <w:fldChar w:fldCharType="begin"/>
              <w:instrText xml:space="preserve">PAGEREF _Toc28 \h</w:instrText>
              <w:fldChar w:fldCharType="separate"/>
              <w:t xml:space="preserve">19</w:t>
              <w:fldChar w:fldCharType="end"/>
            </w:r>
          </w:hyperlink>
          <w:r/>
        </w:p>
        <w:p w14:paraId="5B3FA019">
          <w:pPr>
            <w:pStyle w:val="905"/>
            <w:pBdr/>
            <w:tabs>
              <w:tab w:val="right" w:leader="dot" w:pos="9070"/>
            </w:tabs>
            <w:spacing/>
            <w:ind/>
            <w:rPr/>
          </w:pPr>
          <w:r/>
          <w:hyperlink w:tooltip="#_Toc29" w:anchor="_Toc29" w:history="1">
            <w:r>
              <w:rPr>
                <w:rStyle w:val="925"/>
              </w:rPr>
            </w:r>
            <w:r>
              <w:rPr>
                <w:rStyle w:val="925"/>
                <w:rFonts w:ascii="Calibri" w:hAnsi="Calibri" w:eastAsia="Calibri" w:cs="Calibri"/>
              </w:rPr>
              <w:t xml:space="preserve">2.13 Instanciación del ciclo de vida: fases e iteraciones</w:t>
            </w:r>
            <w:r>
              <w:rPr>
                <w:rStyle w:val="925"/>
              </w:rPr>
            </w:r>
            <w:r>
              <w:tab/>
              <w:fldChar w:fldCharType="begin"/>
              <w:instrText xml:space="preserve">PAGEREF _Toc29 \h</w:instrText>
              <w:fldChar w:fldCharType="separate"/>
              <w:t xml:space="preserve">21</w:t>
              <w:fldChar w:fldCharType="end"/>
            </w:r>
          </w:hyperlink>
          <w:r/>
        </w:p>
        <w:p w14:paraId="2490A9A8">
          <w:pPr>
            <w:pStyle w:val="905"/>
            <w:pBdr/>
            <w:tabs>
              <w:tab w:val="right" w:leader="dot" w:pos="9070"/>
            </w:tabs>
            <w:spacing/>
            <w:ind/>
            <w:rPr/>
          </w:pPr>
          <w:r/>
          <w:hyperlink w:tooltip="#_Toc30" w:anchor="_Toc30" w:history="1">
            <w:r>
              <w:rPr>
                <w:rStyle w:val="925"/>
              </w:rPr>
            </w:r>
            <w:r>
              <w:rPr>
                <w:rStyle w:val="925"/>
                <w:rFonts w:ascii="Calibri" w:hAnsi="Calibri" w:eastAsia="Calibri" w:cs="Calibri"/>
              </w:rPr>
              <w:t xml:space="preserve">2.14 Anatomía de una iteración</w:t>
            </w:r>
            <w:r>
              <w:rPr>
                <w:rStyle w:val="925"/>
              </w:rPr>
            </w:r>
            <w:r>
              <w:tab/>
              <w:fldChar w:fldCharType="begin"/>
              <w:instrText xml:space="preserve">PAGEREF _Toc30 \h</w:instrText>
              <w:fldChar w:fldCharType="separate"/>
              <w:t xml:space="preserve">23</w:t>
              <w:fldChar w:fldCharType="end"/>
            </w:r>
          </w:hyperlink>
          <w:r/>
        </w:p>
        <w:p w14:paraId="1F2A79C1">
          <w:pPr>
            <w:pStyle w:val="905"/>
            <w:pBdr/>
            <w:tabs>
              <w:tab w:val="right" w:leader="dot" w:pos="9070"/>
            </w:tabs>
            <w:spacing/>
            <w:ind/>
            <w:rPr/>
          </w:pPr>
          <w:r/>
          <w:hyperlink w:tooltip="#_Toc31" w:anchor="_Toc31" w:history="1">
            <w:r>
              <w:rPr>
                <w:rStyle w:val="925"/>
              </w:rPr>
            </w:r>
            <w:r>
              <w:rPr>
                <w:rStyle w:val="925"/>
                <w:rFonts w:ascii="Calibri" w:hAnsi="Calibri" w:eastAsia="Calibri" w:cs="Calibri"/>
              </w:rPr>
              <w:t xml:space="preserve">2.15 Lugar del modelado en el ciclo de vida</w:t>
            </w:r>
            <w:r>
              <w:rPr>
                <w:rStyle w:val="925"/>
              </w:rPr>
            </w:r>
            <w:r>
              <w:tab/>
              <w:fldChar w:fldCharType="begin"/>
              <w:instrText xml:space="preserve">PAGEREF _Toc31 \h</w:instrText>
              <w:fldChar w:fldCharType="separate"/>
              <w:t xml:space="preserve">26</w:t>
              <w:fldChar w:fldCharType="end"/>
            </w:r>
          </w:hyperlink>
          <w:r/>
        </w:p>
        <w:p w14:paraId="2096F236">
          <w:pPr>
            <w:pStyle w:val="905"/>
            <w:pBdr/>
            <w:tabs>
              <w:tab w:val="right" w:leader="dot" w:pos="9070"/>
            </w:tabs>
            <w:spacing/>
            <w:ind/>
            <w:rPr/>
          </w:pPr>
          <w:r/>
          <w:hyperlink w:tooltip="#_Toc32" w:anchor="_Toc32" w:history="1">
            <w:r>
              <w:rPr>
                <w:rStyle w:val="925"/>
              </w:rPr>
            </w:r>
            <w:r>
              <w:rPr>
                <w:rStyle w:val="925"/>
                <w:rFonts w:ascii="Calibri" w:hAnsi="Calibri" w:eastAsia="Calibri" w:cs="Calibri"/>
              </w:rPr>
              <w:t xml:space="preserve">2.16 Gestión de la configuración y del cambio</w:t>
            </w:r>
            <w:r>
              <w:rPr>
                <w:rStyle w:val="925"/>
              </w:rPr>
            </w:r>
            <w:r>
              <w:tab/>
              <w:fldChar w:fldCharType="begin"/>
              <w:instrText xml:space="preserve">PAGEREF _Toc32 \h</w:instrText>
              <w:fldChar w:fldCharType="separate"/>
              <w:t xml:space="preserve">26</w:t>
              <w:fldChar w:fldCharType="end"/>
            </w:r>
          </w:hyperlink>
          <w:r/>
        </w:p>
        <w:p w14:paraId="3E07B203">
          <w:pPr>
            <w:pStyle w:val="905"/>
            <w:pBdr/>
            <w:tabs>
              <w:tab w:val="right" w:leader="dot" w:pos="9070"/>
            </w:tabs>
            <w:spacing/>
            <w:ind/>
            <w:rPr/>
          </w:pPr>
          <w:r/>
          <w:hyperlink w:tooltip="#_Toc33" w:anchor="_Toc33" w:history="1">
            <w:r>
              <w:rPr>
                <w:rStyle w:val="925"/>
              </w:rPr>
            </w:r>
            <w:r>
              <w:rPr>
                <w:rStyle w:val="925"/>
                <w:rFonts w:ascii="Calibri" w:hAnsi="Calibri" w:eastAsia="Calibri" w:cs="Calibri"/>
              </w:rPr>
              <w:t xml:space="preserve">2.17 Medición, monitoreo y mejora del proceso</w:t>
            </w:r>
            <w:r>
              <w:rPr>
                <w:rStyle w:val="925"/>
              </w:rPr>
            </w:r>
            <w:r>
              <w:tab/>
              <w:fldChar w:fldCharType="begin"/>
              <w:instrText xml:space="preserve">PAGEREF _Toc33 \h</w:instrText>
              <w:fldChar w:fldCharType="separate"/>
              <w:t xml:space="preserve">27</w:t>
              <w:fldChar w:fldCharType="end"/>
            </w:r>
          </w:hyperlink>
          <w:r/>
        </w:p>
        <w:p w14:paraId="154AFC17">
          <w:pPr>
            <w:pStyle w:val="905"/>
            <w:pBdr/>
            <w:tabs>
              <w:tab w:val="right" w:leader="dot" w:pos="9070"/>
            </w:tabs>
            <w:spacing/>
            <w:ind/>
            <w:rPr/>
          </w:pPr>
          <w:r/>
          <w:hyperlink w:tooltip="#_Toc34" w:anchor="_Toc34" w:history="1">
            <w:r>
              <w:rPr>
                <w:rStyle w:val="925"/>
              </w:rPr>
            </w:r>
            <w:r>
              <w:rPr>
                <w:rStyle w:val="925"/>
                <w:rFonts w:ascii="Calibri" w:hAnsi="Calibri" w:eastAsia="Calibri" w:cs="Calibri"/>
              </w:rPr>
              <w:t xml:space="preserve">2.18 Riesgos del proceso y su mitigación</w:t>
            </w:r>
            <w:r>
              <w:rPr>
                <w:rStyle w:val="925"/>
              </w:rPr>
            </w:r>
            <w:r>
              <w:tab/>
              <w:fldChar w:fldCharType="begin"/>
              <w:instrText xml:space="preserve">PAGEREF _Toc34 \h</w:instrText>
              <w:fldChar w:fldCharType="separate"/>
              <w:t xml:space="preserve">28</w:t>
              <w:fldChar w:fldCharType="end"/>
            </w:r>
          </w:hyperlink>
          <w:r/>
        </w:p>
        <w:p w14:paraId="759ABCBD">
          <w:pPr>
            <w:pStyle w:val="905"/>
            <w:pBdr/>
            <w:tabs>
              <w:tab w:val="right" w:leader="dot" w:pos="9070"/>
            </w:tabs>
            <w:spacing/>
            <w:ind/>
            <w:rPr/>
          </w:pPr>
          <w:r/>
          <w:hyperlink w:tooltip="#_Toc35" w:anchor="_Toc35" w:history="1">
            <w:r>
              <w:rPr>
                <w:rStyle w:val="925"/>
              </w:rPr>
            </w:r>
            <w:r>
              <w:rPr>
                <w:rStyle w:val="925"/>
                <w:rFonts w:ascii="Calibri" w:hAnsi="Calibri" w:eastAsia="Calibri" w:cs="Calibri"/>
              </w:rPr>
              <w:t xml:space="preserve">2.19 Verificación de la satisfacción de las restricciones organizacionales</w:t>
            </w:r>
            <w:r>
              <w:rPr>
                <w:rStyle w:val="925"/>
              </w:rPr>
            </w:r>
            <w:r>
              <w:tab/>
              <w:fldChar w:fldCharType="begin"/>
              <w:instrText xml:space="preserve">PAGEREF _Toc35 \h</w:instrText>
              <w:fldChar w:fldCharType="separate"/>
              <w:t xml:space="preserve">29</w:t>
              <w:fldChar w:fldCharType="end"/>
            </w:r>
          </w:hyperlink>
          <w:r/>
        </w:p>
        <w:p w14:paraId="1BF3C4F6">
          <w:pPr>
            <w:pStyle w:val="905"/>
            <w:pBdr/>
            <w:tabs>
              <w:tab w:val="right" w:leader="dot" w:pos="9070"/>
            </w:tabs>
            <w:spacing/>
            <w:ind/>
            <w:rPr/>
          </w:pPr>
          <w:r/>
          <w:hyperlink w:tooltip="#_Toc36" w:anchor="_Toc36" w:history="1">
            <w:r>
              <w:rPr>
                <w:rStyle w:val="925"/>
              </w:rPr>
            </w:r>
            <w:r>
              <w:rPr>
                <w:rStyle w:val="925"/>
                <w:rFonts w:ascii="Calibri" w:hAnsi="Calibri" w:eastAsia="Calibri" w:cs="Calibri"/>
              </w:rPr>
              <w:t xml:space="preserve">2.20 Registro de adaptación conforme a ISO/IEC 29110</w:t>
            </w:r>
            <w:r>
              <w:rPr>
                <w:rStyle w:val="925"/>
              </w:rPr>
            </w:r>
            <w:r>
              <w:tab/>
              <w:fldChar w:fldCharType="begin"/>
              <w:instrText xml:space="preserve">PAGEREF _Toc36 \h</w:instrText>
              <w:fldChar w:fldCharType="separate"/>
              <w:t xml:space="preserve">30</w:t>
              <w:fldChar w:fldCharType="end"/>
            </w:r>
          </w:hyperlink>
          <w:r/>
        </w:p>
        <w:p w14:paraId="3A61FAA8">
          <w:pPr>
            <w:pStyle w:val="904"/>
            <w:pBdr/>
            <w:tabs>
              <w:tab w:val="right" w:leader="dot" w:pos="9070"/>
            </w:tabs>
            <w:spacing/>
            <w:ind/>
            <w:rPr/>
          </w:pPr>
          <w:r/>
          <w:hyperlink w:tooltip="#_Toc37" w:anchor="_Toc37" w:history="1">
            <w:r>
              <w:rPr>
                <w:rStyle w:val="925"/>
              </w:rPr>
            </w:r>
            <w:r>
              <w:rPr>
                <w:rStyle w:val="925"/>
                <w:rFonts w:ascii="Calibri" w:hAnsi="Calibri" w:eastAsia="Calibri" w:cs="Calibri"/>
              </w:rPr>
              <w:t xml:space="preserve">3. Conclusiones</w:t>
            </w:r>
            <w:r>
              <w:rPr>
                <w:rStyle w:val="925"/>
              </w:rPr>
            </w:r>
            <w:r>
              <w:tab/>
              <w:fldChar w:fldCharType="begin"/>
              <w:instrText xml:space="preserve">PAGEREF _Toc37 \h</w:instrText>
              <w:fldChar w:fldCharType="separate"/>
              <w:t xml:space="preserve">31</w:t>
              <w:fldChar w:fldCharType="end"/>
            </w:r>
          </w:hyperlink>
          <w:r/>
        </w:p>
        <w:p w14:paraId="00887642">
          <w:pPr>
            <w:pStyle w:val="904"/>
            <w:pBdr/>
            <w:tabs>
              <w:tab w:val="right" w:leader="dot" w:pos="9070"/>
            </w:tabs>
            <w:spacing/>
            <w:ind/>
            <w:rPr/>
          </w:pPr>
          <w:r/>
          <w:hyperlink w:tooltip="#_Toc38" w:anchor="_Toc38" w:history="1">
            <w:r>
              <w:rPr>
                <w:rStyle w:val="925"/>
              </w:rPr>
            </w:r>
            <w:r>
              <w:rPr>
                <w:rStyle w:val="925"/>
                <w:rFonts w:ascii="Calibri" w:hAnsi="Calibri" w:eastAsia="Calibri" w:cs="Calibri"/>
              </w:rPr>
              <w:t xml:space="preserve">4. Referencias normativas y bibliográficas</w:t>
            </w:r>
            <w:r>
              <w:rPr>
                <w:rStyle w:val="925"/>
              </w:rPr>
            </w:r>
            <w:r>
              <w:tab/>
              <w:fldChar w:fldCharType="begin"/>
              <w:instrText xml:space="preserve">PAGEREF _Toc38 \h</w:instrText>
              <w:fldChar w:fldCharType="separate"/>
              <w:t xml:space="preserve">32</w:t>
              <w:fldChar w:fldCharType="end"/>
            </w:r>
          </w:hyperlink>
          <w:r/>
        </w:p>
        <w:p w14:paraId="4D6BD5EF">
          <w:pPr>
            <w:pStyle w:val="904"/>
            <w:pBdr/>
            <w:tabs>
              <w:tab w:val="right" w:leader="dot" w:pos="9070"/>
            </w:tabs>
            <w:spacing/>
            <w:ind/>
            <w:rPr/>
          </w:pPr>
          <w:r/>
          <w:hyperlink w:tooltip="#_Toc39" w:anchor="_Toc39" w:history="1">
            <w:r>
              <w:rPr>
                <w:rStyle w:val="925"/>
              </w:rPr>
            </w:r>
            <w:r>
              <w:rPr>
                <w:rStyle w:val="925"/>
                <w:rFonts w:ascii="Calibri" w:hAnsi="Calibri" w:eastAsia="Calibri" w:cs="Calibri"/>
              </w:rPr>
              <w:t xml:space="preserve">5. Anexos</w:t>
            </w:r>
            <w:r>
              <w:rPr>
                <w:rStyle w:val="925"/>
              </w:rPr>
            </w:r>
            <w:r>
              <w:tab/>
              <w:fldChar w:fldCharType="begin"/>
              <w:instrText xml:space="preserve">PAGEREF _Toc39 \h</w:instrText>
              <w:fldChar w:fldCharType="separate"/>
              <w:t xml:space="preserve">33</w:t>
              <w:fldChar w:fldCharType="end"/>
            </w:r>
          </w:hyperlink>
          <w:r/>
        </w:p>
        <w:p w14:paraId="00CBF89A">
          <w:pPr>
            <w:pStyle w:val="905"/>
            <w:pBdr/>
            <w:tabs>
              <w:tab w:val="right" w:leader="dot" w:pos="9070"/>
            </w:tabs>
            <w:spacing/>
            <w:ind/>
            <w:rPr/>
          </w:pPr>
          <w:r/>
          <w:hyperlink w:tooltip="#_Toc40" w:anchor="_Toc40" w:history="1">
            <w:r>
              <w:rPr>
                <w:rStyle w:val="925"/>
              </w:rPr>
            </w:r>
            <w:r>
              <w:rPr>
                <w:rStyle w:val="925"/>
                <w:rFonts w:ascii="Calibri" w:hAnsi="Calibri" w:eastAsia="Calibri" w:cs="Calibri"/>
              </w:rPr>
              <w:t xml:space="preserve">Anexo A — Matriz de trazabilidad: factor heredado → decisión metodológica</w:t>
            </w:r>
            <w:r>
              <w:rPr>
                <w:rStyle w:val="925"/>
              </w:rPr>
            </w:r>
            <w:r>
              <w:tab/>
              <w:fldChar w:fldCharType="begin"/>
              <w:instrText xml:space="preserve">PAGEREF _Toc40 \h</w:instrText>
              <w:fldChar w:fldCharType="separate"/>
              <w:t xml:space="preserve">33</w:t>
              <w:fldChar w:fldCharType="end"/>
            </w:r>
          </w:hyperlink>
          <w:r/>
        </w:p>
        <w:p w14:paraId="68C4EC4A">
          <w:pPr>
            <w:pStyle w:val="905"/>
            <w:pBdr/>
            <w:tabs>
              <w:tab w:val="right" w:leader="dot" w:pos="9070"/>
            </w:tabs>
            <w:spacing/>
            <w:ind/>
            <w:rPr/>
          </w:pPr>
          <w:r/>
          <w:hyperlink w:tooltip="#_Toc41" w:anchor="_Toc41" w:history="1">
            <w:r>
              <w:rPr>
                <w:rStyle w:val="925"/>
              </w:rPr>
            </w:r>
            <w:r>
              <w:rPr>
                <w:rStyle w:val="925"/>
                <w:rFonts w:ascii="Calibri" w:hAnsi="Calibri" w:eastAsia="Calibri" w:cs="Calibri"/>
              </w:rPr>
              <w:t xml:space="preserve">Anexo B — Asignación de módulos a iteraciones y conflictos de ordenación</w:t>
            </w:r>
            <w:r>
              <w:rPr>
                <w:rStyle w:val="925"/>
              </w:rPr>
            </w:r>
            <w:r>
              <w:tab/>
              <w:fldChar w:fldCharType="begin"/>
              <w:instrText xml:space="preserve">PAGEREF _Toc41 \h</w:instrText>
              <w:fldChar w:fldCharType="separate"/>
              <w:t xml:space="preserve">34</w:t>
              <w:fldChar w:fldCharType="end"/>
            </w:r>
          </w:hyperlink>
          <w:r/>
        </w:p>
        <w:p w14:paraId="740B9438">
          <w:pPr>
            <w:pStyle w:val="905"/>
            <w:pBdr/>
            <w:tabs>
              <w:tab w:val="right" w:leader="dot" w:pos="9070"/>
            </w:tabs>
            <w:spacing/>
            <w:ind/>
            <w:rPr/>
          </w:pPr>
          <w:r/>
          <w:hyperlink w:tooltip="#_Toc42" w:anchor="_Toc42" w:history="1">
            <w:r>
              <w:rPr>
                <w:rStyle w:val="925"/>
              </w:rPr>
            </w:r>
            <w:r>
              <w:rPr>
                <w:rStyle w:val="925"/>
                <w:rFonts w:ascii="Calibri" w:hAnsi="Calibri" w:eastAsia="Calibri" w:cs="Calibri"/>
              </w:rPr>
              <w:t xml:space="preserve">Anexo C — Cuadro comparativo de los modelos de ciclo de vida considerados</w:t>
            </w:r>
            <w:r>
              <w:rPr>
                <w:rStyle w:val="925"/>
              </w:rPr>
            </w:r>
            <w:r>
              <w:tab/>
              <w:fldChar w:fldCharType="begin"/>
              <w:instrText xml:space="preserve">PAGEREF _Toc42 \h</w:instrText>
              <w:fldChar w:fldCharType="separate"/>
              <w:t xml:space="preserve">34</w:t>
              <w:fldChar w:fldCharType="end"/>
            </w:r>
          </w:hyperlink>
          <w:r/>
        </w:p>
        <w:p w14:paraId="5D041D83">
          <w:pPr>
            <w:pStyle w:val="905"/>
            <w:pBdr/>
            <w:tabs>
              <w:tab w:val="right" w:leader="dot" w:pos="9070"/>
            </w:tabs>
            <w:spacing/>
            <w:ind/>
            <w:rPr/>
          </w:pPr>
          <w:r/>
          <w:hyperlink w:tooltip="#_Toc43" w:anchor="_Toc43" w:history="1">
            <w:r>
              <w:rPr>
                <w:rStyle w:val="925"/>
              </w:rPr>
            </w:r>
            <w:r>
              <w:rPr>
                <w:rStyle w:val="925"/>
                <w:rFonts w:ascii="Calibri" w:hAnsi="Calibri" w:eastAsia="Calibri" w:cs="Calibri"/>
              </w:rPr>
              <w:t xml:space="preserve">Anexo D — Registro de inconsistencias conocidas de la serie</w:t>
            </w:r>
            <w:r>
              <w:rPr>
                <w:rStyle w:val="925"/>
              </w:rPr>
            </w:r>
            <w:r>
              <w:tab/>
              <w:fldChar w:fldCharType="begin"/>
              <w:instrText xml:space="preserve">PAGEREF _Toc43 \h</w:instrText>
              <w:fldChar w:fldCharType="separate"/>
              <w:t xml:space="preserve">35</w:t>
              <w:fldChar w:fldCharType="end"/>
            </w:r>
          </w:hyperlink>
          <w:r/>
        </w:p>
        <w:p w14:paraId="2DC44B09">
          <w:pPr>
            <w:pBdr/>
            <w:spacing/>
            <w:ind/>
            <w:rPr/>
          </w:pPr>
          <w:r>
            <w:fldChar w:fldCharType="end"/>
          </w:r>
        </w:p>
      </w:sdtContent>
    </w:sdt>
    <w:p>
      <w:pPr>
        <w:pBdr/>
        <w:spacing/>
        <w:ind/>
        <w:rPr/>
      </w:pPr>
      <w:r>
        <w:br w:type="page" w:clear="all"/>
      </w:r>
    </w:p>
    <w:p>
      <w:pPr>
        <w:pStyle w:val="917"/>
        <w:pBdr/>
        <w:spacing w:after="200" w:before="400"/>
        <w:ind/>
        <w:rPr>
          <w:color w:val="000000" w:themeColor="text1"/>
        </w:rPr>
      </w:pPr>
      <w:r>
        <w:rPr>
          <w:color w:val="000000" w:themeColor="text1"/>
        </w:rPr>
      </w:r>
      <w:bookmarkStart w:id="1" w:name="_Toc1"/>
      <w:r>
        <w:rPr>
          <w:rFonts w:ascii="Calibri" w:hAnsi="Calibri" w:eastAsia="Calibri" w:cs="Calibri"/>
          <w:b/>
          <w:bCs/>
          <w:color w:val="000000" w:themeColor="text1"/>
          <w:sz w:val="30"/>
          <w:szCs w:val="30"/>
        </w:rPr>
        <w:t xml:space="preserve">1. Introducción</w:t>
      </w:r>
      <w:bookmarkEnd w:id="1"/>
      <w:r>
        <w:rPr>
          <w:color w:val="000000" w:themeColor="text1"/>
        </w:rPr>
      </w:r>
    </w:p>
    <w:p>
      <w:pPr>
        <w:pStyle w:val="918"/>
        <w:pBdr/>
        <w:spacing w:after="140" w:before="280"/>
        <w:ind/>
        <w:rPr>
          <w:color w:val="000000" w:themeColor="text1"/>
        </w:rPr>
      </w:pPr>
      <w:r>
        <w:rPr>
          <w:color w:val="000000" w:themeColor="text1"/>
        </w:rPr>
      </w:r>
      <w:bookmarkStart w:id="2" w:name="_Toc2"/>
      <w:r>
        <w:rPr>
          <w:rFonts w:ascii="Calibri" w:hAnsi="Calibri" w:eastAsia="Calibri" w:cs="Calibri"/>
          <w:b/>
          <w:bCs/>
          <w:color w:val="000000" w:themeColor="text1"/>
          <w:sz w:val="25"/>
          <w:szCs w:val="25"/>
        </w:rPr>
        <w:t xml:space="preserve">1.1 Propósito del documento</w:t>
      </w:r>
      <w:bookmarkEnd w:id="2"/>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Este documento selecciona y justifica el modelo de ciclo de vida del software y el método de desarrollo con que se construirá la Plataforma Web B2B de Emparejamiento Comercial «AbasteceNi», y lo instancia en un ciclo de vida concreto con fases, iteraciones, prácticas, métricas y criterios de salida verificables.</w:t>
      </w:r>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La distinción que gobierna el documento es la que establece el apartado 2.3 del capítulo 10 del SWEBOK v4.0a: un ciclo de vida de proyecto específico se crea mapeando las actividades de un estándar sobre un modelo de ciclo de vida seleccionado. El documento no se limita, por tanto, a nombrar un modelo: selecciona uno entre alternativas evaluadas, declara el paradigma al que pertenece, lo adapta a las características diferenciales del proyecto y documenta esa adaptación, que es exactamente lo que el apartado 2.8 de la misma fuente exige.</w:t>
      </w:r>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Su función dentro de la serie es </w:t>
      </w:r>
      <w:r>
        <w:rPr>
          <w:rFonts w:ascii="Calibri" w:hAnsi="Calibri" w:eastAsia="Calibri" w:cs="Calibri"/>
          <w:b/>
          <w:bCs/>
          <w:i w:val="0"/>
          <w:iCs w:val="0"/>
          <w:color w:val="000000" w:themeColor="text1"/>
          <w:sz w:val="22"/>
          <w:szCs w:val="22"/>
        </w:rPr>
        <w:t xml:space="preserve">normativa sobre la ejecución</w:t>
      </w:r>
      <w:r>
        <w:rPr>
          <w:rFonts w:ascii="Calibri" w:hAnsi="Calibri" w:eastAsia="Calibri" w:cs="Calibri"/>
          <w:b w:val="0"/>
          <w:bCs w:val="0"/>
          <w:i w:val="0"/>
          <w:iCs w:val="0"/>
          <w:color w:val="000000" w:themeColor="text1"/>
          <w:sz w:val="22"/>
          <w:szCs w:val="22"/>
        </w:rPr>
        <w:t xml:space="preserve">. Todo lo que ocurra durante la construcción —en qué orden se aborda el catálogo de requisitos, cuándo se considera terminado un elemento, quién lo acepta, qué se mide y con qué frecuencia se revisa el propio proceso— queda determinado aquí. En consecuencia, este documento emite tres familias de elementos que la construcción y el entregable siguiente están obligados a honrar:</w:t>
      </w:r>
      <w:r>
        <w:rPr>
          <w:color w:val="000000" w:themeColor="text1"/>
        </w:rPr>
      </w:r>
    </w:p>
    <w:p>
      <w:pPr>
        <w:pBdr/>
        <w:spacing w:after="6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1900"/>
        <w:gridCol w:w="2100"/>
        <w:gridCol w:w="5070"/>
      </w:tblGrid>
      <w:tr>
        <w:trPr>
          <w:tblHeader/>
        </w:trPr>
        <w:tc>
          <w:tcPr>
            <w:shd w:val="clear" w:color="auto" w:fill="dce6f1"/>
            <w:tcBorders>
              <w:top w:val="single" w:color="000000" w:sz="4" w:space="0"/>
              <w:left w:val="single" w:color="000000" w:sz="4" w:space="0"/>
              <w:bottom w:val="single" w:color="000000" w:sz="4" w:space="0"/>
              <w:right w:val="single" w:color="000000" w:sz="4" w:space="0"/>
            </w:tcBorders>
            <w:tcMar>
              <w:left w:w="90" w:type="dxa"/>
              <w:top w:w="60" w:type="dxa"/>
              <w:right w:w="90" w:type="dxa"/>
              <w:bottom w:w="60" w:type="dxa"/>
            </w:tcMar>
            <w:tcW w:w="19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Familia</w:t>
            </w:r>
            <w:r>
              <w:rPr>
                <w:color w:val="000000" w:themeColor="text1"/>
              </w:rPr>
            </w:r>
          </w:p>
        </w:tc>
        <w:tc>
          <w:tcPr>
            <w:shd w:val="clear" w:color="auto" w:fill="dce6f1"/>
            <w:tcBorders>
              <w:top w:val="single" w:color="000000" w:sz="4" w:space="0"/>
              <w:left w:val="single" w:color="000000" w:sz="4" w:space="0"/>
              <w:bottom w:val="single" w:color="000000" w:sz="4" w:space="0"/>
              <w:right w:val="single" w:color="000000" w:sz="4" w:space="0"/>
            </w:tcBorders>
            <w:tcMar>
              <w:left w:w="90" w:type="dxa"/>
              <w:top w:w="60" w:type="dxa"/>
              <w:right w:w="90" w:type="dxa"/>
              <w:bottom w:w="60" w:type="dxa"/>
            </w:tcMar>
            <w:tcW w:w="21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Identificadores</w:t>
            </w:r>
            <w:r>
              <w:rPr>
                <w:color w:val="000000" w:themeColor="text1"/>
              </w:rPr>
            </w:r>
          </w:p>
        </w:tc>
        <w:tc>
          <w:tcPr>
            <w:shd w:val="clear" w:color="auto" w:fill="dce6f1"/>
            <w:tcBorders>
              <w:top w:val="single" w:color="000000" w:sz="4" w:space="0"/>
              <w:left w:val="single" w:color="000000" w:sz="4" w:space="0"/>
              <w:bottom w:val="single" w:color="000000" w:sz="4" w:space="0"/>
              <w:right w:val="single" w:color="000000" w:sz="4" w:space="0"/>
            </w:tcBorders>
            <w:tcMar>
              <w:left w:w="90" w:type="dxa"/>
              <w:top w:w="60" w:type="dxa"/>
              <w:right w:w="90" w:type="dxa"/>
              <w:bottom w:w="60" w:type="dxa"/>
            </w:tcMar>
            <w:tcW w:w="50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Qué obliga</w:t>
            </w:r>
            <w:r>
              <w:rPr>
                <w:color w:val="000000" w:themeColor="text1"/>
              </w:rPr>
            </w:r>
          </w:p>
        </w:tc>
      </w:tr>
      <w:tr>
        <w:trPr/>
        <w:tc>
          <w:tcPr>
            <w:shd w:val="clear" w:color="auto" w:fill="ffffff"/>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Decisiones metodológicas</w:t>
            </w:r>
            <w:r>
              <w:rPr>
                <w:color w:val="000000" w:themeColor="text1"/>
              </w:rPr>
            </w:r>
          </w:p>
        </w:tc>
        <w:tc>
          <w:tcPr>
            <w:shd w:val="clear" w:color="auto" w:fill="ffffff"/>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2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DM-01 … DM-09</w:t>
            </w:r>
            <w:r>
              <w:rPr>
                <w:color w:val="000000" w:themeColor="text1"/>
              </w:rPr>
            </w:r>
          </w:p>
        </w:tc>
        <w:tc>
          <w:tcPr>
            <w:shd w:val="clear" w:color="auto" w:fill="ffffff"/>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50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Tienen carácter vinculante sobre la ejecución. Cualquier apartamiento exige una decisión explícita que las revise, no una excepción puntual.</w:t>
            </w:r>
            <w:r>
              <w:rPr>
                <w:color w:val="000000" w:themeColor="text1"/>
              </w:rPr>
            </w:r>
          </w:p>
        </w:tc>
      </w:tr>
      <w:tr>
        <w:trPr/>
        <w:tc>
          <w:tcPr>
            <w:shd w:val="clear" w:color="auto" w:fill="f2f2f2"/>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Iteraciones e incrementos</w:t>
            </w:r>
            <w:r>
              <w:rPr>
                <w:color w:val="000000" w:themeColor="text1"/>
              </w:rPr>
            </w:r>
          </w:p>
        </w:tc>
        <w:tc>
          <w:tcPr>
            <w:shd w:val="clear" w:color="auto" w:fill="f2f2f2"/>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2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IT-00 … IT-10</w:t>
            </w:r>
            <w:r>
              <w:rPr>
                <w:color w:val="000000" w:themeColor="text1"/>
              </w:rPr>
            </w:r>
          </w:p>
        </w:tc>
        <w:tc>
          <w:tcPr>
            <w:shd w:val="clear" w:color="auto" w:fill="f2f2f2"/>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50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Fijan el orden de construcción y el contenido demostrable al cierre de cada una. El entregable 5 produce sus modelos conforme a este orden.</w:t>
            </w:r>
            <w:r>
              <w:rPr>
                <w:color w:val="000000" w:themeColor="text1"/>
              </w:rPr>
            </w:r>
          </w:p>
        </w:tc>
      </w:tr>
      <w:tr>
        <w:trPr/>
        <w:tc>
          <w:tcPr>
            <w:shd w:val="clear" w:color="auto" w:fill="ffffff"/>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Métricas del proceso</w:t>
            </w:r>
            <w:r>
              <w:rPr>
                <w:color w:val="000000" w:themeColor="text1"/>
              </w:rPr>
            </w:r>
          </w:p>
        </w:tc>
        <w:tc>
          <w:tcPr>
            <w:shd w:val="clear" w:color="auto" w:fill="ffffff"/>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2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MT-01 … MT-08</w:t>
            </w:r>
            <w:r>
              <w:rPr>
                <w:color w:val="000000" w:themeColor="text1"/>
              </w:rPr>
            </w:r>
          </w:p>
        </w:tc>
        <w:tc>
          <w:tcPr>
            <w:shd w:val="clear" w:color="auto" w:fill="ffffff"/>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50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Constituyen la evidencia empírica sobre la que se recalibra la estimación y se decide toda modificación del proceso.</w:t>
            </w:r>
            <w:r>
              <w:rPr>
                <w:color w:val="000000" w:themeColor="text1"/>
              </w:rPr>
            </w:r>
          </w:p>
        </w:tc>
      </w:tr>
    </w:tbl>
    <w:p>
      <w:pPr>
        <w:pBdr/>
        <w:spacing w:after="140"/>
        <w:ind/>
        <w:rPr>
          <w:color w:val="000000" w:themeColor="text1"/>
        </w:rPr>
      </w:pPr>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Se introducen además los prefijos FD-nn para los factores determinantes heredados, CM-nn para los criterios de decisión metodológica, PR-nn para las prácticas adoptadas y RM-nn para los riesgos del proceso. Ninguno de ellos colisiona con los identificadores ya en uso en la serie —SYS-FN-nn, SYS-NFN-nn, O-StRS-nn, I-nn, M1–M9, PA-nn, PV-nn, V-nn, ADR-nn, C-nn, S-nn, P-nn, R-nn, RF-nn, RNF-nn, A-nn, CT-, U-nn, O-NEG-nn, RO-nn, PE-, PM- y PS-—, condición necesaria para la edición integrada.</w:t>
      </w:r>
      <w:r>
        <w:rPr>
          <w:color w:val="000000" w:themeColor="text1"/>
        </w:rPr>
      </w:r>
    </w:p>
    <w:p>
      <w:pPr>
        <w:pStyle w:val="918"/>
        <w:pBdr/>
        <w:spacing w:after="140" w:before="280"/>
        <w:ind/>
        <w:rPr>
          <w:color w:val="000000" w:themeColor="text1"/>
        </w:rPr>
      </w:pPr>
      <w:r>
        <w:rPr>
          <w:color w:val="000000" w:themeColor="text1"/>
        </w:rPr>
      </w:r>
      <w:bookmarkStart w:id="3" w:name="_Toc3"/>
      <w:r>
        <w:rPr>
          <w:rFonts w:ascii="Calibri" w:hAnsi="Calibri" w:eastAsia="Calibri" w:cs="Calibri"/>
          <w:b/>
          <w:bCs/>
          <w:color w:val="000000" w:themeColor="text1"/>
          <w:sz w:val="25"/>
          <w:szCs w:val="25"/>
        </w:rPr>
        <w:t xml:space="preserve">1.2 Fundamento normativo de la posición de este documento en la serie</w:t>
      </w:r>
      <w:bookmarkEnd w:id="3"/>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Situar la elección metodológica después de la caracterización organizacional, del levantamiento de requisitos y de la descripción de arquitectura invierte el orden habitual de la práctica industrial, donde el proceso suele fijarse al constituirse el proyecto. La inversión no es arbitraria: se desprende de la propia norma que rige la materia.</w:t>
      </w:r>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El apartado 2.4 del capítulo 10 del SWEBOK v4.0a abre su exposición de los paradigmas afirmando que cada sistema de software tiene características propias que reflejan las necesidades de las partes interesadas, tanto de negocio como técnicas, y que un ciclo de vida adecuado considerará todas esas necesidades. El apartado 2.8, al tratar la adaptación, es todavía más explícito: son las características diferenciales del sistema, junto con las necesidades de las partes interesadas, las que conducen a ciclos de vida específicos. Y el apartado 2.9 enumera lo que hay que considerar para definir un ciclo de vida: las características del producto —necesidades de los interesados, tamaño, complejidad— y las características de los propios interesados.</w:t>
      </w:r>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Ninguno de esos insumos puede conocerse antes de haberlos levantado. Elegir el ciclo de vida en primer lugar obligaría a elegirlo sobre supuestos, y la norma pide elegirlo sobre características. El orden adoptado hace que la elección se apoye en hechos ya establecidos y verificables: una organización de siete personas con una unidad constructora de dos, un catálogo de cincuenta y tres requisitos priorizados, una arquitectura decidida con sus riesgos declarados y seis restricciones organizacionales formalizadas.</w:t>
      </w:r>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La ISO/IEC/IEEE 12207:2017 refuerza la misma lectura al clasificar la gestión del modelo de ciclo de vida como un </w:t>
      </w:r>
      <w:r>
        <w:rPr>
          <w:rFonts w:ascii="Calibri" w:hAnsi="Calibri" w:eastAsia="Calibri" w:cs="Calibri"/>
          <w:b/>
          <w:bCs/>
          <w:i w:val="0"/>
          <w:iCs w:val="0"/>
          <w:color w:val="000000" w:themeColor="text1"/>
          <w:sz w:val="22"/>
          <w:szCs w:val="22"/>
        </w:rPr>
        <w:t xml:space="preserve">proceso organizacional habilitador</w:t>
      </w:r>
      <w:r>
        <w:rPr>
          <w:rFonts w:ascii="Calibri" w:hAnsi="Calibri" w:eastAsia="Calibri" w:cs="Calibri"/>
          <w:b w:val="0"/>
          <w:bCs w:val="0"/>
          <w:i w:val="0"/>
          <w:iCs w:val="0"/>
          <w:color w:val="000000" w:themeColor="text1"/>
          <w:sz w:val="22"/>
          <w:szCs w:val="22"/>
        </w:rPr>
        <w:t xml:space="preserve">, es decir, como un proceso que sirve al ciclo de vida y se alimenta de las características del proyecto, y no como una precondición cerrada de él.</w:t>
      </w: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Cautela metodológica declarada.</w:t>
      </w:r>
      <w:r>
        <w:rPr>
          <w:rFonts w:ascii="Calibri" w:hAnsi="Calibri" w:eastAsia="Calibri" w:cs="Calibri"/>
          <w:b w:val="0"/>
          <w:bCs w:val="0"/>
          <w:i w:val="0"/>
          <w:iCs w:val="0"/>
          <w:color w:val="000000" w:themeColor="text1"/>
          <w:sz w:val="22"/>
          <w:szCs w:val="22"/>
        </w:rPr>
        <w:t xml:space="preserve"> Los documentos 1, 2 y 3 se elaboraron ya bajo algún proceso, que no podía ser el que este documento decide. El proceso efectivamente seguido fue iterativo y recursivo en el sentido del apartado 5.3.1 de ISO/IEC/IEEE 29148:2011, tal como el propio documento 2 declara en su sección 2.1, y ese hecho se reconoce aquí sin presentarlo como una elección previa. Este documento es, por tanto, prospectivo respecto de la construcción y retrospectivo respecto de la etapa de concepto. Se declara para no atribuir a la decisión un carácter anticipatorio que no tuvo en su primer tramo.</w:t>
      </w:r>
      <w:r>
        <w:rPr>
          <w:color w:val="000000" w:themeColor="text1"/>
        </w:rPr>
      </w:r>
    </w:p>
    <w:p>
      <w:pPr>
        <w:pStyle w:val="918"/>
        <w:pBdr/>
        <w:spacing w:after="140" w:before="280"/>
        <w:ind/>
        <w:rPr>
          <w:color w:val="000000" w:themeColor="text1"/>
        </w:rPr>
      </w:pPr>
      <w:r>
        <w:rPr>
          <w:color w:val="000000" w:themeColor="text1"/>
        </w:rPr>
      </w:r>
      <w:bookmarkStart w:id="4" w:name="_Toc4"/>
      <w:r>
        <w:rPr>
          <w:rFonts w:ascii="Calibri" w:hAnsi="Calibri" w:eastAsia="Calibri" w:cs="Calibri"/>
          <w:b/>
          <w:bCs/>
          <w:color w:val="000000" w:themeColor="text1"/>
          <w:sz w:val="25"/>
          <w:szCs w:val="25"/>
        </w:rPr>
        <w:t xml:space="preserve">1.3 Alcance y límites de la decisión</w:t>
      </w:r>
      <w:bookmarkEnd w:id="4"/>
      <w:r>
        <w:rPr>
          <w:color w:val="000000" w:themeColor="text1"/>
        </w:rPr>
      </w:r>
    </w:p>
    <w:p>
      <w:pPr>
        <w:pBdr/>
        <w:spacing w:after="4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2400"/>
        <w:gridCol w:w="6670"/>
      </w:tblGrid>
      <w:tr>
        <w:trPr>
          <w:tblHeader/>
        </w:trPr>
        <w:tc>
          <w:tcPr>
            <w:shd w:val="clear" w:color="auto" w:fill="dce6f1"/>
            <w:tcBorders/>
            <w:tcMar>
              <w:left w:w="90" w:type="dxa"/>
              <w:top w:w="60" w:type="dxa"/>
              <w:right w:w="90" w:type="dxa"/>
              <w:bottom w:w="60" w:type="dxa"/>
            </w:tcMar>
            <w:tcW w:w="24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Aspecto</w:t>
            </w:r>
            <w:r>
              <w:rPr>
                <w:color w:val="000000" w:themeColor="text1"/>
              </w:rPr>
            </w:r>
          </w:p>
        </w:tc>
        <w:tc>
          <w:tcPr>
            <w:shd w:val="clear" w:color="auto" w:fill="dce6f1"/>
            <w:tcBorders/>
            <w:tcMar>
              <w:left w:w="90" w:type="dxa"/>
              <w:top w:w="60" w:type="dxa"/>
              <w:right w:w="90" w:type="dxa"/>
              <w:bottom w:w="60" w:type="dxa"/>
            </w:tcMar>
            <w:tcW w:w="66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Delimitación</w:t>
            </w:r>
            <w:r>
              <w:rPr>
                <w:color w:val="000000" w:themeColor="text1"/>
              </w:rPr>
            </w:r>
          </w:p>
        </w:tc>
      </w:tr>
      <w:tr>
        <w:trPr/>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Incluido</w:t>
            </w:r>
            <w:r>
              <w:rPr>
                <w:color w:val="000000" w:themeColor="text1"/>
              </w:rPr>
            </w:r>
          </w:p>
        </w:tc>
        <w:tc>
          <w:tcPr>
            <w:shd w:val="clear" w:color="auto" w:fill="ffffff"/>
            <w:tcBorders/>
            <w:tcMar>
              <w:left w:w="90" w:type="dxa"/>
              <w:top w:w="55" w:type="dxa"/>
              <w:right w:w="90" w:type="dxa"/>
              <w:bottom w:w="55" w:type="dxa"/>
            </w:tcMar>
            <w:tcW w:w="66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etapa 2 del ciclo de vida, Desarrollo, en los términos de la ISO/IEC/IEEE 12207:2017: el modelo que la gobierna, su paradigma, su instanciación en fases e iteraciones, las prácticas adoptadas, el gobierno del cambio, la medición del proceso y su mejora.</w:t>
            </w:r>
            <w:r>
              <w:rPr>
                <w:color w:val="000000" w:themeColor="text1"/>
              </w:rPr>
            </w:r>
          </w:p>
        </w:tc>
      </w:tr>
      <w:tr>
        <w:trPr/>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Incluido</w:t>
            </w:r>
            <w:r>
              <w:rPr>
                <w:color w:val="000000" w:themeColor="text1"/>
              </w:rPr>
            </w:r>
          </w:p>
        </w:tc>
        <w:tc>
          <w:tcPr>
            <w:shd w:val="clear" w:color="auto" w:fill="f2f2f2"/>
            <w:tcBorders/>
            <w:tcMar>
              <w:left w:w="90" w:type="dxa"/>
              <w:top w:w="55" w:type="dxa"/>
              <w:right w:w="90" w:type="dxa"/>
              <w:bottom w:w="55" w:type="dxa"/>
            </w:tcMar>
            <w:tcW w:w="66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estimación del esfuerzo y del plazo de construcción del producto, con su técnica, sus supuestos y su rango de incertidumbre declarados.</w:t>
            </w:r>
            <w:r>
              <w:rPr>
                <w:color w:val="000000" w:themeColor="text1"/>
              </w:rPr>
            </w:r>
          </w:p>
        </w:tc>
      </w:tr>
      <w:tr>
        <w:trPr/>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Incluido</w:t>
            </w:r>
            <w:r>
              <w:rPr>
                <w:color w:val="000000" w:themeColor="text1"/>
              </w:rPr>
            </w:r>
          </w:p>
        </w:tc>
        <w:tc>
          <w:tcPr>
            <w:shd w:val="clear" w:color="auto" w:fill="ffffff"/>
            <w:tcBorders/>
            <w:tcMar>
              <w:left w:w="90" w:type="dxa"/>
              <w:top w:w="55" w:type="dxa"/>
              <w:right w:w="90" w:type="dxa"/>
              <w:bottom w:w="55" w:type="dxa"/>
            </w:tcMar>
            <w:tcW w:w="66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declaración de la familia de métodos y de la notación de modelado que se emplearán, en cuanto condicionan el contenido del entregable siguiente.</w:t>
            </w:r>
            <w:r>
              <w:rPr>
                <w:color w:val="000000" w:themeColor="text1"/>
              </w:rPr>
            </w:r>
          </w:p>
        </w:tc>
      </w:tr>
      <w:tr>
        <w:trPr/>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Excluido</w:t>
            </w:r>
            <w:r>
              <w:rPr>
                <w:color w:val="000000" w:themeColor="text1"/>
              </w:rPr>
            </w:r>
          </w:p>
        </w:tc>
        <w:tc>
          <w:tcPr>
            <w:shd w:val="clear" w:color="auto" w:fill="f2f2f2"/>
            <w:tcBorders/>
            <w:tcMar>
              <w:left w:w="90" w:type="dxa"/>
              <w:top w:w="55" w:type="dxa"/>
              <w:right w:w="90" w:type="dxa"/>
              <w:bottom w:w="55" w:type="dxa"/>
            </w:tcMar>
            <w:tcW w:w="66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Las etapas 3 a 6 —Producción, Utilización, Soporte y Retiro—. Se declaran y se sitúa en ellas lo que la serie ya ha comprometido, pero no se planifican en detalle: la organización simulada no ha iniciado su operación y planificarlas sería especular.</w:t>
            </w:r>
            <w:r>
              <w:rPr>
                <w:color w:val="000000" w:themeColor="text1"/>
              </w:rPr>
            </w:r>
          </w:p>
        </w:tc>
      </w:tr>
      <w:tr>
        <w:trPr/>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Excluido</w:t>
            </w:r>
            <w:r>
              <w:rPr>
                <w:color w:val="000000" w:themeColor="text1"/>
              </w:rPr>
            </w:r>
          </w:p>
        </w:tc>
        <w:tc>
          <w:tcPr>
            <w:shd w:val="clear" w:color="auto" w:fill="ffffff"/>
            <w:tcBorders/>
            <w:tcMar>
              <w:left w:w="90" w:type="dxa"/>
              <w:top w:w="55" w:type="dxa"/>
              <w:right w:w="90" w:type="dxa"/>
              <w:bottom w:w="55" w:type="dxa"/>
            </w:tcMar>
            <w:tcW w:w="66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diseño interno del sistema y sus modelos, que corresponden al entregable 5.</w:t>
            </w:r>
            <w:r>
              <w:rPr>
                <w:color w:val="000000" w:themeColor="text1"/>
              </w:rPr>
            </w:r>
          </w:p>
        </w:tc>
      </w:tr>
      <w:tr>
        <w:trPr/>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Excluido</w:t>
            </w:r>
            <w:r>
              <w:rPr>
                <w:color w:val="000000" w:themeColor="text1"/>
              </w:rPr>
            </w:r>
          </w:p>
        </w:tc>
        <w:tc>
          <w:tcPr>
            <w:shd w:val="clear" w:color="auto" w:fill="f2f2f2"/>
            <w:tcBorders/>
            <w:tcMar>
              <w:left w:w="90" w:type="dxa"/>
              <w:top w:w="55" w:type="dxa"/>
              <w:right w:w="90" w:type="dxa"/>
              <w:bottom w:w="55" w:type="dxa"/>
            </w:tcMar>
            <w:tcW w:w="66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selección nominal de herramientas concretas. Se declaran las capacidades que el proceso exige de la infraestructura, no los productos que las proveen, por la misma razón por la que el apartado 5.2.5 de ISO/IEC/IEEE 29148:2011 prohíbe que un requisito imponga una solución técnica.</w:t>
            </w:r>
            <w:r>
              <w:rPr>
                <w:color w:val="000000" w:themeColor="text1"/>
              </w:rPr>
            </w:r>
          </w:p>
        </w:tc>
      </w:tr>
      <w:tr>
        <w:trPr/>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Alcance organizativo</w:t>
            </w:r>
            <w:r>
              <w:rPr>
                <w:color w:val="000000" w:themeColor="text1"/>
              </w:rPr>
            </w:r>
          </w:p>
        </w:tc>
        <w:tc>
          <w:tcPr>
            <w:shd w:val="clear" w:color="auto" w:fill="ffffff"/>
            <w:tcBorders/>
            <w:tcMar>
              <w:left w:w="90" w:type="dxa"/>
              <w:top w:w="55" w:type="dxa"/>
              <w:right w:w="90" w:type="dxa"/>
              <w:bottom w:w="55" w:type="dxa"/>
            </w:tcMar>
            <w:tcW w:w="66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proceso gobierna el trabajo de la unidad U-01, Tecnología y Producto, y sus interfaces con U-02 en la aceptación y con U-03 en la retroalimentación de campo.</w:t>
            </w:r>
            <w:r>
              <w:rPr>
                <w:color w:val="000000" w:themeColor="text1"/>
              </w:rPr>
            </w:r>
          </w:p>
        </w:tc>
      </w:tr>
    </w:tbl>
    <w:p>
      <w:pPr>
        <w:pStyle w:val="918"/>
        <w:pBdr/>
        <w:spacing w:after="140" w:before="280"/>
        <w:ind/>
        <w:rPr>
          <w:color w:val="000000" w:themeColor="text1"/>
        </w:rPr>
      </w:pPr>
      <w:r>
        <w:rPr>
          <w:color w:val="000000" w:themeColor="text1"/>
        </w:rPr>
      </w:r>
      <w:bookmarkStart w:id="5" w:name="_Toc5"/>
      <w:r>
        <w:rPr>
          <w:rFonts w:ascii="Calibri" w:hAnsi="Calibri" w:eastAsia="Calibri" w:cs="Calibri"/>
          <w:b/>
          <w:bCs/>
          <w:color w:val="000000" w:themeColor="text1"/>
          <w:sz w:val="25"/>
          <w:szCs w:val="25"/>
        </w:rPr>
        <w:t xml:space="preserve">1.4 Definiciones y distinciones conceptuales</w:t>
      </w:r>
      <w:bookmarkEnd w:id="5"/>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Buena parte de las discusiones sobre metodología son estériles porque confunden niveles distintos. Las definiciones siguientes se toman de las fuentes normativas y se emplean en este documento con el significado que aquí se les fija.</w:t>
      </w:r>
      <w:r>
        <w:rPr>
          <w:color w:val="000000" w:themeColor="text1"/>
        </w:rPr>
      </w:r>
    </w:p>
    <w:p>
      <w:pPr>
        <w:pBdr/>
        <w:spacing w:after="6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2200"/>
        <w:gridCol w:w="6870"/>
      </w:tblGrid>
      <w:tr>
        <w:trPr>
          <w:tblHeader/>
        </w:trPr>
        <w:tc>
          <w:tcPr>
            <w:shd w:val="clear" w:color="auto" w:fill="dce6f1"/>
            <w:tcBorders/>
            <w:tcMar>
              <w:left w:w="90" w:type="dxa"/>
              <w:top w:w="60" w:type="dxa"/>
              <w:right w:w="90" w:type="dxa"/>
              <w:bottom w:w="60" w:type="dxa"/>
            </w:tcMar>
            <w:tcW w:w="22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Término</w:t>
            </w:r>
            <w:r>
              <w:rPr>
                <w:color w:val="000000" w:themeColor="text1"/>
              </w:rPr>
            </w:r>
          </w:p>
        </w:tc>
        <w:tc>
          <w:tcPr>
            <w:shd w:val="clear" w:color="auto" w:fill="dce6f1"/>
            <w:tcBorders/>
            <w:tcMar>
              <w:left w:w="90" w:type="dxa"/>
              <w:top w:w="60" w:type="dxa"/>
              <w:right w:w="90" w:type="dxa"/>
              <w:bottom w:w="60" w:type="dxa"/>
            </w:tcMar>
            <w:tcW w:w="68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Definición adoptada y fuente</w:t>
            </w:r>
            <w:r>
              <w:rPr>
                <w:color w:val="000000" w:themeColor="text1"/>
              </w:rPr>
            </w:r>
          </w:p>
        </w:tc>
      </w:tr>
      <w:tr>
        <w:trPr/>
        <w:tc>
          <w:tcPr>
            <w:shd w:val="clear" w:color="auto" w:fill="ffffff"/>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Proceso</w:t>
            </w:r>
            <w:r>
              <w:rPr>
                <w:color w:val="000000" w:themeColor="text1"/>
              </w:rPr>
            </w:r>
          </w:p>
        </w:tc>
        <w:tc>
          <w:tcPr>
            <w:shd w:val="clear" w:color="auto" w:fill="ffffff"/>
            <w:tcBorders/>
            <w:tcMar>
              <w:left w:w="90" w:type="dxa"/>
              <w:top w:w="55" w:type="dxa"/>
              <w:right w:w="90" w:type="dxa"/>
              <w:bottom w:w="55" w:type="dxa"/>
            </w:tcMar>
            <w:tcW w:w="6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Conjunto de actividades interrelacionadas o que interactúan que transforman entradas en salidas. Puede incluir controles —directivas y restricciones— y mecanismos habilitadores —herramientas, tecnologías, personas e infraestructura—. ISO/IEC/IEEE 12207:2017.</w:t>
            </w:r>
            <w:r>
              <w:rPr>
                <w:color w:val="000000" w:themeColor="text1"/>
              </w:rPr>
            </w:r>
          </w:p>
        </w:tc>
      </w:tr>
      <w:tr>
        <w:trPr/>
        <w:tc>
          <w:tcPr>
            <w:shd w:val="clear" w:color="auto" w:fill="f2f2f2"/>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Proyecto</w:t>
            </w:r>
            <w:r>
              <w:rPr>
                <w:color w:val="000000" w:themeColor="text1"/>
              </w:rPr>
            </w:r>
          </w:p>
        </w:tc>
        <w:tc>
          <w:tcPr>
            <w:shd w:val="clear" w:color="auto" w:fill="f2f2f2"/>
            <w:tcBorders/>
            <w:tcMar>
              <w:left w:w="90" w:type="dxa"/>
              <w:top w:w="55" w:type="dxa"/>
              <w:right w:w="90" w:type="dxa"/>
              <w:bottom w:w="55" w:type="dxa"/>
            </w:tcMar>
            <w:tcW w:w="6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Esfuerzo con criterios de inicio y fin definidos, emprendido para crear un producto o servicio de acuerdo con recursos y requisitos especificados. Es un concepto de la disciplina de gestión. ISO/IEC/IEEE 12207:2017.</w:t>
            </w:r>
            <w:r>
              <w:rPr>
                <w:color w:val="000000" w:themeColor="text1"/>
              </w:rPr>
            </w:r>
          </w:p>
        </w:tc>
      </w:tr>
      <w:tr>
        <w:trPr/>
        <w:tc>
          <w:tcPr>
            <w:shd w:val="clear" w:color="auto" w:fill="ffffff"/>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Ciclo de vida</w:t>
            </w:r>
            <w:r>
              <w:rPr>
                <w:color w:val="000000" w:themeColor="text1"/>
              </w:rPr>
            </w:r>
          </w:p>
        </w:tc>
        <w:tc>
          <w:tcPr>
            <w:shd w:val="clear" w:color="auto" w:fill="ffffff"/>
            <w:tcBorders/>
            <w:tcMar>
              <w:left w:w="90" w:type="dxa"/>
              <w:top w:w="55" w:type="dxa"/>
              <w:right w:w="90" w:type="dxa"/>
              <w:bottom w:w="55" w:type="dxa"/>
            </w:tcMar>
            <w:tcW w:w="6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Evolución de un sistema, producto, servicio o proyecto desde la concepción hasta el retiro. Comprende procesos más restricciones. ISO/IEC/IEEE 12207:2017.</w:t>
            </w:r>
            <w:r>
              <w:rPr>
                <w:color w:val="000000" w:themeColor="text1"/>
              </w:rPr>
            </w:r>
          </w:p>
        </w:tc>
      </w:tr>
      <w:tr>
        <w:trPr/>
        <w:tc>
          <w:tcPr>
            <w:shd w:val="clear" w:color="auto" w:fill="f2f2f2"/>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Modelo de ciclo de vida</w:t>
            </w:r>
            <w:r>
              <w:rPr>
                <w:color w:val="000000" w:themeColor="text1"/>
              </w:rPr>
            </w:r>
          </w:p>
        </w:tc>
        <w:tc>
          <w:tcPr>
            <w:shd w:val="clear" w:color="auto" w:fill="f2f2f2"/>
            <w:tcBorders/>
            <w:tcMar>
              <w:left w:w="90" w:type="dxa"/>
              <w:top w:w="55" w:type="dxa"/>
              <w:right w:w="90" w:type="dxa"/>
              <w:bottom w:w="55" w:type="dxa"/>
            </w:tcMar>
            <w:tcW w:w="6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Patrón de referencia con el que un ciclo de vida concreto se define en conformidad, total o parcial. El SWEBOK v4.0a reconoce cinco modelos canónicos: cascada, en V, incremental, espiral y ágil.</w:t>
            </w:r>
            <w:r>
              <w:rPr>
                <w:color w:val="000000" w:themeColor="text1"/>
              </w:rPr>
            </w:r>
          </w:p>
        </w:tc>
      </w:tr>
      <w:tr>
        <w:trPr/>
        <w:tc>
          <w:tcPr>
            <w:shd w:val="clear" w:color="auto" w:fill="ffffff"/>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Paradigma</w:t>
            </w:r>
            <w:r>
              <w:rPr>
                <w:color w:val="000000" w:themeColor="text1"/>
              </w:rPr>
            </w:r>
          </w:p>
        </w:tc>
        <w:tc>
          <w:tcPr>
            <w:shd w:val="clear" w:color="auto" w:fill="ffffff"/>
            <w:tcBorders/>
            <w:tcMar>
              <w:left w:w="90" w:type="dxa"/>
              <w:top w:w="55" w:type="dxa"/>
              <w:right w:w="90" w:type="dxa"/>
              <w:bottom w:w="55" w:type="dxa"/>
            </w:tcMar>
            <w:tcW w:w="6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Familia a la que pertenece un modelo según cómo trata el alcance, el tiempo y el cambio: predictivo, iterativo, evolutivo, incremental o continuo. SWEBOK v4.0a, KA 10, § 2.4.</w:t>
            </w:r>
            <w:r>
              <w:rPr>
                <w:color w:val="000000" w:themeColor="text1"/>
              </w:rPr>
            </w:r>
          </w:p>
        </w:tc>
      </w:tr>
      <w:tr>
        <w:trPr/>
        <w:tc>
          <w:tcPr>
            <w:shd w:val="clear" w:color="auto" w:fill="f2f2f2"/>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Método</w:t>
            </w:r>
            <w:r>
              <w:rPr>
                <w:color w:val="000000" w:themeColor="text1"/>
              </w:rPr>
            </w:r>
          </w:p>
        </w:tc>
        <w:tc>
          <w:tcPr>
            <w:shd w:val="clear" w:color="auto" w:fill="f2f2f2"/>
            <w:tcBorders/>
            <w:tcMar>
              <w:left w:w="90" w:type="dxa"/>
              <w:top w:w="55" w:type="dxa"/>
              <w:right w:w="90" w:type="dxa"/>
              <w:bottom w:w="55" w:type="dxa"/>
            </w:tcMar>
            <w:tcW w:w="6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Procedimiento de ingeniería que impone estructura a una actividad con el fin de hacerla sistemática y repetible. El SWEBOK v4.0a, KA 11, los agrupa en heurísticos, formales, de prototipado y ágiles.</w:t>
            </w:r>
            <w:r>
              <w:rPr>
                <w:color w:val="000000" w:themeColor="text1"/>
              </w:rPr>
            </w:r>
          </w:p>
        </w:tc>
      </w:tr>
      <w:tr>
        <w:trPr/>
        <w:tc>
          <w:tcPr>
            <w:shd w:val="clear" w:color="auto" w:fill="ffffff"/>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Metodología</w:t>
            </w:r>
            <w:r>
              <w:rPr>
                <w:color w:val="000000" w:themeColor="text1"/>
              </w:rPr>
            </w:r>
          </w:p>
        </w:tc>
        <w:tc>
          <w:tcPr>
            <w:shd w:val="clear" w:color="auto" w:fill="ffffff"/>
            <w:tcBorders/>
            <w:tcMar>
              <w:left w:w="90" w:type="dxa"/>
              <w:top w:w="55" w:type="dxa"/>
              <w:right w:w="90" w:type="dxa"/>
              <w:bottom w:w="55" w:type="dxa"/>
            </w:tcMar>
            <w:tcW w:w="6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Conjunto articulado de un modelo de ciclo de vida, uno o varios métodos, roles, artefactos y prácticas, aplicado de forma coherente a un proyecto concreto.</w:t>
            </w:r>
            <w:r>
              <w:rPr>
                <w:color w:val="000000" w:themeColor="text1"/>
              </w:rPr>
            </w:r>
          </w:p>
        </w:tc>
      </w:tr>
      <w:tr>
        <w:trPr/>
        <w:tc>
          <w:tcPr>
            <w:shd w:val="clear" w:color="auto" w:fill="f2f2f2"/>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Práctica</w:t>
            </w:r>
            <w:r>
              <w:rPr>
                <w:color w:val="000000" w:themeColor="text1"/>
              </w:rPr>
            </w:r>
          </w:p>
        </w:tc>
        <w:tc>
          <w:tcPr>
            <w:shd w:val="clear" w:color="auto" w:fill="f2f2f2"/>
            <w:tcBorders/>
            <w:tcMar>
              <w:left w:w="90" w:type="dxa"/>
              <w:top w:w="55" w:type="dxa"/>
              <w:right w:w="90" w:type="dxa"/>
              <w:bottom w:w="55" w:type="dxa"/>
            </w:tcMar>
            <w:tcW w:w="6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Unidad elemental de comportamiento del proceso, separable del marco que la propuso y adoptable de forma independiente. Ejemplos citados por el SWEBOK: programación por pares, planificación de la iteración, retrospectiva.</w:t>
            </w:r>
            <w:r>
              <w:rPr>
                <w:color w:val="000000" w:themeColor="text1"/>
              </w:rPr>
            </w:r>
          </w:p>
        </w:tc>
      </w:tr>
      <w:tr>
        <w:trPr/>
        <w:tc>
          <w:tcPr>
            <w:shd w:val="clear" w:color="auto" w:fill="ffffff"/>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Adaptación</w:t>
            </w:r>
            <w:r>
              <w:rPr>
                <w:color w:val="000000" w:themeColor="text1"/>
              </w:rPr>
            </w:r>
          </w:p>
        </w:tc>
        <w:tc>
          <w:tcPr>
            <w:shd w:val="clear" w:color="auto" w:fill="ffffff"/>
            <w:tcBorders/>
            <w:tcMar>
              <w:left w:w="90" w:type="dxa"/>
              <w:top w:w="55" w:type="dxa"/>
              <w:right w:w="90" w:type="dxa"/>
              <w:bottom w:w="55" w:type="dxa"/>
            </w:tcMar>
            <w:tcW w:w="6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Actividad de identificar las características relevantes del sistema, seleccionar los estándares aplicables, elegir la estrategia y el modelo de ciclo de vida, sus etapas y procesos, y </w:t>
            </w:r>
            <w:r>
              <w:rPr>
                <w:rFonts w:ascii="Calibri" w:hAnsi="Calibri" w:eastAsia="Calibri" w:cs="Calibri"/>
                <w:b/>
                <w:bCs/>
                <w:color w:val="000000" w:themeColor="text1"/>
                <w:sz w:val="17"/>
                <w:szCs w:val="17"/>
              </w:rPr>
              <w:t xml:space="preserve">documentar las decisiones y su justificación</w:t>
            </w:r>
            <w:r>
              <w:rPr>
                <w:rFonts w:ascii="Calibri" w:hAnsi="Calibri" w:eastAsia="Calibri" w:cs="Calibri"/>
                <w:b w:val="0"/>
                <w:bCs w:val="0"/>
                <w:color w:val="000000" w:themeColor="text1"/>
                <w:sz w:val="17"/>
                <w:szCs w:val="17"/>
              </w:rPr>
              <w:t xml:space="preserve">. No exige conservar todos los nombres ni incluir todos los procesos. SWEBOK v4.0a, KA 10, § 2.8.</w:t>
            </w:r>
            <w:r>
              <w:rPr>
                <w:color w:val="000000" w:themeColor="text1"/>
              </w:rPr>
            </w:r>
          </w:p>
        </w:tc>
      </w:tr>
      <w:tr>
        <w:trPr/>
        <w:tc>
          <w:tcPr>
            <w:shd w:val="clear" w:color="auto" w:fill="f2f2f2"/>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Abierto o cerrado al cambio</w:t>
            </w:r>
            <w:r>
              <w:rPr>
                <w:color w:val="000000" w:themeColor="text1"/>
              </w:rPr>
            </w:r>
          </w:p>
        </w:tc>
        <w:tc>
          <w:tcPr>
            <w:shd w:val="clear" w:color="auto" w:fill="f2f2f2"/>
            <w:tcBorders/>
            <w:tcMar>
              <w:left w:w="90" w:type="dxa"/>
              <w:top w:w="55" w:type="dxa"/>
              <w:right w:w="90" w:type="dxa"/>
              <w:bottom w:w="55" w:type="dxa"/>
            </w:tcMar>
            <w:tcW w:w="6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Un ciclo de vida es cerrado cuando la especificación no puede modificarse una vez acordada, y abierto cuando admite el cambio en cualquier punto previa negociación entre las partes interesadas. SWEBOK v4.0a, KA 10, § 2.4.</w:t>
            </w:r>
            <w:r>
              <w:rPr>
                <w:color w:val="000000" w:themeColor="text1"/>
              </w:rPr>
            </w:r>
          </w:p>
        </w:tc>
      </w:tr>
    </w:tbl>
    <w:p>
      <w:pPr>
        <w:pStyle w:val="918"/>
        <w:pBdr/>
        <w:spacing w:after="140" w:before="280"/>
        <w:ind/>
        <w:rPr>
          <w:color w:val="000000" w:themeColor="text1"/>
        </w:rPr>
      </w:pPr>
      <w:r>
        <w:rPr>
          <w:color w:val="000000" w:themeColor="text1"/>
        </w:rPr>
      </w:r>
      <w:bookmarkStart w:id="6" w:name="_Toc6"/>
      <w:r>
        <w:rPr>
          <w:rFonts w:ascii="Calibri" w:hAnsi="Calibri" w:eastAsia="Calibri" w:cs="Calibri"/>
          <w:b/>
          <w:bCs/>
          <w:color w:val="000000" w:themeColor="text1"/>
          <w:sz w:val="25"/>
          <w:szCs w:val="25"/>
        </w:rPr>
        <w:t xml:space="preserve">1.5 Tres precisiones sobre el enfoque ágil que este documento asume</w:t>
      </w:r>
      <w:bookmarkEnd w:id="6"/>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El apartado 2.5 del capítulo 10 del SWEBOK v4.0a advierte de tres malentendidos frecuentes. Declararlos evita que la elección se apoye en expectativas que la norma desmiente.</w:t>
      </w:r>
      <w:r>
        <w:rPr>
          <w:color w:val="000000" w:themeColor="text1"/>
        </w:rPr>
      </w:r>
    </w:p>
    <w:p>
      <w:pPr>
        <w:pBdr/>
        <w:spacing w:after="6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3100"/>
        <w:gridCol w:w="5970"/>
      </w:tblGrid>
      <w:tr>
        <w:trPr>
          <w:tblHeader/>
        </w:trPr>
        <w:tc>
          <w:tcPr>
            <w:shd w:val="clear" w:color="auto" w:fill="dce6f1"/>
            <w:tcBorders/>
            <w:tcMar>
              <w:left w:w="90" w:type="dxa"/>
              <w:top w:w="60" w:type="dxa"/>
              <w:right w:w="90" w:type="dxa"/>
              <w:bottom w:w="60" w:type="dxa"/>
            </w:tcMar>
            <w:tcW w:w="31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Malentendido</w:t>
            </w:r>
            <w:r>
              <w:rPr>
                <w:color w:val="000000" w:themeColor="text1"/>
              </w:rPr>
            </w:r>
          </w:p>
        </w:tc>
        <w:tc>
          <w:tcPr>
            <w:shd w:val="clear" w:color="auto" w:fill="dce6f1"/>
            <w:tcBorders/>
            <w:tcMar>
              <w:left w:w="90" w:type="dxa"/>
              <w:top w:w="60" w:type="dxa"/>
              <w:right w:w="90" w:type="dxa"/>
              <w:bottom w:w="60" w:type="dxa"/>
            </w:tcMar>
            <w:tcW w:w="59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Lo que la fuente establece y su consecuencia sobre este documento</w:t>
            </w:r>
            <w:r>
              <w:rPr>
                <w:color w:val="000000" w:themeColor="text1"/>
              </w:rPr>
            </w:r>
          </w:p>
        </w:tc>
      </w:tr>
      <w:tr>
        <w:trPr/>
        <w:tc>
          <w:tcPr>
            <w:shd w:val="clear" w:color="auto" w:fill="ffffff"/>
            <w:tcBorders/>
            <w:tcMar>
              <w:left w:w="90" w:type="dxa"/>
              <w:top w:w="55" w:type="dxa"/>
              <w:right w:w="90" w:type="dxa"/>
              <w:bottom w:w="55" w:type="dxa"/>
            </w:tcMar>
            <w:tcW w:w="3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Que lo ágil es un método</w:t>
            </w:r>
            <w:r>
              <w:rPr>
                <w:color w:val="000000" w:themeColor="text1"/>
              </w:rPr>
            </w:r>
          </w:p>
        </w:tc>
        <w:tc>
          <w:tcPr>
            <w:shd w:val="clear" w:color="auto" w:fill="ffffff"/>
            <w:tcBorders/>
            <w:tcMar>
              <w:left w:w="90" w:type="dxa"/>
              <w:top w:w="55" w:type="dxa"/>
              <w:right w:w="90" w:type="dxa"/>
              <w:bottom w:w="55" w:type="dxa"/>
            </w:tcMar>
            <w:tcW w:w="59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No lo es: es una mentalidad, un conjunto de valores y principios. Los métodos son otra cosa, y el SWEBOK cita entre ellos Extreme Programming para el desarrollo del producto y Scrum para la gestión del proyecto. En consecuencia, este documento no adopta «lo ágil» como modelo, sino un modelo iterativo-incremental gobernado por un marco de gestión concreto y un conjunto de prácticas técnicas nominadas en la sección 2.11.</w:t>
            </w:r>
            <w:r>
              <w:rPr>
                <w:color w:val="000000" w:themeColor="text1"/>
              </w:rPr>
            </w:r>
          </w:p>
        </w:tc>
      </w:tr>
      <w:tr>
        <w:trPr/>
        <w:tc>
          <w:tcPr>
            <w:shd w:val="clear" w:color="auto" w:fill="f2f2f2"/>
            <w:tcBorders/>
            <w:tcMar>
              <w:left w:w="90" w:type="dxa"/>
              <w:top w:w="55" w:type="dxa"/>
              <w:right w:w="90" w:type="dxa"/>
              <w:bottom w:w="55" w:type="dxa"/>
            </w:tcMar>
            <w:tcW w:w="3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Que lo ágil es más rápido porque no exige documentos</w:t>
            </w:r>
            <w:r>
              <w:rPr>
                <w:color w:val="000000" w:themeColor="text1"/>
              </w:rPr>
            </w:r>
          </w:p>
        </w:tc>
        <w:tc>
          <w:tcPr>
            <w:shd w:val="clear" w:color="auto" w:fill="f2f2f2"/>
            <w:tcBorders/>
            <w:tcMar>
              <w:left w:w="90" w:type="dxa"/>
              <w:top w:w="55" w:type="dxa"/>
              <w:right w:w="90" w:type="dxa"/>
              <w:bottom w:w="55" w:type="dxa"/>
            </w:tcMar>
            <w:tcW w:w="59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fuente es explícita: los documentos siguen siendo necesarios. Este documento no reduce la documentación de la serie; reasigna el momento en que se produce, de modo que los modelos de análisis y diseño se elaboren por incremento y no en su totalidad por adelantado.</w:t>
            </w:r>
            <w:r>
              <w:rPr>
                <w:color w:val="000000" w:themeColor="text1"/>
              </w:rPr>
            </w:r>
          </w:p>
        </w:tc>
      </w:tr>
      <w:tr>
        <w:trPr/>
        <w:tc>
          <w:tcPr>
            <w:shd w:val="clear" w:color="auto" w:fill="ffffff"/>
            <w:tcBorders/>
            <w:tcMar>
              <w:left w:w="90" w:type="dxa"/>
              <w:top w:w="55" w:type="dxa"/>
              <w:right w:w="90" w:type="dxa"/>
              <w:bottom w:w="55" w:type="dxa"/>
            </w:tcMar>
            <w:tcW w:w="3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Que lo ágil carece de estructura</w:t>
            </w:r>
            <w:r>
              <w:rPr>
                <w:color w:val="000000" w:themeColor="text1"/>
              </w:rPr>
            </w:r>
          </w:p>
        </w:tc>
        <w:tc>
          <w:tcPr>
            <w:shd w:val="clear" w:color="auto" w:fill="ffffff"/>
            <w:tcBorders/>
            <w:tcMar>
              <w:left w:w="90" w:type="dxa"/>
              <w:top w:w="55" w:type="dxa"/>
              <w:right w:w="90" w:type="dxa"/>
              <w:bottom w:w="55" w:type="dxa"/>
            </w:tcMar>
            <w:tcW w:w="59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Existe una cartografía amplia y documentada de métodos y prácticas. Por eso la sección 2.20 registra, elemento por elemento, qué se conserva y qué se omite del marco de referencia adoptado, y por qué.</w:t>
            </w:r>
            <w:r>
              <w:rPr>
                <w:color w:val="000000" w:themeColor="text1"/>
              </w:rPr>
            </w:r>
          </w:p>
        </w:tc>
      </w:tr>
    </w:tbl>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A ello se añade la advertencia histórica del apartado 2.5: la controversia entre el ciclo de vida predictivo y el ágil creció durante décadas sin medidas empíricas que la sustentasen, y la disciplina ha aprendido que las discusiones deben apoyarse en estimaciones y mediciones realistas. La sección 2.17 de este documento existe precisamente para que la elección aquí adoptada pueda revisarse con evidencia y no con preferencia.</w:t>
      </w:r>
      <w:r>
        <w:rPr>
          <w:color w:val="000000" w:themeColor="text1"/>
        </w:rPr>
      </w:r>
    </w:p>
    <w:p>
      <w:pPr>
        <w:pStyle w:val="917"/>
        <w:pBdr/>
        <w:spacing w:after="200" w:before="400"/>
        <w:ind/>
        <w:rPr>
          <w:color w:val="000000" w:themeColor="text1"/>
        </w:rPr>
      </w:pPr>
      <w:r>
        <w:rPr>
          <w:color w:val="000000" w:themeColor="text1"/>
        </w:rPr>
      </w:r>
      <w:bookmarkStart w:id="7" w:name="_Toc7"/>
      <w:r>
        <w:rPr>
          <w:rFonts w:ascii="Calibri" w:hAnsi="Calibri" w:eastAsia="Calibri" w:cs="Calibri"/>
          <w:b/>
          <w:bCs/>
          <w:color w:val="000000" w:themeColor="text1"/>
          <w:sz w:val="30"/>
          <w:szCs w:val="30"/>
        </w:rPr>
        <w:t xml:space="preserve">2. Desarrollo</w:t>
      </w:r>
      <w:bookmarkEnd w:id="7"/>
      <w:r>
        <w:rPr>
          <w:color w:val="000000" w:themeColor="text1"/>
        </w:rPr>
      </w:r>
    </w:p>
    <w:p>
      <w:pPr>
        <w:pStyle w:val="918"/>
        <w:pBdr/>
        <w:spacing w:after="140" w:before="280"/>
        <w:ind/>
        <w:rPr>
          <w:color w:val="000000" w:themeColor="text1"/>
        </w:rPr>
      </w:pPr>
      <w:r>
        <w:rPr>
          <w:color w:val="000000" w:themeColor="text1"/>
        </w:rPr>
      </w:r>
      <w:bookmarkStart w:id="8" w:name="_Toc8"/>
      <w:r>
        <w:rPr>
          <w:rFonts w:ascii="Calibri" w:hAnsi="Calibri" w:eastAsia="Calibri" w:cs="Calibri"/>
          <w:b/>
          <w:bCs/>
          <w:color w:val="000000" w:themeColor="text1"/>
          <w:sz w:val="25"/>
          <w:szCs w:val="25"/>
        </w:rPr>
        <w:t xml:space="preserve">2.1 Insumos heredados de los documentos precedentes</w:t>
      </w:r>
      <w:bookmarkEnd w:id="8"/>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La elección no parte de cero. Los tres documentos anteriores han fijado hechos que restringen el espacio de soluciones metodológicas admisibles. Se formalizan como factores determinantes, cada uno con su origen verificable y con la consecuencia que impone sobre el proceso.</w:t>
      </w:r>
      <w:r>
        <w:rPr>
          <w:color w:val="000000" w:themeColor="text1"/>
        </w:rPr>
      </w:r>
    </w:p>
    <w:p>
      <w:pPr>
        <w:pBdr/>
        <w:spacing w:after="6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900"/>
        <w:gridCol w:w="2900"/>
        <w:gridCol w:w="1700"/>
        <w:gridCol w:w="3570"/>
      </w:tblGrid>
      <w:tr>
        <w:trPr>
          <w:tblHeader/>
        </w:trPr>
        <w:tc>
          <w:tcPr>
            <w:shd w:val="clear" w:color="auto" w:fill="dce6f1"/>
            <w:tcBorders/>
            <w:tcMar>
              <w:left w:w="90" w:type="dxa"/>
              <w:top w:w="60" w:type="dxa"/>
              <w:right w:w="90" w:type="dxa"/>
              <w:bottom w:w="60" w:type="dxa"/>
            </w:tcMar>
            <w:tcW w:w="9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ID</w:t>
            </w:r>
            <w:r>
              <w:rPr>
                <w:color w:val="000000" w:themeColor="text1"/>
              </w:rPr>
            </w:r>
          </w:p>
        </w:tc>
        <w:tc>
          <w:tcPr>
            <w:shd w:val="clear" w:color="auto" w:fill="dce6f1"/>
            <w:tcBorders/>
            <w:tcMar>
              <w:left w:w="90" w:type="dxa"/>
              <w:top w:w="60" w:type="dxa"/>
              <w:right w:w="90" w:type="dxa"/>
              <w:bottom w:w="60" w:type="dxa"/>
            </w:tcMar>
            <w:tcW w:w="29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Factor determinante</w:t>
            </w:r>
            <w:r>
              <w:rPr>
                <w:color w:val="000000" w:themeColor="text1"/>
              </w:rPr>
            </w:r>
          </w:p>
        </w:tc>
        <w:tc>
          <w:tcPr>
            <w:shd w:val="clear" w:color="auto" w:fill="dce6f1"/>
            <w:tcBorders/>
            <w:tcMar>
              <w:left w:w="90" w:type="dxa"/>
              <w:top w:w="60" w:type="dxa"/>
              <w:right w:w="90" w:type="dxa"/>
              <w:bottom w:w="60" w:type="dxa"/>
            </w:tcMar>
            <w:tcW w:w="17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Origen</w:t>
            </w:r>
            <w:r>
              <w:rPr>
                <w:color w:val="000000" w:themeColor="text1"/>
              </w:rPr>
            </w:r>
          </w:p>
        </w:tc>
        <w:tc>
          <w:tcPr>
            <w:shd w:val="clear" w:color="auto" w:fill="dce6f1"/>
            <w:tcBorders/>
            <w:tcMar>
              <w:left w:w="90" w:type="dxa"/>
              <w:top w:w="60" w:type="dxa"/>
              <w:right w:w="90" w:type="dxa"/>
              <w:bottom w:w="60" w:type="dxa"/>
            </w:tcMar>
            <w:tcW w:w="35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Consecuencia sobre el proceso</w:t>
            </w:r>
            <w:r>
              <w:rPr>
                <w:color w:val="000000" w:themeColor="text1"/>
              </w:rP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FD-01</w:t>
            </w:r>
            <w:r>
              <w:rPr>
                <w:color w:val="000000" w:themeColor="text1"/>
              </w:rPr>
            </w:r>
          </w:p>
        </w:tc>
        <w:tc>
          <w:tcPr>
            <w:shd w:val="clear" w:color="auto" w:fill="ffffff"/>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Una sola unidad de construcción, con dos personas y sin especialización interna por componente.</w:t>
            </w:r>
            <w:r>
              <w:rPr>
                <w:color w:val="000000" w:themeColor="text1"/>
              </w:rPr>
            </w:r>
          </w:p>
        </w:tc>
        <w:tc>
          <w:tcPr>
            <w:shd w:val="clear" w:color="auto" w:fill="ffffff"/>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RO-01; U-01 del documento 1; interesado I-05 del documento 3</w:t>
            </w:r>
            <w:r>
              <w:rPr>
                <w:color w:val="000000" w:themeColor="text1"/>
              </w:rPr>
            </w:r>
          </w:p>
        </w:tc>
        <w:tc>
          <w:tcPr>
            <w:shd w:val="clear" w:color="auto" w:fill="ffffff"/>
            <w:tcBorders/>
            <w:tcMar>
              <w:left w:w="90" w:type="dxa"/>
              <w:top w:w="55" w:type="dxa"/>
              <w:right w:w="90" w:type="dxa"/>
              <w:bottom w:w="55" w:type="dxa"/>
            </w:tcMar>
            <w:tcW w:w="35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Los roles del marco de gestión no pueden asignarse a personas distintas. Cualquier metodología que exija roles dedicados es inaplicable sin adaptación.</w:t>
            </w:r>
            <w:r>
              <w:rPr>
                <w:color w:val="000000" w:themeColor="text1"/>
              </w:rP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FD-02</w:t>
            </w:r>
            <w:r>
              <w:rPr>
                <w:color w:val="000000" w:themeColor="text1"/>
              </w:rPr>
            </w:r>
          </w:p>
        </w:tc>
        <w:tc>
          <w:tcPr>
            <w:shd w:val="clear" w:color="auto" w:fill="f2f2f2"/>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equipo trabaja de forma parcialmente remota y asíncrona.</w:t>
            </w:r>
            <w:r>
              <w:rPr>
                <w:color w:val="000000" w:themeColor="text1"/>
              </w:rPr>
            </w:r>
          </w:p>
        </w:tc>
        <w:tc>
          <w:tcPr>
            <w:shd w:val="clear" w:color="auto" w:fill="f2f2f2"/>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Documento 2, § 2.5, factor 5 de los trece factores de decisión del SWEBOK</w:t>
            </w:r>
            <w:r>
              <w:rPr>
                <w:color w:val="000000" w:themeColor="text1"/>
              </w:rPr>
            </w:r>
          </w:p>
        </w:tc>
        <w:tc>
          <w:tcPr>
            <w:shd w:val="clear" w:color="auto" w:fill="f2f2f2"/>
            <w:tcBorders/>
            <w:tcMar>
              <w:left w:w="90" w:type="dxa"/>
              <w:top w:w="55" w:type="dxa"/>
              <w:right w:w="90" w:type="dxa"/>
              <w:bottom w:w="55" w:type="dxa"/>
            </w:tcMar>
            <w:tcW w:w="35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Las ceremonias sincrónicas y el modelado efímero de pizarra quedan descartados. Toda coordinación debe dejar registro escrito.</w:t>
            </w:r>
            <w:r>
              <w:rPr>
                <w:color w:val="000000" w:themeColor="text1"/>
              </w:rP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FD-03</w:t>
            </w:r>
            <w:r>
              <w:rPr>
                <w:color w:val="000000" w:themeColor="text1"/>
              </w:rPr>
            </w:r>
          </w:p>
        </w:tc>
        <w:tc>
          <w:tcPr>
            <w:shd w:val="clear" w:color="auto" w:fill="ffffff"/>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No existe personal de operación de infraestructura dedicado.</w:t>
            </w:r>
            <w:r>
              <w:rPr>
                <w:color w:val="000000" w:themeColor="text1"/>
              </w:rPr>
            </w:r>
          </w:p>
        </w:tc>
        <w:tc>
          <w:tcPr>
            <w:shd w:val="clear" w:color="auto" w:fill="ffffff"/>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RO-02</w:t>
            </w:r>
            <w:r>
              <w:rPr>
                <w:color w:val="000000" w:themeColor="text1"/>
              </w:rPr>
            </w:r>
          </w:p>
        </w:tc>
        <w:tc>
          <w:tcPr>
            <w:shd w:val="clear" w:color="auto" w:fill="ffffff"/>
            <w:tcBorders/>
            <w:tcMar>
              <w:left w:w="90" w:type="dxa"/>
              <w:top w:w="55" w:type="dxa"/>
              <w:right w:w="90" w:type="dxa"/>
              <w:bottom w:w="55" w:type="dxa"/>
            </w:tcMar>
            <w:tcW w:w="35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automatización de la integración, la verificación y el despliegue no es una mejora opcional del proceso: es la condición que permite operar sin ese personal.</w:t>
            </w:r>
            <w:r>
              <w:rPr>
                <w:color w:val="000000" w:themeColor="text1"/>
              </w:rP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FD-04</w:t>
            </w:r>
            <w:r>
              <w:rPr>
                <w:color w:val="000000" w:themeColor="text1"/>
              </w:rPr>
            </w:r>
          </w:p>
        </w:tc>
        <w:tc>
          <w:tcPr>
            <w:shd w:val="clear" w:color="auto" w:fill="f2f2f2"/>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No existe presupuesto de licenciamiento y el costo de infraestructura tiene techo en el 10 % del ingreso por comisión.</w:t>
            </w:r>
            <w:r>
              <w:rPr>
                <w:color w:val="000000" w:themeColor="text1"/>
              </w:rPr>
            </w:r>
          </w:p>
        </w:tc>
        <w:tc>
          <w:tcPr>
            <w:shd w:val="clear" w:color="auto" w:fill="f2f2f2"/>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RO-03; O-NEG-05</w:t>
            </w:r>
            <w:r>
              <w:rPr>
                <w:color w:val="000000" w:themeColor="text1"/>
              </w:rPr>
            </w:r>
          </w:p>
        </w:tc>
        <w:tc>
          <w:tcPr>
            <w:shd w:val="clear" w:color="auto" w:fill="f2f2f2"/>
            <w:tcBorders/>
            <w:tcMar>
              <w:left w:w="90" w:type="dxa"/>
              <w:top w:w="55" w:type="dxa"/>
              <w:right w:w="90" w:type="dxa"/>
              <w:bottom w:w="55" w:type="dxa"/>
            </w:tcMar>
            <w:tcW w:w="35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instrumental que el proceso exija debe ser de costo nulo o marginal.</w:t>
            </w:r>
            <w:r>
              <w:rPr>
                <w:color w:val="000000" w:themeColor="text1"/>
              </w:rP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FD-05</w:t>
            </w:r>
            <w:r>
              <w:rPr>
                <w:color w:val="000000" w:themeColor="text1"/>
              </w:rPr>
            </w:r>
          </w:p>
        </w:tc>
        <w:tc>
          <w:tcPr>
            <w:shd w:val="clear" w:color="auto" w:fill="ffffff"/>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Segregación estricta de funciones entre quien construye, U-01, y quien administra la operación del mercado, U-02.</w:t>
            </w:r>
            <w:r>
              <w:rPr>
                <w:color w:val="000000" w:themeColor="text1"/>
              </w:rPr>
            </w:r>
          </w:p>
        </w:tc>
        <w:tc>
          <w:tcPr>
            <w:shd w:val="clear" w:color="auto" w:fill="ffffff"/>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RO-04</w:t>
            </w:r>
            <w:r>
              <w:rPr>
                <w:color w:val="000000" w:themeColor="text1"/>
              </w:rPr>
            </w:r>
          </w:p>
        </w:tc>
        <w:tc>
          <w:tcPr>
            <w:shd w:val="clear" w:color="auto" w:fill="ffffff"/>
            <w:tcBorders/>
            <w:tcMar>
              <w:left w:w="90" w:type="dxa"/>
              <w:top w:w="55" w:type="dxa"/>
              <w:right w:w="90" w:type="dxa"/>
              <w:bottom w:w="55" w:type="dxa"/>
            </w:tcMar>
            <w:tcW w:w="35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proceso debe contener un acto de aceptación ejecutado por alguien distinto de quien construyó. Con dos personas, la única segregación disponible es la revisión cruzada.</w:t>
            </w:r>
            <w:r>
              <w:rPr>
                <w:color w:val="000000" w:themeColor="text1"/>
              </w:rP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FD-06</w:t>
            </w:r>
            <w:r>
              <w:rPr>
                <w:color w:val="000000" w:themeColor="text1"/>
              </w:rPr>
            </w:r>
          </w:p>
        </w:tc>
        <w:tc>
          <w:tcPr>
            <w:shd w:val="clear" w:color="auto" w:fill="f2f2f2"/>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coordinación se realiza por ajuste mutuo a través de un canal único, sin línea media.</w:t>
            </w:r>
            <w:r>
              <w:rPr>
                <w:color w:val="000000" w:themeColor="text1"/>
              </w:rPr>
            </w:r>
          </w:p>
        </w:tc>
        <w:tc>
          <w:tcPr>
            <w:shd w:val="clear" w:color="auto" w:fill="f2f2f2"/>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RO-05</w:t>
            </w:r>
            <w:r>
              <w:rPr>
                <w:color w:val="000000" w:themeColor="text1"/>
              </w:rPr>
            </w:r>
          </w:p>
        </w:tc>
        <w:tc>
          <w:tcPr>
            <w:shd w:val="clear" w:color="auto" w:fill="f2f2f2"/>
            <w:tcBorders/>
            <w:tcMar>
              <w:left w:w="90" w:type="dxa"/>
              <w:top w:w="55" w:type="dxa"/>
              <w:right w:w="90" w:type="dxa"/>
              <w:bottom w:w="55" w:type="dxa"/>
            </w:tcMar>
            <w:tcW w:w="35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Un proceso de ceremonia baja es congruente con la organización. Conforme a la Ley de Conway, un proceso con más capas de coordinación que la organización produciría fricción sin beneficio.</w:t>
            </w:r>
            <w:r>
              <w:rPr>
                <w:color w:val="000000" w:themeColor="text1"/>
              </w:rP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FD-07</w:t>
            </w:r>
            <w:r>
              <w:rPr>
                <w:color w:val="000000" w:themeColor="text1"/>
              </w:rPr>
            </w:r>
          </w:p>
        </w:tc>
        <w:tc>
          <w:tcPr>
            <w:shd w:val="clear" w:color="auto" w:fill="ffffff"/>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catálogo está priorizado mediante el esquema MoSCoW, con veintiocho requisitos «Debe», diecinueve «Debería» y seis «Podría».</w:t>
            </w:r>
            <w:r>
              <w:rPr>
                <w:color w:val="000000" w:themeColor="text1"/>
              </w:rPr>
            </w:r>
          </w:p>
        </w:tc>
        <w:tc>
          <w:tcPr>
            <w:shd w:val="clear" w:color="auto" w:fill="ffffff"/>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Documento 2, § 2.7 y § 3.1</w:t>
            </w:r>
            <w:r>
              <w:rPr>
                <w:color w:val="000000" w:themeColor="text1"/>
              </w:rPr>
            </w:r>
          </w:p>
        </w:tc>
        <w:tc>
          <w:tcPr>
            <w:shd w:val="clear" w:color="auto" w:fill="ffffff"/>
            <w:tcBorders/>
            <w:tcMar>
              <w:left w:w="90" w:type="dxa"/>
              <w:top w:w="55" w:type="dxa"/>
              <w:right w:w="90" w:type="dxa"/>
              <w:bottom w:w="55" w:type="dxa"/>
            </w:tcMar>
            <w:tcW w:w="35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clase «Podría» constituye la holgura declarada del alcance. El documento 3 ya la trató así al excluir SYS-NFN-12 del compromiso del MVP.</w:t>
            </w:r>
            <w:r>
              <w:rPr>
                <w:color w:val="000000" w:themeColor="text1"/>
              </w:rP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FD-08</w:t>
            </w:r>
            <w:r>
              <w:rPr>
                <w:color w:val="000000" w:themeColor="text1"/>
              </w:rPr>
            </w:r>
          </w:p>
        </w:tc>
        <w:tc>
          <w:tcPr>
            <w:shd w:val="clear" w:color="auto" w:fill="f2f2f2"/>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Riesgo R-01: erosión de las fronteras modulares por indisciplina.</w:t>
            </w:r>
            <w:r>
              <w:rPr>
                <w:color w:val="000000" w:themeColor="text1"/>
              </w:rPr>
            </w:r>
          </w:p>
        </w:tc>
        <w:tc>
          <w:tcPr>
            <w:shd w:val="clear" w:color="auto" w:fill="f2f2f2"/>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Documento 3, § 2.7.3</w:t>
            </w:r>
            <w:r>
              <w:rPr>
                <w:color w:val="000000" w:themeColor="text1"/>
              </w:rPr>
            </w:r>
          </w:p>
        </w:tc>
        <w:tc>
          <w:tcPr>
            <w:shd w:val="clear" w:color="auto" w:fill="f2f2f2"/>
            <w:tcBorders/>
            <w:tcMar>
              <w:left w:w="90" w:type="dxa"/>
              <w:top w:w="55" w:type="dxa"/>
              <w:right w:w="90" w:type="dxa"/>
              <w:bottom w:w="55" w:type="dxa"/>
            </w:tcMar>
            <w:tcW w:w="35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proceso debe institucionalizar la verificación de dependencias entre módulos, porque el documento 3 la enunció como mitigación pero no como actividad programada.</w:t>
            </w:r>
            <w:r>
              <w:rPr>
                <w:color w:val="000000" w:themeColor="text1"/>
              </w:rP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FD-09</w:t>
            </w:r>
            <w:r>
              <w:rPr>
                <w:color w:val="000000" w:themeColor="text1"/>
              </w:rPr>
            </w:r>
          </w:p>
        </w:tc>
        <w:tc>
          <w:tcPr>
            <w:shd w:val="clear" w:color="auto" w:fill="ffffff"/>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Principio PA-07: toda interfaz expuesta está documentada antes de estar implementada.</w:t>
            </w:r>
            <w:r>
              <w:rPr>
                <w:color w:val="000000" w:themeColor="text1"/>
              </w:rPr>
            </w:r>
          </w:p>
        </w:tc>
        <w:tc>
          <w:tcPr>
            <w:shd w:val="clear" w:color="auto" w:fill="ffffff"/>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Documento 3, § 2.7.4</w:t>
            </w:r>
            <w:r>
              <w:rPr>
                <w:color w:val="000000" w:themeColor="text1"/>
              </w:rPr>
            </w:r>
          </w:p>
        </w:tc>
        <w:tc>
          <w:tcPr>
            <w:shd w:val="clear" w:color="auto" w:fill="ffffff"/>
            <w:tcBorders/>
            <w:tcMar>
              <w:left w:w="90" w:type="dxa"/>
              <w:top w:w="55" w:type="dxa"/>
              <w:right w:w="90" w:type="dxa"/>
              <w:bottom w:w="55" w:type="dxa"/>
            </w:tcMar>
            <w:tcW w:w="35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contrato de interfaz es el mecanismo que permite a dos personas avanzar en paralelo. Es una obligación del proceso y no solo una regla de arquitectura.</w:t>
            </w:r>
            <w:r>
              <w:rPr>
                <w:color w:val="000000" w:themeColor="text1"/>
              </w:rP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FD-10</w:t>
            </w:r>
            <w:r>
              <w:rPr>
                <w:color w:val="000000" w:themeColor="text1"/>
              </w:rPr>
            </w:r>
          </w:p>
        </w:tc>
        <w:tc>
          <w:tcPr>
            <w:shd w:val="clear" w:color="auto" w:fill="f2f2f2"/>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Preocupación P-07: si dos personas pueden construir, probar y desplegar el sistema en el calendario disponible.</w:t>
            </w:r>
            <w:r>
              <w:rPr>
                <w:color w:val="000000" w:themeColor="text1"/>
              </w:rPr>
            </w:r>
          </w:p>
        </w:tc>
        <w:tc>
          <w:tcPr>
            <w:shd w:val="clear" w:color="auto" w:fill="f2f2f2"/>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Documento 3, § 2.3.3</w:t>
            </w:r>
            <w:r>
              <w:rPr>
                <w:color w:val="000000" w:themeColor="text1"/>
              </w:rPr>
            </w:r>
          </w:p>
        </w:tc>
        <w:tc>
          <w:tcPr>
            <w:shd w:val="clear" w:color="auto" w:fill="f2f2f2"/>
            <w:tcBorders/>
            <w:tcMar>
              <w:left w:w="90" w:type="dxa"/>
              <w:top w:w="55" w:type="dxa"/>
              <w:right w:w="90" w:type="dxa"/>
              <w:bottom w:w="55" w:type="dxa"/>
            </w:tcMar>
            <w:tcW w:w="35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proceso debe producir evidencia temprana y repetida de avance, no una entrega única tardía.</w:t>
            </w:r>
            <w:r>
              <w:rPr>
                <w:color w:val="000000" w:themeColor="text1"/>
              </w:rP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FD-11</w:t>
            </w:r>
            <w:r>
              <w:rPr>
                <w:color w:val="000000" w:themeColor="text1"/>
              </w:rPr>
            </w:r>
          </w:p>
        </w:tc>
        <w:tc>
          <w:tcPr>
            <w:shd w:val="clear" w:color="auto" w:fill="ffffff"/>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especificación no está cerrada: la ingeniería de requisitos se declaró iterativa y recursiva, y el documento 2 prevé versiones menores incrementales.</w:t>
            </w:r>
            <w:r>
              <w:rPr>
                <w:color w:val="000000" w:themeColor="text1"/>
              </w:rPr>
            </w:r>
          </w:p>
        </w:tc>
        <w:tc>
          <w:tcPr>
            <w:shd w:val="clear" w:color="auto" w:fill="ffffff"/>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Documento 2, § 2.5 y § 4; ISO/IEC/IEEE 29148:2011, § 5.3.1</w:t>
            </w:r>
            <w:r>
              <w:rPr>
                <w:color w:val="000000" w:themeColor="text1"/>
              </w:rPr>
            </w:r>
          </w:p>
        </w:tc>
        <w:tc>
          <w:tcPr>
            <w:shd w:val="clear" w:color="auto" w:fill="ffffff"/>
            <w:tcBorders/>
            <w:tcMar>
              <w:left w:w="90" w:type="dxa"/>
              <w:top w:w="55" w:type="dxa"/>
              <w:right w:w="90" w:type="dxa"/>
              <w:bottom w:w="55" w:type="dxa"/>
            </w:tcMar>
            <w:tcW w:w="35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Un ciclo de vida cerrado al cambio contradiría una declaración ya emitida por la serie.</w:t>
            </w:r>
            <w:r>
              <w:rPr>
                <w:color w:val="000000" w:themeColor="text1"/>
              </w:rP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FD-12</w:t>
            </w:r>
            <w:r>
              <w:rPr>
                <w:color w:val="000000" w:themeColor="text1"/>
              </w:rPr>
            </w:r>
          </w:p>
        </w:tc>
        <w:tc>
          <w:tcPr>
            <w:shd w:val="clear" w:color="auto" w:fill="f2f2f2"/>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hipótesis «Demand-First» no está validada: O-NEG-01 y O-NEG-02 fijan metas cuantitativas cuyo cumplimiento solo puede comprobarse con usuarios reales.</w:t>
            </w:r>
            <w:r>
              <w:rPr>
                <w:color w:val="000000" w:themeColor="text1"/>
              </w:rPr>
            </w:r>
          </w:p>
        </w:tc>
        <w:tc>
          <w:tcPr>
            <w:shd w:val="clear" w:color="auto" w:fill="f2f2f2"/>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Documento 1, § 2.4.4 y § 2.11</w:t>
            </w:r>
            <w:r>
              <w:rPr>
                <w:color w:val="000000" w:themeColor="text1"/>
              </w:rPr>
            </w:r>
          </w:p>
        </w:tc>
        <w:tc>
          <w:tcPr>
            <w:shd w:val="clear" w:color="auto" w:fill="f2f2f2"/>
            <w:tcBorders/>
            <w:tcMar>
              <w:left w:w="90" w:type="dxa"/>
              <w:top w:w="55" w:type="dxa"/>
              <w:right w:w="90" w:type="dxa"/>
              <w:bottom w:w="55" w:type="dxa"/>
            </w:tcMar>
            <w:tcW w:w="35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proceso debe generar puntos periódicos en los que la hipótesis de negocio pueda confrontarse con evidencia y el rumbo corregirse.</w:t>
            </w:r>
            <w:r>
              <w:rPr>
                <w:color w:val="000000" w:themeColor="text1"/>
              </w:rPr>
            </w:r>
          </w:p>
        </w:tc>
      </w:tr>
    </w:tbl>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Los doce factores no pesan igual. FD-01 y FD-02 son los más restrictivos porque afectan a la viabilidad misma de cualquier marco de gestión, y así se refleja en la ponderación de la sección 2.6.</w:t>
      </w:r>
      <w:r>
        <w:rPr>
          <w:color w:val="000000" w:themeColor="text1"/>
        </w:rPr>
      </w:r>
    </w:p>
    <w:p>
      <w:pPr>
        <w:pStyle w:val="918"/>
        <w:pBdr/>
        <w:spacing w:after="140" w:before="280"/>
        <w:ind/>
        <w:rPr>
          <w:color w:val="000000" w:themeColor="text1"/>
        </w:rPr>
      </w:pPr>
      <w:r>
        <w:rPr>
          <w:color w:val="000000" w:themeColor="text1"/>
        </w:rPr>
      </w:r>
      <w:bookmarkStart w:id="9" w:name="_Toc9"/>
      <w:r>
        <w:rPr>
          <w:rFonts w:ascii="Calibri" w:hAnsi="Calibri" w:eastAsia="Calibri" w:cs="Calibri"/>
          <w:b/>
          <w:bCs/>
          <w:color w:val="000000" w:themeColor="text1"/>
          <w:sz w:val="25"/>
          <w:szCs w:val="25"/>
        </w:rPr>
        <w:t xml:space="preserve">2.2 Fundamento económico de la elección del proceso</w:t>
      </w:r>
      <w:bookmarkEnd w:id="9"/>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La elección de un ciclo de vida es también una decisión económica, y conviene explicitar el razonamiento en lugar de dejarlo implícito en la ponderación.</w:t>
      </w: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Orden de entrega y punto de equilibrio.</w:t>
      </w:r>
      <w:r>
        <w:rPr>
          <w:rFonts w:ascii="Calibri" w:hAnsi="Calibri" w:eastAsia="Calibri" w:cs="Calibri"/>
          <w:b w:val="0"/>
          <w:bCs w:val="0"/>
          <w:i w:val="0"/>
          <w:iCs w:val="0"/>
          <w:color w:val="000000" w:themeColor="text1"/>
          <w:sz w:val="22"/>
          <w:szCs w:val="22"/>
        </w:rPr>
        <w:t xml:space="preserve"> El documento 1 fija en O-NEG-05 la meta de alcanzar el punto de equilibrio operativo en el mes catorce, con un ingreso que procede de la comisión sobre transacciones cerradas, es decir, de PM-05 y PM-07. Un proceso que entregue la totalidad del sistema al final consume todo el costo antes de generar el primer ingreso. Un proceso incremental permite ordenar los incrementos de modo que la capacidad de cerrar transacciones exista antes de que se construyan las funciones accesorias. El orden de iteraciones de la sección 2.13 responde a ese criterio, dentro de lo que la dependencia arquitectónica permite.</w:t>
      </w: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Decisión bajo incertidumbre y valor de la información.</w:t>
      </w:r>
      <w:r>
        <w:rPr>
          <w:rFonts w:ascii="Calibri" w:hAnsi="Calibri" w:eastAsia="Calibri" w:cs="Calibri"/>
          <w:b w:val="0"/>
          <w:bCs w:val="0"/>
          <w:i w:val="0"/>
          <w:iCs w:val="0"/>
          <w:color w:val="000000" w:themeColor="text1"/>
          <w:sz w:val="22"/>
          <w:szCs w:val="22"/>
        </w:rPr>
        <w:t xml:space="preserve"> Las metas de O-NEG-01 y O-NEG-02 son hipótesis sobre el comportamiento de un mercado, no hechos comprobados. Un ciclo de vida predictivo compromete la totalidad del esfuerzo antes de obtener la primera observación; un ciclo de vida iterativo compra información en cada cierre de iteración y conserva la opción de corregir el rumbo. En un proyecto cuya incertidumbre dominante es de demanda y no técnica, esa opción tiene valor económico real.</w:t>
      </w: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Costo de la corrección tardía.</w:t>
      </w:r>
      <w:r>
        <w:rPr>
          <w:rFonts w:ascii="Calibri" w:hAnsi="Calibri" w:eastAsia="Calibri" w:cs="Calibri"/>
          <w:b w:val="0"/>
          <w:bCs w:val="0"/>
          <w:i w:val="0"/>
          <w:iCs w:val="0"/>
          <w:color w:val="000000" w:themeColor="text1"/>
          <w:sz w:val="22"/>
          <w:szCs w:val="22"/>
        </w:rPr>
        <w:t xml:space="preserve"> El costo de rectificar un defecto o un malentendido crece con la distancia entre el momento en que se introduce y el momento en que se detecta. El apartado 2.9 del capítulo 10 del SWEBOK recoge la lección en términos de proceso: trabajar con procesos grandes sin producir entregables intermedios aumenta la incertidumbre. Acortar el intervalo entre introducción y detección es, en este marco, una medida de contención de costo antes que una preferencia estilística.</w:t>
      </w: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Costo hundido y decisión de continuar.</w:t>
      </w:r>
      <w:r>
        <w:rPr>
          <w:rFonts w:ascii="Calibri" w:hAnsi="Calibri" w:eastAsia="Calibri" w:cs="Calibri"/>
          <w:b w:val="0"/>
          <w:bCs w:val="0"/>
          <w:i w:val="0"/>
          <w:iCs w:val="0"/>
          <w:color w:val="000000" w:themeColor="text1"/>
          <w:sz w:val="22"/>
          <w:szCs w:val="22"/>
        </w:rPr>
        <w:t xml:space="preserve"> La revisión del incremento y la retrospectiva al cierre de cada iteración crean un punto explícito en el que continuar es una decisión que se toma de nuevo, y no una inercia. Sin ese punto, el esfuerzo ya invertido tiende a justificar por sí mismo la continuación, que es el sesgo que la medición del proceso descrita en la sección 2.17 busca neutralizar.</w:t>
      </w:r>
      <w:r>
        <w:rPr>
          <w:color w:val="000000" w:themeColor="text1"/>
        </w:rPr>
      </w:r>
    </w:p>
    <w:p>
      <w:pPr>
        <w:pStyle w:val="918"/>
        <w:pBdr/>
        <w:spacing w:after="140" w:before="280"/>
        <w:ind/>
        <w:rPr>
          <w:color w:val="000000" w:themeColor="text1"/>
        </w:rPr>
      </w:pPr>
      <w:r>
        <w:rPr>
          <w:color w:val="000000" w:themeColor="text1"/>
        </w:rPr>
      </w:r>
      <w:bookmarkStart w:id="10" w:name="_Toc10"/>
      <w:r>
        <w:rPr>
          <w:rFonts w:ascii="Calibri" w:hAnsi="Calibri" w:eastAsia="Calibri" w:cs="Calibri"/>
          <w:b/>
          <w:bCs/>
          <w:color w:val="000000" w:themeColor="text1"/>
          <w:sz w:val="25"/>
          <w:szCs w:val="25"/>
        </w:rPr>
        <w:t xml:space="preserve">2.3 Categorías y etapas del ciclo de vida aplicables</w:t>
      </w:r>
      <w:bookmarkEnd w:id="10"/>
      <w:r>
        <w:rPr>
          <w:color w:val="000000" w:themeColor="text1"/>
        </w:rPr>
      </w:r>
    </w:p>
    <w:p>
      <w:pPr>
        <w:pStyle w:val="919"/>
        <w:pBdr/>
        <w:spacing w:after="140" w:before="280"/>
        <w:ind/>
        <w:rPr>
          <w:color w:val="000000" w:themeColor="text1"/>
        </w:rPr>
      </w:pPr>
      <w:r>
        <w:rPr>
          <w:color w:val="000000" w:themeColor="text1"/>
        </w:rPr>
      </w:r>
      <w:bookmarkStart w:id="11" w:name="_Toc11"/>
      <w:r>
        <w:rPr>
          <w:rFonts w:ascii="Calibri" w:hAnsi="Calibri" w:eastAsia="Calibri" w:cs="Calibri"/>
          <w:b/>
          <w:bCs/>
          <w:color w:val="000000" w:themeColor="text1"/>
          <w:sz w:val="23"/>
          <w:szCs w:val="23"/>
        </w:rPr>
        <w:t xml:space="preserve">2.3.1 Las cuatro categorías de procesos y su instanciación</w:t>
      </w:r>
      <w:bookmarkEnd w:id="11"/>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La ISO/IEC/IEEE 12207:2017 clasifica los procesos del ciclo de vida en cuatro categorías. La adaptación consiste en declarar cuáles se instancian, cuáles se omiten y por qué; omitir sin declarar sería una laguna, no una simplificación.</w:t>
      </w:r>
      <w:r>
        <w:rPr>
          <w:color w:val="000000" w:themeColor="text1"/>
        </w:rPr>
      </w:r>
    </w:p>
    <w:p>
      <w:pPr>
        <w:pBdr/>
        <w:spacing w:after="6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1900"/>
        <w:gridCol w:w="4000"/>
        <w:gridCol w:w="3170"/>
      </w:tblGrid>
      <w:tr>
        <w:trPr>
          <w:tblHeader/>
        </w:trPr>
        <w:tc>
          <w:tcPr>
            <w:shd w:val="clear" w:color="auto" w:fill="dce6f1"/>
            <w:tcBorders/>
            <w:tcMar>
              <w:left w:w="90" w:type="dxa"/>
              <w:top w:w="60" w:type="dxa"/>
              <w:right w:w="90" w:type="dxa"/>
              <w:bottom w:w="60" w:type="dxa"/>
            </w:tcMar>
            <w:tcW w:w="19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Categoría</w:t>
            </w:r>
            <w:r>
              <w:rPr>
                <w:color w:val="000000" w:themeColor="text1"/>
              </w:rPr>
            </w:r>
          </w:p>
        </w:tc>
        <w:tc>
          <w:tcPr>
            <w:shd w:val="clear" w:color="auto" w:fill="dce6f1"/>
            <w:tcBorders/>
            <w:tcMar>
              <w:left w:w="90" w:type="dxa"/>
              <w:top w:w="60" w:type="dxa"/>
              <w:right w:w="90" w:type="dxa"/>
              <w:bottom w:w="60" w:type="dxa"/>
            </w:tcMar>
            <w:tcW w:w="40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Procesos instanciados en este proyecto</w:t>
            </w:r>
            <w:r>
              <w:rPr>
                <w:color w:val="000000" w:themeColor="text1"/>
              </w:rPr>
            </w:r>
          </w:p>
        </w:tc>
        <w:tc>
          <w:tcPr>
            <w:shd w:val="clear" w:color="auto" w:fill="dce6f1"/>
            <w:tcBorders/>
            <w:tcMar>
              <w:left w:w="90" w:type="dxa"/>
              <w:top w:w="60" w:type="dxa"/>
              <w:right w:w="90" w:type="dxa"/>
              <w:bottom w:w="60" w:type="dxa"/>
            </w:tcMar>
            <w:tcW w:w="31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Procesos omitidos y motivo</w:t>
            </w:r>
            <w:r>
              <w:rPr>
                <w:color w:val="000000" w:themeColor="text1"/>
              </w:rPr>
            </w:r>
          </w:p>
        </w:tc>
      </w:tr>
      <w:tr>
        <w:trPr/>
        <w:tc>
          <w:tcPr>
            <w:shd w:val="clear" w:color="auto" w:fill="ffffff"/>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Técnicos</w:t>
            </w:r>
            <w:r>
              <w:rPr>
                <w:color w:val="000000" w:themeColor="text1"/>
              </w:rPr>
            </w:r>
          </w:p>
        </w:tc>
        <w:tc>
          <w:tcPr>
            <w:shd w:val="clear" w:color="auto" w:fill="ffffff"/>
            <w:tcBorders/>
            <w:tcMar>
              <w:left w:w="90" w:type="dxa"/>
              <w:top w:w="55" w:type="dxa"/>
              <w:right w:w="90" w:type="dxa"/>
              <w:bottom w:w="55" w:type="dxa"/>
            </w:tcMar>
            <w:tcW w:w="40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Definición de requisitos de las partes interesadas y del sistema; definición de la arquitectura; definición del diseño; implementación; integración; verificación; validación; transición.</w:t>
            </w:r>
            <w:r>
              <w:rPr>
                <w:color w:val="000000" w:themeColor="text1"/>
              </w:rPr>
            </w:r>
          </w:p>
        </w:tc>
        <w:tc>
          <w:tcPr>
            <w:shd w:val="clear" w:color="auto" w:fill="ffffff"/>
            <w:tcBorders/>
            <w:tcMar>
              <w:left w:w="90" w:type="dxa"/>
              <w:top w:w="55" w:type="dxa"/>
              <w:right w:w="90" w:type="dxa"/>
              <w:bottom w:w="55" w:type="dxa"/>
            </w:tcMar>
            <w:tcW w:w="3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Operación, mantenimiento y disposición: pertenecen a etapas fuera del alcance declarado en 1.3. Análisis del sistema se absorbe en la definición de la arquitectura, ya ejecutada.</w:t>
            </w:r>
            <w:r>
              <w:rPr>
                <w:color w:val="000000" w:themeColor="text1"/>
              </w:rPr>
            </w:r>
          </w:p>
        </w:tc>
      </w:tr>
      <w:tr>
        <w:trPr/>
        <w:tc>
          <w:tcPr>
            <w:shd w:val="clear" w:color="auto" w:fill="f2f2f2"/>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Gestión técnica</w:t>
            </w:r>
            <w:r>
              <w:rPr>
                <w:color w:val="000000" w:themeColor="text1"/>
              </w:rPr>
            </w:r>
          </w:p>
        </w:tc>
        <w:tc>
          <w:tcPr>
            <w:shd w:val="clear" w:color="auto" w:fill="f2f2f2"/>
            <w:tcBorders/>
            <w:tcMar>
              <w:left w:w="90" w:type="dxa"/>
              <w:top w:w="55" w:type="dxa"/>
              <w:right w:w="90" w:type="dxa"/>
              <w:bottom w:w="55" w:type="dxa"/>
            </w:tcMar>
            <w:tcW w:w="40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Planificación del proyecto; evaluación y control; gestión de decisiones; gestión de riesgos; gestión de la configuración; medición.</w:t>
            </w:r>
            <w:r>
              <w:rPr>
                <w:color w:val="000000" w:themeColor="text1"/>
              </w:rPr>
            </w:r>
          </w:p>
        </w:tc>
        <w:tc>
          <w:tcPr>
            <w:shd w:val="clear" w:color="auto" w:fill="f2f2f2"/>
            <w:tcBorders/>
            <w:tcMar>
              <w:left w:w="90" w:type="dxa"/>
              <w:top w:w="55" w:type="dxa"/>
              <w:right w:w="90" w:type="dxa"/>
              <w:bottom w:w="55" w:type="dxa"/>
            </w:tcMar>
            <w:tcW w:w="3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Gestión de la información como proceso formal separado: con dos personas y un repositorio único, se absorbe en la gestión de la configuración.</w:t>
            </w:r>
            <w:r>
              <w:rPr>
                <w:color w:val="000000" w:themeColor="text1"/>
              </w:rPr>
            </w:r>
          </w:p>
        </w:tc>
      </w:tr>
      <w:tr>
        <w:trPr/>
        <w:tc>
          <w:tcPr>
            <w:shd w:val="clear" w:color="auto" w:fill="ffffff"/>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Organizacionales habilitadores</w:t>
            </w:r>
            <w:r>
              <w:rPr>
                <w:color w:val="000000" w:themeColor="text1"/>
              </w:rPr>
            </w:r>
          </w:p>
        </w:tc>
        <w:tc>
          <w:tcPr>
            <w:shd w:val="clear" w:color="auto" w:fill="ffffff"/>
            <w:tcBorders/>
            <w:tcMar>
              <w:left w:w="90" w:type="dxa"/>
              <w:top w:w="55" w:type="dxa"/>
              <w:right w:w="90" w:type="dxa"/>
              <w:bottom w:w="55" w:type="dxa"/>
            </w:tcMar>
            <w:tcW w:w="40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Gestión del modelo de ciclo de vida, que es el objeto de este documento; gestión de la infraestructura, en su vertiente de entorno de construcción; gestión de la calidad, mediante los criterios de aceptación del catálogo.</w:t>
            </w:r>
            <w:r>
              <w:rPr>
                <w:color w:val="000000" w:themeColor="text1"/>
              </w:rPr>
            </w:r>
          </w:p>
        </w:tc>
        <w:tc>
          <w:tcPr>
            <w:shd w:val="clear" w:color="auto" w:fill="ffffff"/>
            <w:tcBorders/>
            <w:tcMar>
              <w:left w:w="90" w:type="dxa"/>
              <w:top w:w="55" w:type="dxa"/>
              <w:right w:w="90" w:type="dxa"/>
              <w:bottom w:w="55" w:type="dxa"/>
            </w:tcMar>
            <w:tcW w:w="3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Gestión del portafolio y gestión de los recursos humanos: la organización simulada tiene un solo producto y siete personas; instanciar estos procesos sería desproporcionado.</w:t>
            </w:r>
            <w:r>
              <w:rPr>
                <w:color w:val="000000" w:themeColor="text1"/>
              </w:rPr>
            </w:r>
          </w:p>
        </w:tc>
      </w:tr>
      <w:tr>
        <w:trPr/>
        <w:tc>
          <w:tcPr>
            <w:shd w:val="clear" w:color="auto" w:fill="f2f2f2"/>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Acuerdo</w:t>
            </w:r>
            <w:r>
              <w:rPr>
                <w:color w:val="000000" w:themeColor="text1"/>
              </w:rPr>
            </w:r>
          </w:p>
        </w:tc>
        <w:tc>
          <w:tcPr>
            <w:shd w:val="clear" w:color="auto" w:fill="f2f2f2"/>
            <w:tcBorders/>
            <w:tcMar>
              <w:left w:w="90" w:type="dxa"/>
              <w:top w:w="55" w:type="dxa"/>
              <w:right w:w="90" w:type="dxa"/>
              <w:bottom w:w="55" w:type="dxa"/>
            </w:tcMar>
            <w:tcW w:w="40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Ninguno se instancia como proceso formal.</w:t>
            </w:r>
            <w:r>
              <w:rPr>
                <w:color w:val="000000" w:themeColor="text1"/>
              </w:rPr>
            </w:r>
          </w:p>
        </w:tc>
        <w:tc>
          <w:tcPr>
            <w:shd w:val="clear" w:color="auto" w:fill="f2f2f2"/>
            <w:tcBorders/>
            <w:tcMar>
              <w:left w:w="90" w:type="dxa"/>
              <w:top w:w="55" w:type="dxa"/>
              <w:right w:w="90" w:type="dxa"/>
              <w:bottom w:w="55" w:type="dxa"/>
            </w:tcMar>
            <w:tcW w:w="3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No hay adquisición ni suministro entre partes independientes: la organización promotora y la unidad constructora pertenecen a la misma entidad. Se declara para que la omisión no se lea como olvido.</w:t>
            </w:r>
            <w:r>
              <w:rPr>
                <w:color w:val="000000" w:themeColor="text1"/>
              </w:rPr>
            </w:r>
          </w:p>
        </w:tc>
      </w:tr>
    </w:tbl>
    <w:p>
      <w:pPr>
        <w:pStyle w:val="919"/>
        <w:pBdr/>
        <w:spacing w:after="140" w:before="280"/>
        <w:ind/>
        <w:rPr>
          <w:color w:val="000000" w:themeColor="text1"/>
        </w:rPr>
      </w:pPr>
      <w:r>
        <w:rPr>
          <w:color w:val="000000" w:themeColor="text1"/>
        </w:rPr>
      </w:r>
      <w:bookmarkStart w:id="12" w:name="_Toc12"/>
      <w:r>
        <w:rPr>
          <w:rFonts w:ascii="Calibri" w:hAnsi="Calibri" w:eastAsia="Calibri" w:cs="Calibri"/>
          <w:b/>
          <w:bCs/>
          <w:color w:val="000000" w:themeColor="text1"/>
          <w:sz w:val="23"/>
          <w:szCs w:val="23"/>
        </w:rPr>
        <w:t xml:space="preserve">2.3.2 Las seis etapas y su cobertura</w:t>
      </w:r>
      <w:bookmarkEnd w:id="12"/>
      <w:r>
        <w:rPr>
          <w:color w:val="000000" w:themeColor="text1"/>
        </w:rPr>
      </w:r>
    </w:p>
    <w:p>
      <w:pPr>
        <w:pBdr/>
        <w:spacing w:after="4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1700"/>
        <w:gridCol w:w="1500"/>
        <w:gridCol w:w="5870"/>
      </w:tblGrid>
      <w:tr>
        <w:trPr>
          <w:tblHeader/>
        </w:trPr>
        <w:tc>
          <w:tcPr>
            <w:shd w:val="clear" w:color="auto" w:fill="dce6f1"/>
            <w:tcBorders/>
            <w:tcMar>
              <w:left w:w="90" w:type="dxa"/>
              <w:top w:w="60" w:type="dxa"/>
              <w:right w:w="90" w:type="dxa"/>
              <w:bottom w:w="60" w:type="dxa"/>
            </w:tcMar>
            <w:tcW w:w="17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Etapa</w:t>
            </w:r>
            <w:r>
              <w:rPr>
                <w:color w:val="000000" w:themeColor="text1"/>
              </w:rPr>
            </w:r>
          </w:p>
        </w:tc>
        <w:tc>
          <w:tcPr>
            <w:shd w:val="clear" w:color="auto" w:fill="dce6f1"/>
            <w:tcBorders/>
            <w:tcMar>
              <w:left w:w="90" w:type="dxa"/>
              <w:top w:w="60" w:type="dxa"/>
              <w:right w:w="90" w:type="dxa"/>
              <w:bottom w:w="60" w:type="dxa"/>
            </w:tcMar>
            <w:tcW w:w="15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Cobertura</w:t>
            </w:r>
            <w:r>
              <w:rPr>
                <w:color w:val="000000" w:themeColor="text1"/>
              </w:rPr>
            </w:r>
          </w:p>
        </w:tc>
        <w:tc>
          <w:tcPr>
            <w:shd w:val="clear" w:color="auto" w:fill="dce6f1"/>
            <w:tcBorders/>
            <w:tcMar>
              <w:left w:w="90" w:type="dxa"/>
              <w:top w:w="60" w:type="dxa"/>
              <w:right w:w="90" w:type="dxa"/>
              <w:bottom w:w="60" w:type="dxa"/>
            </w:tcMar>
            <w:tcW w:w="58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Situación en la serie</w:t>
            </w:r>
            <w:r>
              <w:rPr>
                <w:color w:val="000000" w:themeColor="text1"/>
              </w:rPr>
            </w:r>
          </w:p>
        </w:tc>
      </w:tr>
      <w:tr>
        <w:trPr/>
        <w:tc>
          <w:tcPr>
            <w:shd w:val="clear" w:color="auto" w:fill="ffffff"/>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 Concepto</w:t>
            </w:r>
            <w:r>
              <w:rPr>
                <w:color w:val="000000" w:themeColor="text1"/>
              </w:rP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Cubierta</w:t>
            </w:r>
            <w:r>
              <w:rPr>
                <w:color w:val="000000" w:themeColor="text1"/>
              </w:rPr>
            </w:r>
          </w:p>
        </w:tc>
        <w:tc>
          <w:tcPr>
            <w:shd w:val="clear" w:color="auto" w:fill="ffffff"/>
            <w:tcBorders/>
            <w:tcMar>
              <w:left w:w="90" w:type="dxa"/>
              <w:top w:w="55" w:type="dxa"/>
              <w:right w:w="90" w:type="dxa"/>
              <w:bottom w:w="55" w:type="dxa"/>
            </w:tcMar>
            <w:tcW w:w="5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Identificación de necesidades, exploración de conceptos y propuesta de solución: documentos 1 y 2. La propuesta de solución se cierra con el documento 3 y con el presente.</w:t>
            </w:r>
            <w:r>
              <w:rPr>
                <w:color w:val="000000" w:themeColor="text1"/>
              </w:rPr>
            </w:r>
          </w:p>
        </w:tc>
      </w:tr>
      <w:tr>
        <w:trPr/>
        <w:tc>
          <w:tcPr>
            <w:shd w:val="clear" w:color="auto" w:fill="f2f2f2"/>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2. Desarrollo</w:t>
            </w:r>
            <w:r>
              <w:rPr>
                <w:color w:val="000000" w:themeColor="text1"/>
              </w:rP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Planificada aquí</w:t>
            </w:r>
            <w:r>
              <w:rPr>
                <w:color w:val="000000" w:themeColor="text1"/>
              </w:rPr>
            </w:r>
          </w:p>
        </w:tc>
        <w:tc>
          <w:tcPr>
            <w:shd w:val="clear" w:color="auto" w:fill="f2f2f2"/>
            <w:tcBorders/>
            <w:tcMar>
              <w:left w:w="90" w:type="dxa"/>
              <w:top w:w="55" w:type="dxa"/>
              <w:right w:w="90" w:type="dxa"/>
              <w:bottom w:w="55" w:type="dxa"/>
            </w:tcMar>
            <w:tcW w:w="5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Refinamiento de requisitos, construcción, verificación y validación. Es el objeto de las secciones 2.12 y siguientes.</w:t>
            </w:r>
            <w:r>
              <w:rPr>
                <w:color w:val="000000" w:themeColor="text1"/>
              </w:rPr>
            </w:r>
          </w:p>
        </w:tc>
      </w:tr>
      <w:tr>
        <w:trPr/>
        <w:tc>
          <w:tcPr>
            <w:shd w:val="clear" w:color="auto" w:fill="ffffff"/>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3. Producción</w:t>
            </w:r>
            <w:r>
              <w:rPr>
                <w:color w:val="000000" w:themeColor="text1"/>
              </w:rP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Declarada</w:t>
            </w:r>
            <w:r>
              <w:rPr>
                <w:color w:val="000000" w:themeColor="text1"/>
              </w:rPr>
            </w:r>
          </w:p>
        </w:tc>
        <w:tc>
          <w:tcPr>
            <w:shd w:val="clear" w:color="auto" w:fill="ffffff"/>
            <w:tcBorders/>
            <w:tcMar>
              <w:left w:w="90" w:type="dxa"/>
              <w:top w:w="55" w:type="dxa"/>
              <w:right w:w="90" w:type="dxa"/>
              <w:bottom w:w="55" w:type="dxa"/>
            </w:tcMar>
            <w:tcW w:w="5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Reducida en un sistema de información desplegado como servicio: se agota en la puesta en producción de la versión candidata que cierra IT-10.</w:t>
            </w:r>
            <w:r>
              <w:rPr>
                <w:color w:val="000000" w:themeColor="text1"/>
              </w:rPr>
            </w:r>
          </w:p>
        </w:tc>
      </w:tr>
      <w:tr>
        <w:trPr/>
        <w:tc>
          <w:tcPr>
            <w:shd w:val="clear" w:color="auto" w:fill="f2f2f2"/>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4. Utilización</w:t>
            </w:r>
            <w:r>
              <w:rPr>
                <w:color w:val="000000" w:themeColor="text1"/>
              </w:rP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Declarada</w:t>
            </w:r>
            <w:r>
              <w:rPr>
                <w:color w:val="000000" w:themeColor="text1"/>
              </w:rPr>
            </w:r>
          </w:p>
        </w:tc>
        <w:tc>
          <w:tcPr>
            <w:shd w:val="clear" w:color="auto" w:fill="f2f2f2"/>
            <w:tcBorders/>
            <w:tcMar>
              <w:left w:w="90" w:type="dxa"/>
              <w:top w:w="55" w:type="dxa"/>
              <w:right w:w="90" w:type="dxa"/>
              <w:bottom w:w="55" w:type="dxa"/>
            </w:tcMar>
            <w:tcW w:w="5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Operación de la plataforma por parte de U-02 y de los usuarios comerciales. Los umbrales que la gobiernan ya existen en el catálogo: disponibilidad de SYS-NFN-13 y rendimiento de SYS-NFN-08.</w:t>
            </w:r>
            <w:r>
              <w:rPr>
                <w:color w:val="000000" w:themeColor="text1"/>
              </w:rPr>
            </w:r>
          </w:p>
        </w:tc>
      </w:tr>
      <w:tr>
        <w:trPr/>
        <w:tc>
          <w:tcPr>
            <w:shd w:val="clear" w:color="auto" w:fill="ffffff"/>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5. Soporte</w:t>
            </w:r>
            <w:r>
              <w:rPr>
                <w:color w:val="000000" w:themeColor="text1"/>
              </w:rP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Declarada</w:t>
            </w:r>
            <w:r>
              <w:rPr>
                <w:color w:val="000000" w:themeColor="text1"/>
              </w:rPr>
            </w:r>
          </w:p>
        </w:tc>
        <w:tc>
          <w:tcPr>
            <w:shd w:val="clear" w:color="auto" w:fill="ffffff"/>
            <w:tcBorders/>
            <w:tcMar>
              <w:left w:w="90" w:type="dxa"/>
              <w:top w:w="55" w:type="dxa"/>
              <w:right w:w="90" w:type="dxa"/>
              <w:bottom w:w="55" w:type="dxa"/>
            </w:tcMar>
            <w:tcW w:w="5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Soportada por los procesos PS-01 y PS-02 del documento 1 y por el módulo M9. La escalada de segundo nivel hacia U-01 está prevista en la descripción de esa unidad.</w:t>
            </w:r>
            <w:r>
              <w:rPr>
                <w:color w:val="000000" w:themeColor="text1"/>
              </w:rPr>
            </w:r>
          </w:p>
        </w:tc>
      </w:tr>
      <w:tr>
        <w:trPr/>
        <w:tc>
          <w:tcPr>
            <w:shd w:val="clear" w:color="auto" w:fill="f2f2f2"/>
            <w:tcBorders/>
            <w:tcMar>
              <w:left w:w="90" w:type="dxa"/>
              <w:top w:w="55" w:type="dxa"/>
              <w:right w:w="90" w:type="dxa"/>
              <w:bottom w:w="55" w:type="dxa"/>
            </w:tcMar>
            <w:tcW w:w="1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6. Retiro</w:t>
            </w:r>
            <w:r>
              <w:rPr>
                <w:color w:val="000000" w:themeColor="text1"/>
              </w:rP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Declarada parcialmente</w:t>
            </w:r>
            <w:r>
              <w:rPr>
                <w:color w:val="000000" w:themeColor="text1"/>
              </w:rPr>
            </w:r>
          </w:p>
        </w:tc>
        <w:tc>
          <w:tcPr>
            <w:shd w:val="clear" w:color="auto" w:fill="f2f2f2"/>
            <w:tcBorders/>
            <w:tcMar>
              <w:left w:w="90" w:type="dxa"/>
              <w:top w:w="55" w:type="dxa"/>
              <w:right w:w="90" w:type="dxa"/>
              <w:bottom w:w="55" w:type="dxa"/>
            </w:tcMar>
            <w:tcW w:w="5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No se planifica el retiro del sistema, pero sí el del dato: la supresión programada a treinta días y el consentimiento informado exigidos por RF-10 y por la Ley No. 787 constituyen una política de disposición ya comprometida.</w:t>
            </w:r>
            <w:r>
              <w:rPr>
                <w:color w:val="000000" w:themeColor="text1"/>
              </w:rPr>
            </w:r>
          </w:p>
        </w:tc>
      </w:tr>
    </w:tbl>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La declaración de las etapas 3 a 6 sin planificarlas cumple una función concreta: impide que el horizonte de veinte semanas de la sección 2.12 se confunda con el ciclo de vida del producto. Son cosas distintas, y el riesgo RM-06 registra esa confusión como un riesgo del proceso.</w:t>
      </w:r>
      <w:r>
        <w:rPr>
          <w:color w:val="000000" w:themeColor="text1"/>
        </w:rPr>
      </w:r>
    </w:p>
    <w:p>
      <w:pPr>
        <w:pStyle w:val="918"/>
        <w:pBdr/>
        <w:spacing w:after="140" w:before="280"/>
        <w:ind/>
        <w:rPr>
          <w:color w:val="000000" w:themeColor="text1"/>
        </w:rPr>
      </w:pPr>
      <w:r>
        <w:rPr>
          <w:color w:val="000000" w:themeColor="text1"/>
        </w:rPr>
      </w:r>
      <w:bookmarkStart w:id="13" w:name="_Toc13"/>
      <w:r>
        <w:rPr>
          <w:rFonts w:ascii="Calibri" w:hAnsi="Calibri" w:eastAsia="Calibri" w:cs="Calibri"/>
          <w:b/>
          <w:bCs/>
          <w:color w:val="000000" w:themeColor="text1"/>
          <w:sz w:val="25"/>
          <w:szCs w:val="25"/>
        </w:rPr>
        <w:t xml:space="preserve">2.4 Paradigma de ciclo de vida adoptado</w:t>
      </w:r>
      <w:bookmarkEnd w:id="13"/>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Antes de elegir un modelo conviene fijar el paradigma, porque el paradigma decide qué modelos son siquiera admisibles. Se examinan los cinco que el apartado 2.4 del capítulo 10 del SWEBOK enumera, más la dimensión de apertura al cambio.</w:t>
      </w:r>
      <w:r>
        <w:rPr>
          <w:color w:val="000000" w:themeColor="text1"/>
        </w:rPr>
      </w:r>
    </w:p>
    <w:p>
      <w:pPr>
        <w:pBdr/>
        <w:spacing w:after="6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1500"/>
        <w:gridCol w:w="3300"/>
        <w:gridCol w:w="1300"/>
        <w:gridCol w:w="2970"/>
      </w:tblGrid>
      <w:tr>
        <w:trPr>
          <w:tblHeader/>
        </w:trPr>
        <w:tc>
          <w:tcPr>
            <w:shd w:val="clear" w:color="auto" w:fill="dce6f1"/>
            <w:tcBorders/>
            <w:tcMar>
              <w:left w:w="90" w:type="dxa"/>
              <w:top w:w="60" w:type="dxa"/>
              <w:right w:w="90" w:type="dxa"/>
              <w:bottom w:w="60" w:type="dxa"/>
            </w:tcMar>
            <w:tcW w:w="15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Paradigma</w:t>
            </w:r>
            <w:r>
              <w:rPr>
                <w:color w:val="000000" w:themeColor="text1"/>
              </w:rPr>
            </w:r>
          </w:p>
        </w:tc>
        <w:tc>
          <w:tcPr>
            <w:shd w:val="clear" w:color="auto" w:fill="dce6f1"/>
            <w:tcBorders/>
            <w:tcMar>
              <w:left w:w="90" w:type="dxa"/>
              <w:top w:w="60" w:type="dxa"/>
              <w:right w:w="90" w:type="dxa"/>
              <w:bottom w:w="60" w:type="dxa"/>
            </w:tcMar>
            <w:tcW w:w="33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Contenido según la fuente</w:t>
            </w:r>
            <w:r>
              <w:rPr>
                <w:color w:val="000000" w:themeColor="text1"/>
              </w:rPr>
            </w:r>
          </w:p>
        </w:tc>
        <w:tc>
          <w:tcPr>
            <w:shd w:val="clear" w:color="auto" w:fill="dce6f1"/>
            <w:tcBorders/>
            <w:tcMar>
              <w:left w:w="90" w:type="dxa"/>
              <w:top w:w="60" w:type="dxa"/>
              <w:right w:w="90" w:type="dxa"/>
              <w:bottom w:w="60" w:type="dxa"/>
            </w:tcMar>
            <w:tcW w:w="13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Veredicto</w:t>
            </w:r>
            <w:r>
              <w:rPr>
                <w:color w:val="000000" w:themeColor="text1"/>
              </w:rPr>
            </w:r>
          </w:p>
        </w:tc>
        <w:tc>
          <w:tcPr>
            <w:shd w:val="clear" w:color="auto" w:fill="dce6f1"/>
            <w:tcBorders/>
            <w:tcMar>
              <w:left w:w="90" w:type="dxa"/>
              <w:top w:w="60" w:type="dxa"/>
              <w:right w:w="90" w:type="dxa"/>
              <w:bottom w:w="60" w:type="dxa"/>
            </w:tcMar>
            <w:tcW w:w="29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Justificación</w:t>
            </w:r>
            <w:r>
              <w:rPr>
                <w:color w:val="000000" w:themeColor="text1"/>
              </w:rPr>
            </w:r>
          </w:p>
        </w:tc>
      </w:tr>
      <w:tr>
        <w:trPr/>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Predictivo</w:t>
            </w:r>
            <w:r>
              <w:rPr>
                <w:color w:val="000000" w:themeColor="text1"/>
              </w:rPr>
            </w:r>
          </w:p>
        </w:tc>
        <w:tc>
          <w:tcPr>
            <w:shd w:val="clear" w:color="auto" w:fill="ffffff"/>
            <w:tcBorders/>
            <w:tcMar>
              <w:left w:w="90" w:type="dxa"/>
              <w:top w:w="55" w:type="dxa"/>
              <w:right w:w="90" w:type="dxa"/>
              <w:bottom w:w="55" w:type="dxa"/>
            </w:tcMar>
            <w:tcW w:w="3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alcance, el tiempo y el costo se determinan en la fase temprana; se asume que los requisitos son un conjunto cerrado que no cambiará salvo fuerza mayor.</w:t>
            </w:r>
            <w:r>
              <w:rPr>
                <w:color w:val="000000" w:themeColor="text1"/>
              </w:rPr>
            </w:r>
          </w:p>
        </w:tc>
        <w:tc>
          <w:tcPr>
            <w:shd w:val="clear" w:color="auto" w:fill="ffffff"/>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Inadmisible</w:t>
            </w:r>
            <w:r>
              <w:rPr>
                <w:color w:val="000000" w:themeColor="text1"/>
              </w:rPr>
            </w:r>
          </w:p>
        </w:tc>
        <w:tc>
          <w:tcPr>
            <w:shd w:val="clear" w:color="auto" w:fill="ffffff"/>
            <w:tcBorders/>
            <w:tcMar>
              <w:left w:w="90" w:type="dxa"/>
              <w:top w:w="55" w:type="dxa"/>
              <w:right w:w="90" w:type="dxa"/>
              <w:bottom w:w="55" w:type="dxa"/>
            </w:tcMar>
            <w:tcW w:w="29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Contradice FD-11, porque la serie ya declaró abierta la especificación, y FD-12, porque la hipótesis de negocio no está validada. Adoptarlo obligaría a retractarse de una declaración previa.</w:t>
            </w:r>
            <w:r>
              <w:rPr>
                <w:color w:val="000000" w:themeColor="text1"/>
              </w:rPr>
            </w:r>
          </w:p>
        </w:tc>
      </w:tr>
      <w:tr>
        <w:trPr/>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Iterativo</w:t>
            </w:r>
            <w:r>
              <w:rPr>
                <w:color w:val="000000" w:themeColor="text1"/>
              </w:rPr>
            </w:r>
          </w:p>
        </w:tc>
        <w:tc>
          <w:tcPr>
            <w:shd w:val="clear" w:color="auto" w:fill="f2f2f2"/>
            <w:tcBorders/>
            <w:tcMar>
              <w:left w:w="90" w:type="dxa"/>
              <w:top w:w="55" w:type="dxa"/>
              <w:right w:w="90" w:type="dxa"/>
              <w:bottom w:w="55" w:type="dxa"/>
            </w:tcMar>
            <w:tcW w:w="3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alcance general se determina temprano, pero el tiempo y el costo se modifican de forma rutinaria a medida que el equipo comprende mejor el producto; el producto se desarrolla mediante ciclos repetidos.</w:t>
            </w:r>
            <w:r>
              <w:rPr>
                <w:color w:val="000000" w:themeColor="text1"/>
              </w:rPr>
            </w:r>
          </w:p>
        </w:tc>
        <w:tc>
          <w:tcPr>
            <w:shd w:val="clear" w:color="auto" w:fill="f2f2f2"/>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Adoptado</w:t>
            </w:r>
            <w:r>
              <w:rPr>
                <w:color w:val="000000" w:themeColor="text1"/>
              </w:rPr>
            </w:r>
          </w:p>
        </w:tc>
        <w:tc>
          <w:tcPr>
            <w:shd w:val="clear" w:color="auto" w:fill="f2f2f2"/>
            <w:tcBorders/>
            <w:tcMar>
              <w:left w:w="90" w:type="dxa"/>
              <w:top w:w="55" w:type="dxa"/>
              <w:right w:w="90" w:type="dxa"/>
              <w:bottom w:w="55" w:type="dxa"/>
            </w:tcMar>
            <w:tcW w:w="29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Describe con exactitud la situación: el alcance general está fijado por el catálogo y por la arquitectura, pero la estimación de esfuerzo de la sección 2.12 es incierta y debe recalibrarse con medición.</w:t>
            </w:r>
            <w:r>
              <w:rPr>
                <w:color w:val="000000" w:themeColor="text1"/>
              </w:rPr>
            </w:r>
          </w:p>
        </w:tc>
      </w:tr>
      <w:tr>
        <w:trPr/>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Evolutivo</w:t>
            </w:r>
            <w:r>
              <w:rPr>
                <w:color w:val="000000" w:themeColor="text1"/>
              </w:rPr>
            </w:r>
          </w:p>
        </w:tc>
        <w:tc>
          <w:tcPr>
            <w:shd w:val="clear" w:color="auto" w:fill="ffffff"/>
            <w:tcBorders/>
            <w:tcMar>
              <w:left w:w="90" w:type="dxa"/>
              <w:top w:w="55" w:type="dxa"/>
              <w:right w:w="90" w:type="dxa"/>
              <w:bottom w:w="55" w:type="dxa"/>
            </w:tcMar>
            <w:tcW w:w="3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producto cambia a lo largo de su vida; los requisitos se introducen en pasos sucesivos y no como un conjunto atómico completo.</w:t>
            </w:r>
            <w:r>
              <w:rPr>
                <w:color w:val="000000" w:themeColor="text1"/>
              </w:rPr>
            </w:r>
          </w:p>
        </w:tc>
        <w:tc>
          <w:tcPr>
            <w:shd w:val="clear" w:color="auto" w:fill="ffffff"/>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Adoptado en parte</w:t>
            </w:r>
            <w:r>
              <w:rPr>
                <w:color w:val="000000" w:themeColor="text1"/>
              </w:rPr>
            </w:r>
          </w:p>
        </w:tc>
        <w:tc>
          <w:tcPr>
            <w:shd w:val="clear" w:color="auto" w:fill="ffffff"/>
            <w:tcBorders/>
            <w:tcMar>
              <w:left w:w="90" w:type="dxa"/>
              <w:top w:w="55" w:type="dxa"/>
              <w:right w:w="90" w:type="dxa"/>
              <w:bottom w:w="55" w:type="dxa"/>
            </w:tcMar>
            <w:tcW w:w="29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Aplica a la relación entre el catálogo vigente y sus versiones menores posteriores, previstas por la estrategia híbrida de versionado del documento 2. No aplica dentro del horizonte del MVP, donde el conjunto comprometido sí es estable.</w:t>
            </w:r>
            <w:r>
              <w:rPr>
                <w:color w:val="000000" w:themeColor="text1"/>
              </w:rPr>
            </w:r>
          </w:p>
        </w:tc>
      </w:tr>
      <w:tr>
        <w:trPr/>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Incremental</w:t>
            </w:r>
            <w:r>
              <w:rPr>
                <w:color w:val="000000" w:themeColor="text1"/>
              </w:rPr>
            </w:r>
          </w:p>
        </w:tc>
        <w:tc>
          <w:tcPr>
            <w:shd w:val="clear" w:color="auto" w:fill="f2f2f2"/>
            <w:tcBorders/>
            <w:tcMar>
              <w:left w:w="90" w:type="dxa"/>
              <w:top w:w="55" w:type="dxa"/>
              <w:right w:w="90" w:type="dxa"/>
              <w:bottom w:w="55" w:type="dxa"/>
            </w:tcMar>
            <w:tcW w:w="3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entregable se produce mediante iteraciones que añaden funcionalidad de forma sucesiva dentro de un marco temporal predeterminado; la definición, el diseño, la implementación y las pruebas ocurren de forma solapada y no secuencial.</w:t>
            </w:r>
            <w:r>
              <w:rPr>
                <w:color w:val="000000" w:themeColor="text1"/>
              </w:rPr>
            </w:r>
          </w:p>
        </w:tc>
        <w:tc>
          <w:tcPr>
            <w:shd w:val="clear" w:color="auto" w:fill="f2f2f2"/>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Adoptado</w:t>
            </w:r>
            <w:r>
              <w:rPr>
                <w:color w:val="000000" w:themeColor="text1"/>
              </w:rPr>
            </w:r>
          </w:p>
        </w:tc>
        <w:tc>
          <w:tcPr>
            <w:shd w:val="clear" w:color="auto" w:fill="f2f2f2"/>
            <w:tcBorders/>
            <w:tcMar>
              <w:left w:w="90" w:type="dxa"/>
              <w:top w:w="55" w:type="dxa"/>
              <w:right w:w="90" w:type="dxa"/>
              <w:bottom w:w="55" w:type="dxa"/>
            </w:tcMar>
            <w:tcW w:w="29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Es la respuesta directa a FD-10 y al razonamiento económico de 2.2. El marco temporal predeterminado es el horizonte de veinte semanas.</w:t>
            </w:r>
            <w:r>
              <w:rPr>
                <w:color w:val="000000" w:themeColor="text1"/>
              </w:rPr>
            </w:r>
          </w:p>
        </w:tc>
      </w:tr>
      <w:tr>
        <w:trPr/>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Continuo</w:t>
            </w:r>
            <w:r>
              <w:rPr>
                <w:color w:val="000000" w:themeColor="text1"/>
              </w:rPr>
            </w:r>
          </w:p>
        </w:tc>
        <w:tc>
          <w:tcPr>
            <w:shd w:val="clear" w:color="auto" w:fill="ffffff"/>
            <w:tcBorders/>
            <w:tcMar>
              <w:left w:w="90" w:type="dxa"/>
              <w:top w:w="55" w:type="dxa"/>
              <w:right w:w="90" w:type="dxa"/>
              <w:bottom w:w="55" w:type="dxa"/>
            </w:tcMar>
            <w:tcW w:w="3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Prácticas que permiten lanzamientos frecuentes a entornos de preparación o de prueba mediante herramientas automatizadas. Base de DevOps.</w:t>
            </w:r>
            <w:r>
              <w:rPr>
                <w:color w:val="000000" w:themeColor="text1"/>
              </w:rPr>
            </w:r>
          </w:p>
        </w:tc>
        <w:tc>
          <w:tcPr>
            <w:shd w:val="clear" w:color="auto" w:fill="ffffff"/>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Adoptado solo como prácticas</w:t>
            </w:r>
            <w:r>
              <w:rPr>
                <w:color w:val="000000" w:themeColor="text1"/>
              </w:rPr>
            </w:r>
          </w:p>
        </w:tc>
        <w:tc>
          <w:tcPr>
            <w:shd w:val="clear" w:color="auto" w:fill="ffffff"/>
            <w:tcBorders/>
            <w:tcMar>
              <w:left w:w="90" w:type="dxa"/>
              <w:top w:w="55" w:type="dxa"/>
              <w:right w:w="90" w:type="dxa"/>
              <w:bottom w:w="55" w:type="dxa"/>
            </w:tcMar>
            <w:tcW w:w="29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integración y la verificación continuas son exigidas por FD-03. El despliegue continuo a producción no se adopta: en un mercado con transacciones comprometidas entre terceros, y sin personal de operación por RO-02, la ausencia de una ventana de control humano sería un riesgo desproporcionado en el MVP.</w:t>
            </w:r>
            <w:r>
              <w:rPr>
                <w:color w:val="000000" w:themeColor="text1"/>
              </w:rPr>
            </w:r>
          </w:p>
        </w:tc>
      </w:tr>
    </w:tbl>
    <w:p>
      <w:pPr>
        <w:pBdr/>
        <w:spacing w:after="60"/>
        <w:ind/>
        <w:rPr>
          <w:color w:val="000000" w:themeColor="text1"/>
        </w:rPr>
      </w:pP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Dimensión de apertura al cambio.</w:t>
      </w:r>
      <w:r>
        <w:rPr>
          <w:rFonts w:ascii="Calibri" w:hAnsi="Calibri" w:eastAsia="Calibri" w:cs="Calibri"/>
          <w:b w:val="0"/>
          <w:bCs w:val="0"/>
          <w:i w:val="0"/>
          <w:iCs w:val="0"/>
          <w:color w:val="000000" w:themeColor="text1"/>
          <w:sz w:val="22"/>
          <w:szCs w:val="22"/>
        </w:rPr>
        <w:t xml:space="preserve"> El ciclo de vida se declara </w:t>
      </w:r>
      <w:r>
        <w:rPr>
          <w:rFonts w:ascii="Calibri" w:hAnsi="Calibri" w:eastAsia="Calibri" w:cs="Calibri"/>
          <w:b/>
          <w:bCs/>
          <w:i w:val="0"/>
          <w:iCs w:val="0"/>
          <w:color w:val="000000" w:themeColor="text1"/>
          <w:sz w:val="22"/>
          <w:szCs w:val="22"/>
        </w:rPr>
        <w:t xml:space="preserve">abierto al cambio</w:t>
      </w:r>
      <w:r>
        <w:rPr>
          <w:rFonts w:ascii="Calibri" w:hAnsi="Calibri" w:eastAsia="Calibri" w:cs="Calibri"/>
          <w:b w:val="0"/>
          <w:bCs w:val="0"/>
          <w:i w:val="0"/>
          <w:iCs w:val="0"/>
          <w:color w:val="000000" w:themeColor="text1"/>
          <w:sz w:val="22"/>
          <w:szCs w:val="22"/>
        </w:rPr>
        <w:t xml:space="preserve">, en el sentido preciso de la fuente: la especificación puede modificarse en cualquier punto previa negociación entre las partes interesadas. Esa apertura no es ilimitada. El documento 2 verificó sobre el conjunto del catálogo la propiedad colectiva de estar acotado, del apartado 5.2.6 de ISO/IEC/IEEE 29148:2011, y la declaró barrera activa contra el crecimiento del alcance. La decisión DM-09 concilia ambas cosas mediante una regla de intercambio y no de adición.</w:t>
      </w:r>
      <w:r>
        <w:rPr>
          <w:color w:val="000000" w:themeColor="text1"/>
        </w:rPr>
      </w:r>
    </w:p>
    <w:p>
      <w:pPr>
        <w:pBdr/>
        <w:spacing w:after="60"/>
        <w:ind/>
        <w:rPr>
          <w:color w:val="000000" w:themeColor="text1"/>
        </w:rPr>
      </w:pP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Paradigma resultante:</w:t>
      </w:r>
      <w:r>
        <w:rPr>
          <w:rFonts w:ascii="Calibri" w:hAnsi="Calibri" w:eastAsia="Calibri" w:cs="Calibri"/>
          <w:b w:val="0"/>
          <w:bCs w:val="0"/>
          <w:i w:val="0"/>
          <w:iCs w:val="0"/>
          <w:color w:val="000000" w:themeColor="text1"/>
          <w:sz w:val="22"/>
          <w:szCs w:val="22"/>
        </w:rPr>
        <w:t xml:space="preserve"> iterativo e incremental, abierto al cambio, con prácticas de integración y verificación continuas.</w:t>
      </w:r>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Se hace notar que la fuente advierte que un modelo incremental no es necesariamente adaptativo: puede ser predictivo si los requisitos se cierran antes de comenzar cualquier otra fase. La combinación aquí adoptada es deliberadamente la adaptativa, y la sección 2.9 declara el costo que eso comporta.</w:t>
      </w:r>
      <w:r>
        <w:rPr>
          <w:color w:val="000000" w:themeColor="text1"/>
        </w:rPr>
      </w:r>
    </w:p>
    <w:p>
      <w:pPr>
        <w:pStyle w:val="918"/>
        <w:pBdr/>
        <w:spacing w:after="140" w:before="280"/>
        <w:ind/>
        <w:rPr>
          <w:color w:val="000000" w:themeColor="text1"/>
        </w:rPr>
      </w:pPr>
      <w:r>
        <w:rPr>
          <w:color w:val="000000" w:themeColor="text1"/>
        </w:rPr>
      </w:r>
      <w:bookmarkStart w:id="14" w:name="_Toc14"/>
      <w:r>
        <w:rPr>
          <w:rFonts w:ascii="Calibri" w:hAnsi="Calibri" w:eastAsia="Calibri" w:cs="Calibri"/>
          <w:b/>
          <w:bCs/>
          <w:color w:val="000000" w:themeColor="text1"/>
          <w:sz w:val="25"/>
          <w:szCs w:val="25"/>
        </w:rPr>
        <w:t xml:space="preserve">2.5 Modelos de ciclo de vida evaluados</w:t>
      </w:r>
      <w:bookmarkEnd w:id="14"/>
      <w:r>
        <w:rPr>
          <w:color w:val="000000" w:themeColor="text1"/>
        </w:rPr>
      </w:r>
    </w:p>
    <w:p>
      <w:pPr>
        <w:pStyle w:val="919"/>
        <w:pBdr/>
        <w:spacing w:after="140" w:before="280"/>
        <w:ind/>
        <w:rPr>
          <w:color w:val="000000" w:themeColor="text1"/>
        </w:rPr>
      </w:pPr>
      <w:r>
        <w:rPr>
          <w:color w:val="000000" w:themeColor="text1"/>
        </w:rPr>
      </w:r>
      <w:bookmarkStart w:id="15" w:name="_Toc15"/>
      <w:r>
        <w:rPr>
          <w:rFonts w:ascii="Calibri" w:hAnsi="Calibri" w:eastAsia="Calibri" w:cs="Calibri"/>
          <w:b/>
          <w:bCs/>
          <w:color w:val="000000" w:themeColor="text1"/>
          <w:sz w:val="23"/>
          <w:szCs w:val="23"/>
        </w:rPr>
        <w:t xml:space="preserve">2.5.1 Universo considerado y descarte previo</w:t>
      </w:r>
      <w:bookmarkEnd w:id="15"/>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El universo de partida son los cinco modelos que el apartado 2.3 del capítulo 10 del SWEBOK reconoce como canónicos, más los modelos específicos que el apartado 2.5 describe con su dimensión de ingeniería. El descarte previo elimina los que resultan inadmisibles por el paradigma ya fijado o desproporcionados al caso, de modo que la evaluación detallada opere sobre un número manejable de candidatos reales.</w:t>
      </w:r>
      <w:r>
        <w:rPr>
          <w:color w:val="000000" w:themeColor="text1"/>
        </w:rPr>
      </w:r>
    </w:p>
    <w:p>
      <w:pPr>
        <w:pBdr/>
        <w:spacing w:after="6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1800"/>
        <w:gridCol w:w="1350"/>
        <w:gridCol w:w="5920"/>
      </w:tblGrid>
      <w:tr>
        <w:trPr>
          <w:tblHeader/>
        </w:trPr>
        <w:tc>
          <w:tcPr>
            <w:shd w:val="clear" w:color="auto" w:fill="dce6f1"/>
            <w:tcBorders/>
            <w:tcMar>
              <w:left w:w="90" w:type="dxa"/>
              <w:top w:w="60" w:type="dxa"/>
              <w:right w:w="90" w:type="dxa"/>
              <w:bottom w:w="60" w:type="dxa"/>
            </w:tcMar>
            <w:tcW w:w="18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Modelo</w:t>
            </w:r>
            <w:r>
              <w:rPr>
                <w:color w:val="000000" w:themeColor="text1"/>
              </w:rPr>
            </w:r>
          </w:p>
        </w:tc>
        <w:tc>
          <w:tcPr>
            <w:shd w:val="clear" w:color="auto" w:fill="dce6f1"/>
            <w:tcBorders/>
            <w:tcMar>
              <w:left w:w="90" w:type="dxa"/>
              <w:top w:w="60" w:type="dxa"/>
              <w:right w:w="90" w:type="dxa"/>
              <w:bottom w:w="60" w:type="dxa"/>
            </w:tcMar>
            <w:tcW w:w="135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Situación</w:t>
            </w:r>
            <w:r>
              <w:rPr>
                <w:color w:val="000000" w:themeColor="text1"/>
              </w:rPr>
            </w:r>
          </w:p>
        </w:tc>
        <w:tc>
          <w:tcPr>
            <w:shd w:val="clear" w:color="auto" w:fill="dce6f1"/>
            <w:tcBorders/>
            <w:tcMar>
              <w:left w:w="90" w:type="dxa"/>
              <w:top w:w="60" w:type="dxa"/>
              <w:right w:w="90" w:type="dxa"/>
              <w:bottom w:w="60" w:type="dxa"/>
            </w:tcMar>
            <w:tcW w:w="592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Motivo</w:t>
            </w:r>
            <w:r>
              <w:rPr>
                <w:color w:val="000000" w:themeColor="text1"/>
              </w:rPr>
            </w:r>
          </w:p>
        </w:tc>
      </w:tr>
      <w:tr>
        <w:trPr/>
        <w:tc>
          <w:tcPr>
            <w:shd w:val="clear" w:color="auto" w:fill="ffffff"/>
            <w:tcBorders/>
            <w:tcMar>
              <w:left w:w="90" w:type="dxa"/>
              <w:top w:w="55" w:type="dxa"/>
              <w:right w:w="90" w:type="dxa"/>
              <w:bottom w:w="55" w:type="dxa"/>
            </w:tcMar>
            <w:tcW w:w="1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Cascada</w:t>
            </w:r>
            <w:r>
              <w:rPr>
                <w:color w:val="000000" w:themeColor="text1"/>
              </w:rPr>
            </w:r>
          </w:p>
        </w:tc>
        <w:tc>
          <w:tcPr>
            <w:shd w:val="clear" w:color="auto" w:fill="ffffff"/>
            <w:tcBorders/>
            <w:tcMar>
              <w:left w:w="90" w:type="dxa"/>
              <w:top w:w="55" w:type="dxa"/>
              <w:right w:w="90" w:type="dxa"/>
              <w:bottom w:w="55" w:type="dxa"/>
            </w:tcMar>
            <w:tcW w:w="13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Descartado</w:t>
            </w:r>
            <w:r>
              <w:rPr>
                <w:color w:val="000000" w:themeColor="text1"/>
              </w:rPr>
            </w:r>
          </w:p>
        </w:tc>
        <w:tc>
          <w:tcPr>
            <w:shd w:val="clear" w:color="auto" w:fill="ffffff"/>
            <w:tcBorders/>
            <w:tcMar>
              <w:left w:w="90" w:type="dxa"/>
              <w:top w:w="55" w:type="dxa"/>
              <w:right w:w="90" w:type="dxa"/>
              <w:bottom w:w="55" w:type="dxa"/>
            </w:tcMar>
            <w:tcW w:w="59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Paradigma predictivo e impulsado por documentos, con fases estrictas y entrega única al final. Inadmisible por FD-11 y FD-12, e incompatible con FD-10.</w:t>
            </w:r>
            <w:r>
              <w:rPr>
                <w:color w:val="000000" w:themeColor="text1"/>
              </w:rPr>
            </w:r>
          </w:p>
        </w:tc>
      </w:tr>
      <w:tr>
        <w:trPr/>
        <w:tc>
          <w:tcPr>
            <w:shd w:val="clear" w:color="auto" w:fill="f2f2f2"/>
            <w:tcBorders/>
            <w:tcMar>
              <w:left w:w="90" w:type="dxa"/>
              <w:top w:w="55" w:type="dxa"/>
              <w:right w:w="90" w:type="dxa"/>
              <w:bottom w:w="55" w:type="dxa"/>
            </w:tcMar>
            <w:tcW w:w="1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Modelo en V</w:t>
            </w:r>
            <w:r>
              <w:rPr>
                <w:color w:val="000000" w:themeColor="text1"/>
              </w:rPr>
            </w:r>
          </w:p>
        </w:tc>
        <w:tc>
          <w:tcPr>
            <w:shd w:val="clear" w:color="auto" w:fill="f2f2f2"/>
            <w:tcBorders/>
            <w:tcMar>
              <w:left w:w="90" w:type="dxa"/>
              <w:top w:w="55" w:type="dxa"/>
              <w:right w:w="90" w:type="dxa"/>
              <w:bottom w:w="55" w:type="dxa"/>
            </w:tcMar>
            <w:tcW w:w="135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Retenido como alternativa A</w:t>
            </w:r>
            <w:r>
              <w:rPr>
                <w:color w:val="000000" w:themeColor="text1"/>
              </w:rPr>
            </w:r>
          </w:p>
        </w:tc>
        <w:tc>
          <w:tcPr>
            <w:shd w:val="clear" w:color="auto" w:fill="f2f2f2"/>
            <w:tcBorders/>
            <w:tcMar>
              <w:left w:w="90" w:type="dxa"/>
              <w:top w:w="55" w:type="dxa"/>
              <w:right w:w="90" w:type="dxa"/>
              <w:bottom w:w="55" w:type="dxa"/>
            </w:tcMar>
            <w:tcW w:w="59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Aunque predictivo, su aportación —planificar la verificación desde el inicio, emparejando cada fase de construcción con su fase de prueba— es valiosa y merece evaluarse antes de descartarla. Sirve además de contraste: si el modelo predictivo puntuara alto, la elección adaptativa sería una preferencia y no una conclusión.</w:t>
            </w:r>
            <w:r>
              <w:rPr>
                <w:color w:val="000000" w:themeColor="text1"/>
              </w:rPr>
            </w:r>
          </w:p>
        </w:tc>
      </w:tr>
      <w:tr>
        <w:trPr/>
        <w:tc>
          <w:tcPr>
            <w:shd w:val="clear" w:color="auto" w:fill="ffffff"/>
            <w:tcBorders/>
            <w:tcMar>
              <w:left w:w="90" w:type="dxa"/>
              <w:top w:w="55" w:type="dxa"/>
              <w:right w:w="90" w:type="dxa"/>
              <w:bottom w:w="55" w:type="dxa"/>
            </w:tcMar>
            <w:tcW w:w="1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Incremental</w:t>
            </w:r>
            <w:r>
              <w:rPr>
                <w:color w:val="000000" w:themeColor="text1"/>
              </w:rPr>
            </w:r>
          </w:p>
        </w:tc>
        <w:tc>
          <w:tcPr>
            <w:shd w:val="clear" w:color="auto" w:fill="ffffff"/>
            <w:tcBorders/>
            <w:tcMar>
              <w:left w:w="90" w:type="dxa"/>
              <w:top w:w="55" w:type="dxa"/>
              <w:right w:w="90" w:type="dxa"/>
              <w:bottom w:w="55" w:type="dxa"/>
            </w:tcMar>
            <w:tcW w:w="135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Retenido, integrado en la alternativa B</w:t>
            </w:r>
            <w:r>
              <w:rPr>
                <w:color w:val="000000" w:themeColor="text1"/>
              </w:rPr>
            </w:r>
          </w:p>
        </w:tc>
        <w:tc>
          <w:tcPr>
            <w:shd w:val="clear" w:color="auto" w:fill="ffffff"/>
            <w:tcBorders/>
            <w:tcMar>
              <w:left w:w="90" w:type="dxa"/>
              <w:top w:w="55" w:type="dxa"/>
              <w:right w:w="90" w:type="dxa"/>
              <w:bottom w:w="55" w:type="dxa"/>
            </w:tcMar>
            <w:tcW w:w="59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Es el modelo base del paradigma adoptado. No se evalúa aislado porque, por sí solo, no prescribe cómo se gestiona la iteración; necesita un marco de gestión que lo complete.</w:t>
            </w:r>
            <w:r>
              <w:rPr>
                <w:color w:val="000000" w:themeColor="text1"/>
              </w:rPr>
            </w:r>
          </w:p>
        </w:tc>
      </w:tr>
      <w:tr>
        <w:trPr/>
        <w:tc>
          <w:tcPr>
            <w:shd w:val="clear" w:color="auto" w:fill="f2f2f2"/>
            <w:tcBorders/>
            <w:tcMar>
              <w:left w:w="90" w:type="dxa"/>
              <w:top w:w="55" w:type="dxa"/>
              <w:right w:w="90" w:type="dxa"/>
              <w:bottom w:w="55" w:type="dxa"/>
            </w:tcMar>
            <w:tcW w:w="1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Espiral</w:t>
            </w:r>
            <w:r>
              <w:rPr>
                <w:color w:val="000000" w:themeColor="text1"/>
              </w:rPr>
            </w:r>
          </w:p>
        </w:tc>
        <w:tc>
          <w:tcPr>
            <w:shd w:val="clear" w:color="auto" w:fill="f2f2f2"/>
            <w:tcBorders/>
            <w:tcMar>
              <w:left w:w="90" w:type="dxa"/>
              <w:top w:w="55" w:type="dxa"/>
              <w:right w:w="90" w:type="dxa"/>
              <w:bottom w:w="55" w:type="dxa"/>
            </w:tcMar>
            <w:tcW w:w="13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Descartado como modelo global; retenido como principio local</w:t>
            </w:r>
            <w:r>
              <w:rPr>
                <w:color w:val="000000" w:themeColor="text1"/>
              </w:rPr>
            </w:r>
          </w:p>
        </w:tc>
        <w:tc>
          <w:tcPr>
            <w:shd w:val="clear" w:color="auto" w:fill="f2f2f2"/>
            <w:tcBorders/>
            <w:tcMar>
              <w:left w:w="90" w:type="dxa"/>
              <w:top w:w="55" w:type="dxa"/>
              <w:right w:w="90" w:type="dxa"/>
              <w:bottom w:w="55" w:type="dxa"/>
            </w:tcMar>
            <w:tcW w:w="59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Impulsado por riesgos, con evaluación y reducción de riesgo en cada vuelta. La fuente advierte que es complejo y exige experiencia en gestión de riesgos, y la tabla comparativa del capítulo lo indica para proyectos grandes y de alto riesgo. Su principio rector —atacar primero el riesgo mayor— se conserva en la decisión DM-08.</w:t>
            </w:r>
            <w:r>
              <w:rPr>
                <w:color w:val="000000" w:themeColor="text1"/>
              </w:rPr>
            </w:r>
          </w:p>
        </w:tc>
      </w:tr>
      <w:tr>
        <w:trPr/>
        <w:tc>
          <w:tcPr>
            <w:shd w:val="clear" w:color="auto" w:fill="ffffff"/>
            <w:tcBorders/>
            <w:tcMar>
              <w:left w:w="90" w:type="dxa"/>
              <w:top w:w="55" w:type="dxa"/>
              <w:right w:w="90" w:type="dxa"/>
              <w:bottom w:w="55" w:type="dxa"/>
            </w:tcMar>
            <w:tcW w:w="1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Prototipado rápido</w:t>
            </w:r>
            <w:r>
              <w:rPr>
                <w:color w:val="000000" w:themeColor="text1"/>
              </w:rPr>
            </w:r>
          </w:p>
        </w:tc>
        <w:tc>
          <w:tcPr>
            <w:shd w:val="clear" w:color="auto" w:fill="ffffff"/>
            <w:tcBorders/>
            <w:tcMar>
              <w:left w:w="90" w:type="dxa"/>
              <w:top w:w="55" w:type="dxa"/>
              <w:right w:w="90" w:type="dxa"/>
              <w:bottom w:w="55" w:type="dxa"/>
            </w:tcMar>
            <w:tcW w:w="13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Descartado como modelo global; retenido como técnica</w:t>
            </w:r>
            <w:r>
              <w:rPr>
                <w:color w:val="000000" w:themeColor="text1"/>
              </w:rPr>
            </w:r>
          </w:p>
        </w:tc>
        <w:tc>
          <w:tcPr>
            <w:shd w:val="clear" w:color="auto" w:fill="ffffff"/>
            <w:tcBorders/>
            <w:tcMar>
              <w:left w:w="90" w:type="dxa"/>
              <w:top w:w="55" w:type="dxa"/>
              <w:right w:w="90" w:type="dxa"/>
              <w:bottom w:w="55" w:type="dxa"/>
            </w:tcMar>
            <w:tcW w:w="59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Su paradigma es exploratorio y su riesgo característico, que la fuente señala, es que el prototipo acabe convertido en producto. Se emplea localmente en los términos de la sección 2.15.</w:t>
            </w:r>
            <w:r>
              <w:rPr>
                <w:color w:val="000000" w:themeColor="text1"/>
              </w:rPr>
            </w:r>
          </w:p>
        </w:tc>
      </w:tr>
      <w:tr>
        <w:trPr/>
        <w:tc>
          <w:tcPr>
            <w:shd w:val="clear" w:color="auto" w:fill="f2f2f2"/>
            <w:tcBorders/>
            <w:tcMar>
              <w:left w:w="90" w:type="dxa"/>
              <w:top w:w="55" w:type="dxa"/>
              <w:right w:w="90" w:type="dxa"/>
              <w:bottom w:w="55" w:type="dxa"/>
            </w:tcMar>
            <w:tcW w:w="1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Proceso Unificado, RUP y OpenUP</w:t>
            </w:r>
            <w:r>
              <w:rPr>
                <w:color w:val="000000" w:themeColor="text1"/>
              </w:rPr>
            </w:r>
          </w:p>
        </w:tc>
        <w:tc>
          <w:tcPr>
            <w:shd w:val="clear" w:color="auto" w:fill="f2f2f2"/>
            <w:tcBorders/>
            <w:tcMar>
              <w:left w:w="90" w:type="dxa"/>
              <w:top w:w="55" w:type="dxa"/>
              <w:right w:w="90" w:type="dxa"/>
              <w:bottom w:w="55" w:type="dxa"/>
            </w:tcMar>
            <w:tcW w:w="135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Retenido como alternativa C</w:t>
            </w:r>
            <w:r>
              <w:rPr>
                <w:color w:val="000000" w:themeColor="text1"/>
              </w:rPr>
            </w:r>
          </w:p>
        </w:tc>
        <w:tc>
          <w:tcPr>
            <w:shd w:val="clear" w:color="auto" w:fill="f2f2f2"/>
            <w:tcBorders/>
            <w:tcMar>
              <w:left w:w="90" w:type="dxa"/>
              <w:top w:w="55" w:type="dxa"/>
              <w:right w:w="90" w:type="dxa"/>
              <w:bottom w:w="55" w:type="dxa"/>
            </w:tcMar>
            <w:tcW w:w="59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Marco iterativo e incremental centrado en la arquitectura. Es el competidor serio de la alternativa B y debe evaluarse en pie de igualdad.</w:t>
            </w:r>
            <w:r>
              <w:rPr>
                <w:color w:val="000000" w:themeColor="text1"/>
              </w:rPr>
            </w:r>
          </w:p>
        </w:tc>
      </w:tr>
      <w:tr>
        <w:trPr/>
        <w:tc>
          <w:tcPr>
            <w:shd w:val="clear" w:color="auto" w:fill="ffffff"/>
            <w:tcBorders/>
            <w:tcMar>
              <w:left w:w="90" w:type="dxa"/>
              <w:top w:w="55" w:type="dxa"/>
              <w:right w:w="90" w:type="dxa"/>
              <w:bottom w:w="55" w:type="dxa"/>
            </w:tcMar>
            <w:tcW w:w="1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Ágil: Scrum, XP, FDD, Lean, RAD</w:t>
            </w:r>
            <w:r>
              <w:rPr>
                <w:color w:val="000000" w:themeColor="text1"/>
              </w:rPr>
            </w:r>
          </w:p>
        </w:tc>
        <w:tc>
          <w:tcPr>
            <w:shd w:val="clear" w:color="auto" w:fill="ffffff"/>
            <w:tcBorders/>
            <w:tcMar>
              <w:left w:w="90" w:type="dxa"/>
              <w:top w:w="55" w:type="dxa"/>
              <w:right w:w="90" w:type="dxa"/>
              <w:bottom w:w="55" w:type="dxa"/>
            </w:tcMar>
            <w:tcW w:w="135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Retenido, integrado en la alternativa B</w:t>
            </w:r>
            <w:r>
              <w:rPr>
                <w:color w:val="000000" w:themeColor="text1"/>
              </w:rPr>
            </w:r>
          </w:p>
        </w:tc>
        <w:tc>
          <w:tcPr>
            <w:shd w:val="clear" w:color="auto" w:fill="ffffff"/>
            <w:tcBorders/>
            <w:tcMar>
              <w:left w:w="90" w:type="dxa"/>
              <w:top w:w="55" w:type="dxa"/>
              <w:right w:w="90" w:type="dxa"/>
              <w:bottom w:w="55" w:type="dxa"/>
            </w:tcMar>
            <w:tcW w:w="59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SWEBOK distingue Scrum como aproximación orientada a la gestión del proyecto y XP como método de desarrollo del producto. La alternativa B los combina en los términos que la propia fuente sugiere.</w:t>
            </w:r>
            <w:r>
              <w:rPr>
                <w:color w:val="000000" w:themeColor="text1"/>
              </w:rPr>
            </w:r>
          </w:p>
        </w:tc>
      </w:tr>
      <w:tr>
        <w:trPr/>
        <w:tc>
          <w:tcPr>
            <w:shd w:val="clear" w:color="auto" w:fill="f2f2f2"/>
            <w:tcBorders/>
            <w:tcMar>
              <w:left w:w="90" w:type="dxa"/>
              <w:top w:w="55" w:type="dxa"/>
              <w:right w:w="90" w:type="dxa"/>
              <w:bottom w:w="55" w:type="dxa"/>
            </w:tcMar>
            <w:tcW w:w="1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DevOps</w:t>
            </w:r>
            <w:r>
              <w:rPr>
                <w:color w:val="000000" w:themeColor="text1"/>
              </w:rPr>
            </w:r>
          </w:p>
        </w:tc>
        <w:tc>
          <w:tcPr>
            <w:shd w:val="clear" w:color="auto" w:fill="f2f2f2"/>
            <w:tcBorders/>
            <w:tcMar>
              <w:left w:w="90" w:type="dxa"/>
              <w:top w:w="55" w:type="dxa"/>
              <w:right w:w="90" w:type="dxa"/>
              <w:bottom w:w="55" w:type="dxa"/>
            </w:tcMar>
            <w:tcW w:w="13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Descartado como modelo global; retenido como prácticas</w:t>
            </w:r>
            <w:r>
              <w:rPr>
                <w:color w:val="000000" w:themeColor="text1"/>
              </w:rPr>
            </w:r>
          </w:p>
        </w:tc>
        <w:tc>
          <w:tcPr>
            <w:shd w:val="clear" w:color="auto" w:fill="f2f2f2"/>
            <w:tcBorders/>
            <w:tcMar>
              <w:left w:w="90" w:type="dxa"/>
              <w:top w:w="55" w:type="dxa"/>
              <w:right w:w="90" w:type="dxa"/>
              <w:bottom w:w="55" w:type="dxa"/>
            </w:tcMar>
            <w:tcW w:w="59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Su paradigma es continuo y exige, según la fuente, un cambio cultural y un instrumental que la organización no posee. Sus prácticas de integración y verificación automatizadas sí se adoptan, conforme a lo declarado en 2.4.</w:t>
            </w:r>
            <w:r>
              <w:rPr>
                <w:color w:val="000000" w:themeColor="text1"/>
              </w:rPr>
            </w:r>
          </w:p>
        </w:tc>
      </w:tr>
    </w:tbl>
    <w:p>
      <w:pPr>
        <w:pStyle w:val="919"/>
        <w:pBdr/>
        <w:spacing w:after="140" w:before="280"/>
        <w:ind/>
        <w:rPr>
          <w:color w:val="000000" w:themeColor="text1"/>
        </w:rPr>
      </w:pPr>
      <w:r>
        <w:rPr>
          <w:color w:val="000000" w:themeColor="text1"/>
        </w:rPr>
      </w:r>
      <w:bookmarkStart w:id="16" w:name="_Toc16"/>
      <w:r>
        <w:rPr>
          <w:rFonts w:ascii="Calibri" w:hAnsi="Calibri" w:eastAsia="Calibri" w:cs="Calibri"/>
          <w:b/>
          <w:bCs/>
          <w:color w:val="000000" w:themeColor="text1"/>
          <w:sz w:val="23"/>
          <w:szCs w:val="23"/>
        </w:rPr>
        <w:t xml:space="preserve">2.5.2 Alternativa A — Modelo en V</w:t>
      </w:r>
      <w:bookmarkEnd w:id="16"/>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Cada fase de construcción del brazo izquierdo tiene su correspondiente fase de verificación en el brazo derecho: requisitos frente a pruebas de aceptación, diseño arquitectónico frente a pruebas de sistema, diseño detallado frente a pruebas de integración, y codificación frente a pruebas unitarias.</w:t>
      </w: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Qué significaría aquí.</w:t>
      </w:r>
      <w:r>
        <w:rPr>
          <w:rFonts w:ascii="Calibri" w:hAnsi="Calibri" w:eastAsia="Calibri" w:cs="Calibri"/>
          <w:b w:val="0"/>
          <w:bCs w:val="0"/>
          <w:i w:val="0"/>
          <w:iCs w:val="0"/>
          <w:color w:val="000000" w:themeColor="text1"/>
          <w:sz w:val="22"/>
          <w:szCs w:val="22"/>
        </w:rPr>
        <w:t xml:space="preserve"> El catálogo se congelaría en su estado actual. Se produciría el diseño detallado completo de los nueve módulos, después la codificación completa, después la integración y por último la validación. Los planes de prueba se redactarían en paralelo a cada fase de construcción, lo que es su mayor virtud: el catálogo ya asocia a cada requisito un método de verificación T, I, A o D y un criterio de aceptación concreto, de modo que el brazo derecho estaría casi escrito de antemano.</w:t>
      </w: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Fortalezas frente a los factores.</w:t>
      </w:r>
      <w:r>
        <w:rPr>
          <w:rFonts w:ascii="Calibri" w:hAnsi="Calibri" w:eastAsia="Calibri" w:cs="Calibri"/>
          <w:b w:val="0"/>
          <w:bCs w:val="0"/>
          <w:i w:val="0"/>
          <w:iCs w:val="0"/>
          <w:color w:val="000000" w:themeColor="text1"/>
          <w:sz w:val="22"/>
          <w:szCs w:val="22"/>
        </w:rPr>
        <w:t xml:space="preserve"> Satisface FD-05 con naturalidad, porque la aceptación es una fase formal separada. Produce la trazabilidad documental más completa de las tres alternativas. Su estructura es fácil de gestionar y de comunicar.</w:t>
      </w: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Debilidades.</w:t>
      </w:r>
      <w:r>
        <w:rPr>
          <w:rFonts w:ascii="Calibri" w:hAnsi="Calibri" w:eastAsia="Calibri" w:cs="Calibri"/>
          <w:b w:val="0"/>
          <w:bCs w:val="0"/>
          <w:i w:val="0"/>
          <w:iCs w:val="0"/>
          <w:color w:val="000000" w:themeColor="text1"/>
          <w:sz w:val="22"/>
          <w:szCs w:val="22"/>
        </w:rPr>
        <w:t xml:space="preserve"> Contradice FD-11 y FD-12 de forma directa. No produce evidencia de avance hasta muy avanzado el proyecto, lo que deja FD-10 sin respuesta. Y el riesgo arquitectónico —la verificación de que el patrón de bandeja de salida, el interruptor de circuito y la autenticación sin estado funcionan juntos— se descubriría en la fase de integración, que es el punto más caro posible para descubrirlo.</w:t>
      </w:r>
      <w:r>
        <w:rPr>
          <w:color w:val="000000" w:themeColor="text1"/>
        </w:rPr>
      </w:r>
    </w:p>
    <w:p>
      <w:pPr>
        <w:pStyle w:val="919"/>
        <w:pBdr/>
        <w:spacing w:after="140" w:before="280"/>
        <w:ind/>
        <w:rPr>
          <w:color w:val="000000" w:themeColor="text1"/>
        </w:rPr>
      </w:pPr>
      <w:r>
        <w:rPr>
          <w:color w:val="000000" w:themeColor="text1"/>
        </w:rPr>
      </w:r>
      <w:bookmarkStart w:id="17" w:name="_Toc17"/>
      <w:r>
        <w:rPr>
          <w:rFonts w:ascii="Calibri" w:hAnsi="Calibri" w:eastAsia="Calibri" w:cs="Calibri"/>
          <w:b/>
          <w:bCs/>
          <w:color w:val="000000" w:themeColor="text1"/>
          <w:sz w:val="23"/>
          <w:szCs w:val="23"/>
        </w:rPr>
        <w:t xml:space="preserve">2.5.3 Alternativa B — Modelo iterativo-incremental con marco ágil de gestión adaptado</w:t>
      </w:r>
      <w:bookmarkEnd w:id="17"/>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Iteraciones de duración fija que producen un incremento demostrable, gobernadas por un marco de gestión de proyecto del tipo Scrum adaptado a la escala de la organización conforme a la ISO/IEC 29110, y ejecutadas con prácticas técnicas procedentes de Extreme Programming: desarrollo guiado por pruebas, refactorización continua e integración frecuente.</w:t>
      </w: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Qué significaría aquí.</w:t>
      </w:r>
      <w:r>
        <w:rPr>
          <w:rFonts w:ascii="Calibri" w:hAnsi="Calibri" w:eastAsia="Calibri" w:cs="Calibri"/>
          <w:b w:val="0"/>
          <w:bCs w:val="0"/>
          <w:i w:val="0"/>
          <w:iCs w:val="0"/>
          <w:color w:val="000000" w:themeColor="text1"/>
          <w:sz w:val="22"/>
          <w:szCs w:val="22"/>
        </w:rPr>
        <w:t xml:space="preserve"> La pila del producto se deriva del catálogo, ordenada por prioridad MoSCoW y por dependencia arquitectónica. Cada iteración selecciona un subconjunto, lo analiza, lo diseña, lo construye y lo verifica de forma solapada, y cierra con un incremento ejecutable y una retrospectiva. Los roles se comparten entre dos personas en lugar de asignarse a personas distintas.</w:t>
      </w: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Fortalezas frente a los factores.</w:t>
      </w:r>
      <w:r>
        <w:rPr>
          <w:rFonts w:ascii="Calibri" w:hAnsi="Calibri" w:eastAsia="Calibri" w:cs="Calibri"/>
          <w:b w:val="0"/>
          <w:bCs w:val="0"/>
          <w:i w:val="0"/>
          <w:iCs w:val="0"/>
          <w:color w:val="000000" w:themeColor="text1"/>
          <w:sz w:val="22"/>
          <w:szCs w:val="22"/>
        </w:rPr>
        <w:t xml:space="preserve"> Responde a FD-10 con evidencia cada dos semanas; a FD-11 y FD-12 con apertura gobernada; a FD-06 con una ceremonia proporcionada a una organización que se coordina por ajuste mutuo; y a FD-03 porque la integración continua es parte constitutiva del método y no un añadido.</w:t>
      </w: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Debilidades.</w:t>
      </w:r>
      <w:r>
        <w:rPr>
          <w:rFonts w:ascii="Calibri" w:hAnsi="Calibri" w:eastAsia="Calibri" w:cs="Calibri"/>
          <w:b w:val="0"/>
          <w:bCs w:val="0"/>
          <w:i w:val="0"/>
          <w:iCs w:val="0"/>
          <w:color w:val="000000" w:themeColor="text1"/>
          <w:sz w:val="22"/>
          <w:szCs w:val="22"/>
        </w:rPr>
        <w:t xml:space="preserve"> Dos, y son precisamente las que la matriz de la sección 2.7 penaliza. La primera es que un marco de baja formalización no garantiza por sí mismo la disciplina arquitectónica que R-01 exige: nada en Scrum impide que un módulo consulte las tablas de otro. La segunda es que produce menos documentación estructurada que las otras dos alternativas, lo que en una serie documental trazable es un costo real. Las decisiones DM-04, DM-05, DM-06 y PR-11 existen para corregir exactamente esas dos debilidades, y su presencia no es ornamental.</w:t>
      </w:r>
      <w:r>
        <w:rPr>
          <w:color w:val="000000" w:themeColor="text1"/>
        </w:rPr>
      </w:r>
    </w:p>
    <w:p>
      <w:pPr>
        <w:pStyle w:val="919"/>
        <w:pBdr/>
        <w:spacing w:after="140" w:before="280"/>
        <w:ind/>
        <w:rPr>
          <w:color w:val="000000" w:themeColor="text1"/>
        </w:rPr>
      </w:pPr>
      <w:r>
        <w:rPr>
          <w:color w:val="000000" w:themeColor="text1"/>
        </w:rPr>
      </w:r>
      <w:bookmarkStart w:id="18" w:name="_Toc18"/>
      <w:r>
        <w:rPr>
          <w:rFonts w:ascii="Calibri" w:hAnsi="Calibri" w:eastAsia="Calibri" w:cs="Calibri"/>
          <w:b/>
          <w:bCs/>
          <w:color w:val="000000" w:themeColor="text1"/>
          <w:sz w:val="23"/>
          <w:szCs w:val="23"/>
        </w:rPr>
        <w:t xml:space="preserve">2.5.4 Alternativa C — Proceso Unificado en variante ligera</w:t>
      </w:r>
      <w:bookmarkEnd w:id="18"/>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Marco iterativo e incremental organizado en cuatro fases —inicio, elaboración, construcción y transición— con hitos de fase, centrado en producir y estabilizar una arquitectura ejecutable en la fase de elaboración. La variante ligera OpenUP reduce el aparato de artefactos del RUP conservando la disciplina de fases.</w:t>
      </w: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Qué significaría aquí.</w:t>
      </w:r>
      <w:r>
        <w:rPr>
          <w:rFonts w:ascii="Calibri" w:hAnsi="Calibri" w:eastAsia="Calibri" w:cs="Calibri"/>
          <w:b w:val="0"/>
          <w:bCs w:val="0"/>
          <w:i w:val="0"/>
          <w:iCs w:val="0"/>
          <w:color w:val="000000" w:themeColor="text1"/>
          <w:sz w:val="22"/>
          <w:szCs w:val="22"/>
        </w:rPr>
        <w:t xml:space="preserve"> Una fase de elaboración dedicada a estabilizar la línea base arquitectónica, seguida de iteraciones de construcción por módulos y una fase de transición. Cada iteración produciría, además del incremento, un conjunto definido de artefactos de análisis y diseño.</w:t>
      </w: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Fortalezas.</w:t>
      </w:r>
      <w:r>
        <w:rPr>
          <w:rFonts w:ascii="Calibri" w:hAnsi="Calibri" w:eastAsia="Calibri" w:cs="Calibri"/>
          <w:b w:val="0"/>
          <w:bCs w:val="0"/>
          <w:i w:val="0"/>
          <w:iCs w:val="0"/>
          <w:color w:val="000000" w:themeColor="text1"/>
          <w:sz w:val="22"/>
          <w:szCs w:val="22"/>
        </w:rPr>
        <w:t xml:space="preserve"> Es la alternativa que mejor atiende FD-08, porque la centralidad de la arquitectura es su rasgo definitorio y no un añadido. Y es la que mejor sostiene la trazabilidad documental, por la misma razón por la que la tabla comparativa del capítulo 10 la señala como pesada.</w:t>
      </w: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Debilidades.</w:t>
      </w:r>
      <w:r>
        <w:rPr>
          <w:rFonts w:ascii="Calibri" w:hAnsi="Calibri" w:eastAsia="Calibri" w:cs="Calibri"/>
          <w:b w:val="0"/>
          <w:bCs w:val="0"/>
          <w:i w:val="0"/>
          <w:iCs w:val="0"/>
          <w:color w:val="000000" w:themeColor="text1"/>
          <w:sz w:val="22"/>
          <w:szCs w:val="22"/>
        </w:rPr>
        <w:t xml:space="preserve"> Esa misma tabla indica que es adecuada para proyectos medianos o grandes con equipo experimentado, y que requiere mucha documentación. Con dos personas, el mantenimiento de su conjunto de artefactos consumiría una fracción del esfuerzo que no puede justificarse, lo que la enfrenta directamente a FD-01. Su ciclo de retroalimentación, ligado a hitos de fase, es además más largo que el de la alternativa B, lo que responde peor a FD-12.</w:t>
      </w:r>
      <w:r>
        <w:rPr>
          <w:color w:val="000000" w:themeColor="text1"/>
        </w:rPr>
      </w:r>
    </w:p>
    <w:p>
      <w:pPr>
        <w:pStyle w:val="918"/>
        <w:pBdr/>
        <w:spacing w:after="140" w:before="280"/>
        <w:ind/>
        <w:rPr>
          <w:color w:val="000000" w:themeColor="text1"/>
        </w:rPr>
      </w:pPr>
      <w:r>
        <w:rPr>
          <w:color w:val="000000" w:themeColor="text1"/>
        </w:rPr>
      </w:r>
      <w:bookmarkStart w:id="19" w:name="_Toc19"/>
      <w:r>
        <w:rPr>
          <w:rFonts w:ascii="Calibri" w:hAnsi="Calibri" w:eastAsia="Calibri" w:cs="Calibri"/>
          <w:b/>
          <w:bCs/>
          <w:color w:val="000000" w:themeColor="text1"/>
          <w:sz w:val="25"/>
          <w:szCs w:val="25"/>
        </w:rPr>
        <w:t xml:space="preserve">2.6 Criterios de decisión y su ponderación</w:t>
      </w:r>
      <w:bookmarkEnd w:id="19"/>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Los criterios se derivan de los factores de la sección 2.1, y sus pesos reflejan cuánto compromete cada uno la viabilidad del proyecto. La ponderación se declara antes de puntuar, y no después, para que no pueda acomodarse al resultado deseado.</w:t>
      </w:r>
      <w:r>
        <w:rPr>
          <w:color w:val="000000" w:themeColor="text1"/>
        </w:rPr>
      </w:r>
    </w:p>
    <w:p>
      <w:pPr>
        <w:pBdr/>
        <w:spacing w:after="6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850"/>
        <w:gridCol w:w="2400"/>
        <w:gridCol w:w="750"/>
        <w:gridCol w:w="5070"/>
      </w:tblGrid>
      <w:tr>
        <w:trPr>
          <w:tblHeader/>
        </w:trPr>
        <w:tc>
          <w:tcPr>
            <w:shd w:val="clear" w:color="auto" w:fill="dce6f1"/>
            <w:tcBorders/>
            <w:tcMar>
              <w:left w:w="90" w:type="dxa"/>
              <w:top w:w="60" w:type="dxa"/>
              <w:right w:w="90" w:type="dxa"/>
              <w:bottom w:w="60" w:type="dxa"/>
            </w:tcMar>
            <w:tcW w:w="85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ID</w:t>
            </w:r>
            <w:r>
              <w:rPr>
                <w:color w:val="000000" w:themeColor="text1"/>
              </w:rPr>
            </w:r>
          </w:p>
        </w:tc>
        <w:tc>
          <w:tcPr>
            <w:shd w:val="clear" w:color="auto" w:fill="dce6f1"/>
            <w:tcBorders/>
            <w:tcMar>
              <w:left w:w="90" w:type="dxa"/>
              <w:top w:w="60" w:type="dxa"/>
              <w:right w:w="90" w:type="dxa"/>
              <w:bottom w:w="60" w:type="dxa"/>
            </w:tcMar>
            <w:tcW w:w="24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Criterio</w:t>
            </w:r>
            <w:r>
              <w:rPr>
                <w:color w:val="000000" w:themeColor="text1"/>
              </w:rPr>
            </w:r>
          </w:p>
        </w:tc>
        <w:tc>
          <w:tcPr>
            <w:shd w:val="clear" w:color="auto" w:fill="dce6f1"/>
            <w:tcBorders/>
            <w:tcMar>
              <w:left w:w="90" w:type="dxa"/>
              <w:top w:w="60" w:type="dxa"/>
              <w:right w:w="90" w:type="dxa"/>
              <w:bottom w:w="60" w:type="dxa"/>
            </w:tcMar>
            <w:tcW w:w="75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Peso</w:t>
            </w:r>
            <w:r>
              <w:rPr>
                <w:color w:val="000000" w:themeColor="text1"/>
              </w:rPr>
            </w:r>
          </w:p>
        </w:tc>
        <w:tc>
          <w:tcPr>
            <w:shd w:val="clear" w:color="auto" w:fill="dce6f1"/>
            <w:tcBorders/>
            <w:tcMar>
              <w:left w:w="90" w:type="dxa"/>
              <w:top w:w="60" w:type="dxa"/>
              <w:right w:w="90" w:type="dxa"/>
              <w:bottom w:w="60" w:type="dxa"/>
            </w:tcMar>
            <w:tcW w:w="50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Pregunta que responde y razón del peso</w:t>
            </w:r>
            <w:r>
              <w:rPr>
                <w:color w:val="000000" w:themeColor="text1"/>
              </w:rPr>
            </w:r>
          </w:p>
        </w:tc>
      </w:tr>
      <w:tr>
        <w:trPr/>
        <w:tc>
          <w:tcPr>
            <w:shd w:val="clear" w:color="auto" w:fill="ffffff"/>
            <w:tcBorders/>
            <w:tcMar>
              <w:left w:w="90" w:type="dxa"/>
              <w:top w:w="55" w:type="dxa"/>
              <w:right w:w="90" w:type="dxa"/>
              <w:bottom w:w="55" w:type="dxa"/>
            </w:tcMar>
            <w:tcW w:w="8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CM-01</w:t>
            </w:r>
            <w:r>
              <w:rPr>
                <w:color w:val="000000" w:themeColor="text1"/>
              </w:rPr>
            </w:r>
          </w:p>
        </w:tc>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Apertura gobernada al cambio</w:t>
            </w:r>
            <w:r>
              <w:rPr>
                <w:color w:val="000000" w:themeColor="text1"/>
              </w:rPr>
            </w:r>
          </w:p>
        </w:tc>
        <w:tc>
          <w:tcPr>
            <w:shd w:val="clear" w:color="auto" w:fill="ffffff"/>
            <w:tcBorders/>
            <w:tcMar>
              <w:left w:w="90" w:type="dxa"/>
              <w:top w:w="55" w:type="dxa"/>
              <w:right w:w="90" w:type="dxa"/>
              <w:bottom w:w="55" w:type="dxa"/>
            </w:tcMar>
            <w:tcW w:w="7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14 %</w:t>
            </w:r>
            <w:r>
              <w:rPr>
                <w:color w:val="000000" w:themeColor="text1"/>
              </w:rPr>
            </w:r>
          </w:p>
        </w:tc>
        <w:tc>
          <w:tcPr>
            <w:shd w:val="clear" w:color="auto" w:fill="ffffff"/>
            <w:tcBorders/>
            <w:tcMar>
              <w:left w:w="90" w:type="dxa"/>
              <w:top w:w="55" w:type="dxa"/>
              <w:right w:w="90" w:type="dxa"/>
              <w:bottom w:w="55" w:type="dxa"/>
            </w:tcMar>
            <w:tcW w:w="50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¿Admite el modelo que la especificación evolucione sin que el proceso se rompa ni el alcance crezca sin control? Peso alto por FD-11 y FD-12.</w:t>
            </w:r>
            <w:r>
              <w:rPr>
                <w:color w:val="000000" w:themeColor="text1"/>
              </w:rPr>
            </w:r>
          </w:p>
        </w:tc>
      </w:tr>
      <w:tr>
        <w:trPr/>
        <w:tc>
          <w:tcPr>
            <w:shd w:val="clear" w:color="auto" w:fill="f2f2f2"/>
            <w:tcBorders/>
            <w:tcMar>
              <w:left w:w="90" w:type="dxa"/>
              <w:top w:w="55" w:type="dxa"/>
              <w:right w:w="90" w:type="dxa"/>
              <w:bottom w:w="55" w:type="dxa"/>
            </w:tcMar>
            <w:tcW w:w="8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CM-02</w:t>
            </w:r>
            <w:r>
              <w:rPr>
                <w:color w:val="000000" w:themeColor="text1"/>
              </w:rPr>
            </w:r>
          </w:p>
        </w:tc>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Viabilidad con dos personas sin roles dedicados</w:t>
            </w:r>
            <w:r>
              <w:rPr>
                <w:color w:val="000000" w:themeColor="text1"/>
              </w:rPr>
            </w:r>
          </w:p>
        </w:tc>
        <w:tc>
          <w:tcPr>
            <w:shd w:val="clear" w:color="auto" w:fill="f2f2f2"/>
            <w:tcBorders/>
            <w:tcMar>
              <w:left w:w="90" w:type="dxa"/>
              <w:top w:w="55" w:type="dxa"/>
              <w:right w:w="90" w:type="dxa"/>
              <w:bottom w:w="55" w:type="dxa"/>
            </w:tcMar>
            <w:tcW w:w="7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18 %</w:t>
            </w:r>
            <w:r>
              <w:rPr>
                <w:color w:val="000000" w:themeColor="text1"/>
              </w:rPr>
            </w:r>
          </w:p>
        </w:tc>
        <w:tc>
          <w:tcPr>
            <w:shd w:val="clear" w:color="auto" w:fill="f2f2f2"/>
            <w:tcBorders/>
            <w:tcMar>
              <w:left w:w="90" w:type="dxa"/>
              <w:top w:w="55" w:type="dxa"/>
              <w:right w:w="90" w:type="dxa"/>
              <w:bottom w:w="55" w:type="dxa"/>
            </w:tcMar>
            <w:tcW w:w="50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¿Funciona el modelo cuando todos los roles recaen sobre dos personas? Es el peso mayor porque FD-01 no admite negociación: un modelo que exija cuatro roles distintos no es difícil de aplicar, es inaplicable.</w:t>
            </w:r>
            <w:r>
              <w:rPr>
                <w:color w:val="000000" w:themeColor="text1"/>
              </w:rPr>
            </w:r>
          </w:p>
        </w:tc>
      </w:tr>
      <w:tr>
        <w:trPr/>
        <w:tc>
          <w:tcPr>
            <w:shd w:val="clear" w:color="auto" w:fill="ffffff"/>
            <w:tcBorders/>
            <w:tcMar>
              <w:left w:w="90" w:type="dxa"/>
              <w:top w:w="55" w:type="dxa"/>
              <w:right w:w="90" w:type="dxa"/>
              <w:bottom w:w="55" w:type="dxa"/>
            </w:tcMar>
            <w:tcW w:w="8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CM-03</w:t>
            </w:r>
            <w:r>
              <w:rPr>
                <w:color w:val="000000" w:themeColor="text1"/>
              </w:rPr>
            </w:r>
          </w:p>
        </w:tc>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Compatibilidad con trabajo remoto y asíncrono</w:t>
            </w:r>
            <w:r>
              <w:rPr>
                <w:color w:val="000000" w:themeColor="text1"/>
              </w:rPr>
            </w:r>
          </w:p>
        </w:tc>
        <w:tc>
          <w:tcPr>
            <w:shd w:val="clear" w:color="auto" w:fill="ffffff"/>
            <w:tcBorders/>
            <w:tcMar>
              <w:left w:w="90" w:type="dxa"/>
              <w:top w:w="55" w:type="dxa"/>
              <w:right w:w="90" w:type="dxa"/>
              <w:bottom w:w="55" w:type="dxa"/>
            </w:tcMar>
            <w:tcW w:w="7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12 %</w:t>
            </w:r>
            <w:r>
              <w:rPr>
                <w:color w:val="000000" w:themeColor="text1"/>
              </w:rPr>
            </w:r>
          </w:p>
        </w:tc>
        <w:tc>
          <w:tcPr>
            <w:shd w:val="clear" w:color="auto" w:fill="ffffff"/>
            <w:tcBorders/>
            <w:tcMar>
              <w:left w:w="90" w:type="dxa"/>
              <w:top w:w="55" w:type="dxa"/>
              <w:right w:w="90" w:type="dxa"/>
              <w:bottom w:w="55" w:type="dxa"/>
            </w:tcMar>
            <w:tcW w:w="50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¿Puede ejecutarse sin coincidencia horaria sostenida y dejando registro escrito? Deriva de FD-02.</w:t>
            </w:r>
            <w:r>
              <w:rPr>
                <w:color w:val="000000" w:themeColor="text1"/>
              </w:rPr>
            </w:r>
          </w:p>
        </w:tc>
      </w:tr>
      <w:tr>
        <w:trPr/>
        <w:tc>
          <w:tcPr>
            <w:shd w:val="clear" w:color="auto" w:fill="f2f2f2"/>
            <w:tcBorders/>
            <w:tcMar>
              <w:left w:w="90" w:type="dxa"/>
              <w:top w:w="55" w:type="dxa"/>
              <w:right w:w="90" w:type="dxa"/>
              <w:bottom w:w="55" w:type="dxa"/>
            </w:tcMar>
            <w:tcW w:w="8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CM-04</w:t>
            </w:r>
            <w:r>
              <w:rPr>
                <w:color w:val="000000" w:themeColor="text1"/>
              </w:rPr>
            </w:r>
          </w:p>
        </w:tc>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Entrega temprana y repetida de valor verificable</w:t>
            </w:r>
            <w:r>
              <w:rPr>
                <w:color w:val="000000" w:themeColor="text1"/>
              </w:rPr>
            </w:r>
          </w:p>
        </w:tc>
        <w:tc>
          <w:tcPr>
            <w:shd w:val="clear" w:color="auto" w:fill="f2f2f2"/>
            <w:tcBorders/>
            <w:tcMar>
              <w:left w:w="90" w:type="dxa"/>
              <w:top w:w="55" w:type="dxa"/>
              <w:right w:w="90" w:type="dxa"/>
              <w:bottom w:w="55" w:type="dxa"/>
            </w:tcMar>
            <w:tcW w:w="7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13 %</w:t>
            </w:r>
            <w:r>
              <w:rPr>
                <w:color w:val="000000" w:themeColor="text1"/>
              </w:rPr>
            </w:r>
          </w:p>
        </w:tc>
        <w:tc>
          <w:tcPr>
            <w:shd w:val="clear" w:color="auto" w:fill="f2f2f2"/>
            <w:tcBorders/>
            <w:tcMar>
              <w:left w:w="90" w:type="dxa"/>
              <w:top w:w="55" w:type="dxa"/>
              <w:right w:w="90" w:type="dxa"/>
              <w:bottom w:w="55" w:type="dxa"/>
            </w:tcMar>
            <w:tcW w:w="50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¿Produce el modelo evidencia de avance antes del final? Deriva de FD-10 y del razonamiento económico de 2.2.</w:t>
            </w:r>
            <w:r>
              <w:rPr>
                <w:color w:val="000000" w:themeColor="text1"/>
              </w:rPr>
            </w:r>
          </w:p>
        </w:tc>
      </w:tr>
      <w:tr>
        <w:trPr/>
        <w:tc>
          <w:tcPr>
            <w:shd w:val="clear" w:color="auto" w:fill="ffffff"/>
            <w:tcBorders/>
            <w:tcMar>
              <w:left w:w="90" w:type="dxa"/>
              <w:top w:w="55" w:type="dxa"/>
              <w:right w:w="90" w:type="dxa"/>
              <w:bottom w:w="55" w:type="dxa"/>
            </w:tcMar>
            <w:tcW w:w="8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CM-05</w:t>
            </w:r>
            <w:r>
              <w:rPr>
                <w:color w:val="000000" w:themeColor="text1"/>
              </w:rPr>
            </w:r>
          </w:p>
        </w:tc>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Soporte a la disciplina arquitectónica</w:t>
            </w:r>
            <w:r>
              <w:rPr>
                <w:color w:val="000000" w:themeColor="text1"/>
              </w:rPr>
            </w:r>
          </w:p>
        </w:tc>
        <w:tc>
          <w:tcPr>
            <w:shd w:val="clear" w:color="auto" w:fill="ffffff"/>
            <w:tcBorders/>
            <w:tcMar>
              <w:left w:w="90" w:type="dxa"/>
              <w:top w:w="55" w:type="dxa"/>
              <w:right w:w="90" w:type="dxa"/>
              <w:bottom w:w="55" w:type="dxa"/>
            </w:tcMar>
            <w:tcW w:w="7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12 %</w:t>
            </w:r>
            <w:r>
              <w:rPr>
                <w:color w:val="000000" w:themeColor="text1"/>
              </w:rPr>
            </w:r>
          </w:p>
        </w:tc>
        <w:tc>
          <w:tcPr>
            <w:shd w:val="clear" w:color="auto" w:fill="ffffff"/>
            <w:tcBorders/>
            <w:tcMar>
              <w:left w:w="90" w:type="dxa"/>
              <w:top w:w="55" w:type="dxa"/>
              <w:right w:w="90" w:type="dxa"/>
              <w:bottom w:w="55" w:type="dxa"/>
            </w:tcMar>
            <w:tcW w:w="50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¿Contiene el modelo mecanismos que impidan la erosión de las fronteras modulares? Deriva de FD-08 y del riesgo R-01, que el documento 3 califica como el más probable.</w:t>
            </w:r>
            <w:r>
              <w:rPr>
                <w:color w:val="000000" w:themeColor="text1"/>
              </w:rPr>
            </w:r>
          </w:p>
        </w:tc>
      </w:tr>
      <w:tr>
        <w:trPr/>
        <w:tc>
          <w:tcPr>
            <w:shd w:val="clear" w:color="auto" w:fill="f2f2f2"/>
            <w:tcBorders/>
            <w:tcMar>
              <w:left w:w="90" w:type="dxa"/>
              <w:top w:w="55" w:type="dxa"/>
              <w:right w:w="90" w:type="dxa"/>
              <w:bottom w:w="55" w:type="dxa"/>
            </w:tcMar>
            <w:tcW w:w="8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CM-06</w:t>
            </w:r>
            <w:r>
              <w:rPr>
                <w:color w:val="000000" w:themeColor="text1"/>
              </w:rPr>
            </w:r>
          </w:p>
        </w:tc>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Trazabilidad y evidencia documental</w:t>
            </w:r>
            <w:r>
              <w:rPr>
                <w:color w:val="000000" w:themeColor="text1"/>
              </w:rPr>
            </w:r>
          </w:p>
        </w:tc>
        <w:tc>
          <w:tcPr>
            <w:shd w:val="clear" w:color="auto" w:fill="f2f2f2"/>
            <w:tcBorders/>
            <w:tcMar>
              <w:left w:w="90" w:type="dxa"/>
              <w:top w:w="55" w:type="dxa"/>
              <w:right w:w="90" w:type="dxa"/>
              <w:bottom w:w="55" w:type="dxa"/>
            </w:tcMar>
            <w:tcW w:w="7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11 %</w:t>
            </w:r>
            <w:r>
              <w:rPr>
                <w:color w:val="000000" w:themeColor="text1"/>
              </w:rPr>
            </w:r>
          </w:p>
        </w:tc>
        <w:tc>
          <w:tcPr>
            <w:shd w:val="clear" w:color="auto" w:fill="f2f2f2"/>
            <w:tcBorders/>
            <w:tcMar>
              <w:left w:w="90" w:type="dxa"/>
              <w:top w:w="55" w:type="dxa"/>
              <w:right w:w="90" w:type="dxa"/>
              <w:bottom w:w="55" w:type="dxa"/>
            </w:tcMar>
            <w:tcW w:w="50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¿Produce el modelo los artefactos que permiten rastrear cada elemento construido hasta su requisito y su objetivo de origen? Exigido por la propia naturaleza trazable de la serie.</w:t>
            </w:r>
            <w:r>
              <w:rPr>
                <w:color w:val="000000" w:themeColor="text1"/>
              </w:rPr>
            </w:r>
          </w:p>
        </w:tc>
      </w:tr>
      <w:tr>
        <w:trPr/>
        <w:tc>
          <w:tcPr>
            <w:shd w:val="clear" w:color="auto" w:fill="ffffff"/>
            <w:tcBorders/>
            <w:tcMar>
              <w:left w:w="90" w:type="dxa"/>
              <w:top w:w="55" w:type="dxa"/>
              <w:right w:w="90" w:type="dxa"/>
              <w:bottom w:w="55" w:type="dxa"/>
            </w:tcMar>
            <w:tcW w:w="8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CM-07</w:t>
            </w:r>
            <w:r>
              <w:rPr>
                <w:color w:val="000000" w:themeColor="text1"/>
              </w:rPr>
            </w:r>
          </w:p>
        </w:tc>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Costo de adopción y sobrecarga ceremonial</w:t>
            </w:r>
            <w:r>
              <w:rPr>
                <w:color w:val="000000" w:themeColor="text1"/>
              </w:rPr>
            </w:r>
          </w:p>
        </w:tc>
        <w:tc>
          <w:tcPr>
            <w:shd w:val="clear" w:color="auto" w:fill="ffffff"/>
            <w:tcBorders/>
            <w:tcMar>
              <w:left w:w="90" w:type="dxa"/>
              <w:top w:w="55" w:type="dxa"/>
              <w:right w:w="90" w:type="dxa"/>
              <w:bottom w:w="55" w:type="dxa"/>
            </w:tcMar>
            <w:tcW w:w="7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12 %</w:t>
            </w:r>
            <w:r>
              <w:rPr>
                <w:color w:val="000000" w:themeColor="text1"/>
              </w:rPr>
            </w:r>
          </w:p>
        </w:tc>
        <w:tc>
          <w:tcPr>
            <w:shd w:val="clear" w:color="auto" w:fill="ffffff"/>
            <w:tcBorders/>
            <w:tcMar>
              <w:left w:w="90" w:type="dxa"/>
              <w:top w:w="55" w:type="dxa"/>
              <w:right w:w="90" w:type="dxa"/>
              <w:bottom w:w="55" w:type="dxa"/>
            </w:tcMar>
            <w:tcW w:w="50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¿Cuánto esfuerzo consume el proceso en sí mismo, en lugar de en el producto? Deriva de FD-01, FD-04 y FD-06.</w:t>
            </w:r>
            <w:r>
              <w:rPr>
                <w:color w:val="000000" w:themeColor="text1"/>
              </w:rPr>
            </w:r>
          </w:p>
        </w:tc>
      </w:tr>
      <w:tr>
        <w:trPr/>
        <w:tc>
          <w:tcPr>
            <w:shd w:val="clear" w:color="auto" w:fill="f2f2f2"/>
            <w:tcBorders/>
            <w:tcMar>
              <w:left w:w="90" w:type="dxa"/>
              <w:top w:w="55" w:type="dxa"/>
              <w:right w:w="90" w:type="dxa"/>
              <w:bottom w:w="55" w:type="dxa"/>
            </w:tcMar>
            <w:tcW w:w="8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CM-08</w:t>
            </w:r>
            <w:r>
              <w:rPr>
                <w:color w:val="000000" w:themeColor="text1"/>
              </w:rPr>
            </w:r>
          </w:p>
        </w:tc>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Capacidad de medición y mejora del proceso</w:t>
            </w:r>
            <w:r>
              <w:rPr>
                <w:color w:val="000000" w:themeColor="text1"/>
              </w:rPr>
            </w:r>
          </w:p>
        </w:tc>
        <w:tc>
          <w:tcPr>
            <w:shd w:val="clear" w:color="auto" w:fill="f2f2f2"/>
            <w:tcBorders/>
            <w:tcMar>
              <w:left w:w="90" w:type="dxa"/>
              <w:top w:w="55" w:type="dxa"/>
              <w:right w:w="90" w:type="dxa"/>
              <w:bottom w:w="55" w:type="dxa"/>
            </w:tcMar>
            <w:tcW w:w="7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8 %</w:t>
            </w:r>
            <w:r>
              <w:rPr>
                <w:color w:val="000000" w:themeColor="text1"/>
              </w:rPr>
            </w:r>
          </w:p>
        </w:tc>
        <w:tc>
          <w:tcPr>
            <w:shd w:val="clear" w:color="auto" w:fill="f2f2f2"/>
            <w:tcBorders/>
            <w:tcMar>
              <w:left w:w="90" w:type="dxa"/>
              <w:top w:w="55" w:type="dxa"/>
              <w:right w:w="90" w:type="dxa"/>
              <w:bottom w:w="55" w:type="dxa"/>
            </w:tcMar>
            <w:tcW w:w="50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¿Genera el modelo datos que permitan recalibrar la estimación y corregir el propio proceso? Deriva de la exigencia de evidencia empírica del apartado 2.9 del capítulo 10.</w:t>
            </w:r>
            <w:r>
              <w:rPr>
                <w:color w:val="000000" w:themeColor="text1"/>
              </w:rPr>
            </w:r>
          </w:p>
        </w:tc>
      </w:tr>
    </w:tbl>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La suma de CM-02, CM-01 y CM-04 alcanza el 45 %, lo que expresa una apreciación explícita y discutible: en este proyecto el riesgo dominante no es construir mal, sino no llegar a construir o construir sobre una hipótesis de mercado equivocada. La sección 2.8 examina qué ocurriría si esa apreciación fuese errónea.</w:t>
      </w:r>
      <w:r>
        <w:rPr>
          <w:color w:val="000000" w:themeColor="text1"/>
        </w:rPr>
      </w:r>
    </w:p>
    <w:p>
      <w:pPr>
        <w:pStyle w:val="918"/>
        <w:pBdr/>
        <w:spacing w:after="140" w:before="280"/>
        <w:ind/>
        <w:rPr>
          <w:color w:val="000000" w:themeColor="text1"/>
        </w:rPr>
      </w:pPr>
      <w:r>
        <w:rPr>
          <w:color w:val="000000" w:themeColor="text1"/>
        </w:rPr>
      </w:r>
      <w:bookmarkStart w:id="20" w:name="_Toc20"/>
      <w:r>
        <w:rPr>
          <w:rFonts w:ascii="Calibri" w:hAnsi="Calibri" w:eastAsia="Calibri" w:cs="Calibri"/>
          <w:b/>
          <w:bCs/>
          <w:color w:val="000000" w:themeColor="text1"/>
          <w:sz w:val="25"/>
          <w:szCs w:val="25"/>
        </w:rPr>
        <w:t xml:space="preserve">2.7 Matriz de evaluación comparativa ponderada</w:t>
      </w:r>
      <w:bookmarkEnd w:id="20"/>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Las puntuaciones se expresan en una escala de 1 a 5, donde 1 indica que el modelo obstaculiza el criterio y 5 que lo satisface plenamente.</w:t>
      </w:r>
      <w:r>
        <w:rPr>
          <w:color w:val="000000" w:themeColor="text1"/>
        </w:rPr>
      </w:r>
    </w:p>
    <w:p>
      <w:pPr>
        <w:pBdr/>
        <w:spacing w:after="6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800"/>
        <w:gridCol w:w="2500"/>
        <w:gridCol w:w="700"/>
        <w:gridCol w:w="1300"/>
        <w:gridCol w:w="2470"/>
        <w:gridCol w:w="1300"/>
      </w:tblGrid>
      <w:tr>
        <w:trPr>
          <w:tblHeader/>
        </w:trPr>
        <w:tc>
          <w:tcPr>
            <w:shd w:val="clear" w:color="auto" w:fill="dce6f1"/>
            <w:tcBorders/>
            <w:tcMar>
              <w:left w:w="90" w:type="dxa"/>
              <w:top w:w="60" w:type="dxa"/>
              <w:right w:w="90" w:type="dxa"/>
              <w:bottom w:w="60" w:type="dxa"/>
            </w:tcMar>
            <w:tcW w:w="8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ID</w:t>
            </w:r>
            <w:r>
              <w:rPr>
                <w:color w:val="000000" w:themeColor="text1"/>
              </w:rPr>
            </w:r>
          </w:p>
        </w:tc>
        <w:tc>
          <w:tcPr>
            <w:shd w:val="clear" w:color="auto" w:fill="dce6f1"/>
            <w:tcBorders/>
            <w:tcMar>
              <w:left w:w="90" w:type="dxa"/>
              <w:top w:w="60" w:type="dxa"/>
              <w:right w:w="90" w:type="dxa"/>
              <w:bottom w:w="60" w:type="dxa"/>
            </w:tcMar>
            <w:tcW w:w="25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Criterio</w:t>
            </w:r>
            <w:r>
              <w:rPr>
                <w:color w:val="000000" w:themeColor="text1"/>
              </w:rPr>
            </w:r>
          </w:p>
        </w:tc>
        <w:tc>
          <w:tcPr>
            <w:shd w:val="clear" w:color="auto" w:fill="dce6f1"/>
            <w:tcBorders/>
            <w:tcMar>
              <w:left w:w="90" w:type="dxa"/>
              <w:top w:w="60" w:type="dxa"/>
              <w:right w:w="90" w:type="dxa"/>
              <w:bottom w:w="60" w:type="dxa"/>
            </w:tcMar>
            <w:tcW w:w="7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Peso</w:t>
            </w:r>
            <w:r>
              <w:rPr>
                <w:color w:val="000000" w:themeColor="text1"/>
              </w:rPr>
            </w:r>
          </w:p>
        </w:tc>
        <w:tc>
          <w:tcPr>
            <w:shd w:val="clear" w:color="auto" w:fill="dce6f1"/>
            <w:tcBorders/>
            <w:tcMar>
              <w:left w:w="90" w:type="dxa"/>
              <w:top w:w="60" w:type="dxa"/>
              <w:right w:w="90" w:type="dxa"/>
              <w:bottom w:w="60" w:type="dxa"/>
            </w:tcMar>
            <w:tcW w:w="13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A · Modelo en V</w:t>
            </w:r>
            <w:r>
              <w:rPr>
                <w:color w:val="000000" w:themeColor="text1"/>
              </w:rPr>
            </w:r>
          </w:p>
        </w:tc>
        <w:tc>
          <w:tcPr>
            <w:shd w:val="clear" w:color="auto" w:fill="dce6f1"/>
            <w:tcBorders/>
            <w:tcMar>
              <w:left w:w="90" w:type="dxa"/>
              <w:top w:w="60" w:type="dxa"/>
              <w:right w:w="90" w:type="dxa"/>
              <w:bottom w:w="60" w:type="dxa"/>
            </w:tcMar>
            <w:tcW w:w="24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B · Iterativo-incremental con marco ágil adaptado</w:t>
            </w:r>
            <w:r>
              <w:rPr>
                <w:color w:val="000000" w:themeColor="text1"/>
              </w:rPr>
            </w:r>
          </w:p>
        </w:tc>
        <w:tc>
          <w:tcPr>
            <w:shd w:val="clear" w:color="auto" w:fill="dce6f1"/>
            <w:tcBorders/>
            <w:tcMar>
              <w:left w:w="90" w:type="dxa"/>
              <w:top w:w="60" w:type="dxa"/>
              <w:right w:w="90" w:type="dxa"/>
              <w:bottom w:w="60" w:type="dxa"/>
            </w:tcMar>
            <w:tcW w:w="13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C · Proceso Unificado ligero</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CM-01</w:t>
            </w:r>
            <w:r>
              <w:rPr>
                <w:color w:val="000000" w:themeColor="text1"/>
              </w:rPr>
            </w:r>
          </w:p>
        </w:tc>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Apertura gobernada al cambio</w:t>
            </w:r>
            <w:r>
              <w:rPr>
                <w:color w:val="000000" w:themeColor="text1"/>
              </w:rPr>
            </w:r>
          </w:p>
        </w:tc>
        <w:tc>
          <w:tcPr>
            <w:shd w:val="clear" w:color="auto" w:fill="ffffff"/>
            <w:tcBorders/>
            <w:tcMar>
              <w:left w:w="90" w:type="dxa"/>
              <w:top w:w="55" w:type="dxa"/>
              <w:right w:w="90" w:type="dxa"/>
              <w:bottom w:w="55" w:type="dxa"/>
            </w:tcMar>
            <w:tcW w:w="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14 %</w:t>
            </w:r>
            <w:r>
              <w:rPr>
                <w:color w:val="000000" w:themeColor="text1"/>
              </w:rPr>
            </w:r>
          </w:p>
        </w:tc>
        <w:tc>
          <w:tcPr>
            <w:shd w:val="clear" w:color="auto" w:fill="ffffff"/>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w:t>
            </w:r>
            <w:r>
              <w:rPr>
                <w:color w:val="000000" w:themeColor="text1"/>
              </w:rPr>
            </w:r>
          </w:p>
        </w:tc>
        <w:tc>
          <w:tcPr>
            <w:shd w:val="clear" w:color="auto" w:fill="ffffff"/>
            <w:tcBorders/>
            <w:tcMar>
              <w:left w:w="90" w:type="dxa"/>
              <w:top w:w="55" w:type="dxa"/>
              <w:right w:w="90" w:type="dxa"/>
              <w:bottom w:w="55" w:type="dxa"/>
            </w:tcMar>
            <w:tcW w:w="2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5</w:t>
            </w:r>
            <w:r>
              <w:rPr>
                <w:color w:val="000000" w:themeColor="text1"/>
              </w:rPr>
            </w:r>
          </w:p>
        </w:tc>
        <w:tc>
          <w:tcPr>
            <w:shd w:val="clear" w:color="auto" w:fill="ffffff"/>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4</w:t>
            </w:r>
            <w:r>
              <w:rPr>
                <w:color w:val="000000" w:themeColor="text1"/>
              </w:rP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CM-02</w:t>
            </w:r>
            <w:r>
              <w:rPr>
                <w:color w:val="000000" w:themeColor="text1"/>
              </w:rPr>
            </w:r>
          </w:p>
        </w:tc>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Viabilidad con dos personas</w:t>
            </w:r>
            <w:r>
              <w:rPr>
                <w:color w:val="000000" w:themeColor="text1"/>
              </w:rPr>
            </w:r>
          </w:p>
        </w:tc>
        <w:tc>
          <w:tcPr>
            <w:shd w:val="clear" w:color="auto" w:fill="f2f2f2"/>
            <w:tcBorders/>
            <w:tcMar>
              <w:left w:w="90" w:type="dxa"/>
              <w:top w:w="55" w:type="dxa"/>
              <w:right w:w="90" w:type="dxa"/>
              <w:bottom w:w="55" w:type="dxa"/>
            </w:tcMar>
            <w:tcW w:w="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18 %</w:t>
            </w:r>
            <w:r>
              <w:rPr>
                <w:color w:val="000000" w:themeColor="text1"/>
              </w:rPr>
            </w:r>
          </w:p>
        </w:tc>
        <w:tc>
          <w:tcPr>
            <w:shd w:val="clear" w:color="auto" w:fill="f2f2f2"/>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2</w:t>
            </w:r>
            <w:r>
              <w:rPr>
                <w:color w:val="000000" w:themeColor="text1"/>
              </w:rPr>
            </w:r>
          </w:p>
        </w:tc>
        <w:tc>
          <w:tcPr>
            <w:shd w:val="clear" w:color="auto" w:fill="f2f2f2"/>
            <w:tcBorders/>
            <w:tcMar>
              <w:left w:w="90" w:type="dxa"/>
              <w:top w:w="55" w:type="dxa"/>
              <w:right w:w="90" w:type="dxa"/>
              <w:bottom w:w="55" w:type="dxa"/>
            </w:tcMar>
            <w:tcW w:w="2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4</w:t>
            </w:r>
            <w:r>
              <w:rPr>
                <w:color w:val="000000" w:themeColor="text1"/>
              </w:rPr>
            </w:r>
          </w:p>
        </w:tc>
        <w:tc>
          <w:tcPr>
            <w:shd w:val="clear" w:color="auto" w:fill="f2f2f2"/>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2</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CM-03</w:t>
            </w:r>
            <w:r>
              <w:rPr>
                <w:color w:val="000000" w:themeColor="text1"/>
              </w:rPr>
            </w:r>
          </w:p>
        </w:tc>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Remoto y asíncrono</w:t>
            </w:r>
            <w:r>
              <w:rPr>
                <w:color w:val="000000" w:themeColor="text1"/>
              </w:rPr>
            </w:r>
          </w:p>
        </w:tc>
        <w:tc>
          <w:tcPr>
            <w:shd w:val="clear" w:color="auto" w:fill="ffffff"/>
            <w:tcBorders/>
            <w:tcMar>
              <w:left w:w="90" w:type="dxa"/>
              <w:top w:w="55" w:type="dxa"/>
              <w:right w:w="90" w:type="dxa"/>
              <w:bottom w:w="55" w:type="dxa"/>
            </w:tcMar>
            <w:tcW w:w="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12 %</w:t>
            </w:r>
            <w:r>
              <w:rPr>
                <w:color w:val="000000" w:themeColor="text1"/>
              </w:rPr>
            </w:r>
          </w:p>
        </w:tc>
        <w:tc>
          <w:tcPr>
            <w:shd w:val="clear" w:color="auto" w:fill="ffffff"/>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4</w:t>
            </w:r>
            <w:r>
              <w:rPr>
                <w:color w:val="000000" w:themeColor="text1"/>
              </w:rPr>
            </w:r>
          </w:p>
        </w:tc>
        <w:tc>
          <w:tcPr>
            <w:shd w:val="clear" w:color="auto" w:fill="ffffff"/>
            <w:tcBorders/>
            <w:tcMar>
              <w:left w:w="90" w:type="dxa"/>
              <w:top w:w="55" w:type="dxa"/>
              <w:right w:w="90" w:type="dxa"/>
              <w:bottom w:w="55" w:type="dxa"/>
            </w:tcMar>
            <w:tcW w:w="2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4</w:t>
            </w:r>
            <w:r>
              <w:rPr>
                <w:color w:val="000000" w:themeColor="text1"/>
              </w:rPr>
            </w:r>
          </w:p>
        </w:tc>
        <w:tc>
          <w:tcPr>
            <w:shd w:val="clear" w:color="auto" w:fill="ffffff"/>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4</w:t>
            </w:r>
            <w:r>
              <w:rPr>
                <w:color w:val="000000" w:themeColor="text1"/>
              </w:rP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CM-04</w:t>
            </w:r>
            <w:r>
              <w:rPr>
                <w:color w:val="000000" w:themeColor="text1"/>
              </w:rPr>
            </w:r>
          </w:p>
        </w:tc>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Entrega temprana de valor</w:t>
            </w:r>
            <w:r>
              <w:rPr>
                <w:color w:val="000000" w:themeColor="text1"/>
              </w:rPr>
            </w:r>
          </w:p>
        </w:tc>
        <w:tc>
          <w:tcPr>
            <w:shd w:val="clear" w:color="auto" w:fill="f2f2f2"/>
            <w:tcBorders/>
            <w:tcMar>
              <w:left w:w="90" w:type="dxa"/>
              <w:top w:w="55" w:type="dxa"/>
              <w:right w:w="90" w:type="dxa"/>
              <w:bottom w:w="55" w:type="dxa"/>
            </w:tcMar>
            <w:tcW w:w="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13 %</w:t>
            </w:r>
            <w:r>
              <w:rPr>
                <w:color w:val="000000" w:themeColor="text1"/>
              </w:rPr>
            </w:r>
          </w:p>
        </w:tc>
        <w:tc>
          <w:tcPr>
            <w:shd w:val="clear" w:color="auto" w:fill="f2f2f2"/>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w:t>
            </w:r>
            <w:r>
              <w:rPr>
                <w:color w:val="000000" w:themeColor="text1"/>
              </w:rPr>
            </w:r>
          </w:p>
        </w:tc>
        <w:tc>
          <w:tcPr>
            <w:shd w:val="clear" w:color="auto" w:fill="f2f2f2"/>
            <w:tcBorders/>
            <w:tcMar>
              <w:left w:w="90" w:type="dxa"/>
              <w:top w:w="55" w:type="dxa"/>
              <w:right w:w="90" w:type="dxa"/>
              <w:bottom w:w="55" w:type="dxa"/>
            </w:tcMar>
            <w:tcW w:w="2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5</w:t>
            </w:r>
            <w:r>
              <w:rPr>
                <w:color w:val="000000" w:themeColor="text1"/>
              </w:rPr>
            </w:r>
          </w:p>
        </w:tc>
        <w:tc>
          <w:tcPr>
            <w:shd w:val="clear" w:color="auto" w:fill="f2f2f2"/>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4</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CM-05</w:t>
            </w:r>
            <w:r>
              <w:rPr>
                <w:color w:val="000000" w:themeColor="text1"/>
              </w:rPr>
            </w:r>
          </w:p>
        </w:tc>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Disciplina arquitectónica</w:t>
            </w:r>
            <w:r>
              <w:rPr>
                <w:color w:val="000000" w:themeColor="text1"/>
              </w:rPr>
            </w:r>
          </w:p>
        </w:tc>
        <w:tc>
          <w:tcPr>
            <w:shd w:val="clear" w:color="auto" w:fill="ffffff"/>
            <w:tcBorders/>
            <w:tcMar>
              <w:left w:w="90" w:type="dxa"/>
              <w:top w:w="55" w:type="dxa"/>
              <w:right w:w="90" w:type="dxa"/>
              <w:bottom w:w="55" w:type="dxa"/>
            </w:tcMar>
            <w:tcW w:w="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12 %</w:t>
            </w:r>
            <w:r>
              <w:rPr>
                <w:color w:val="000000" w:themeColor="text1"/>
              </w:rPr>
            </w:r>
          </w:p>
        </w:tc>
        <w:tc>
          <w:tcPr>
            <w:shd w:val="clear" w:color="auto" w:fill="ffffff"/>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4</w:t>
            </w:r>
            <w:r>
              <w:rPr>
                <w:color w:val="000000" w:themeColor="text1"/>
              </w:rPr>
            </w:r>
          </w:p>
        </w:tc>
        <w:tc>
          <w:tcPr>
            <w:shd w:val="clear" w:color="auto" w:fill="ffffff"/>
            <w:tcBorders/>
            <w:tcMar>
              <w:left w:w="90" w:type="dxa"/>
              <w:top w:w="55" w:type="dxa"/>
              <w:right w:w="90" w:type="dxa"/>
              <w:bottom w:w="55" w:type="dxa"/>
            </w:tcMar>
            <w:tcW w:w="2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3</w:t>
            </w:r>
            <w:r>
              <w:rPr>
                <w:color w:val="000000" w:themeColor="text1"/>
              </w:rPr>
            </w:r>
          </w:p>
        </w:tc>
        <w:tc>
          <w:tcPr>
            <w:shd w:val="clear" w:color="auto" w:fill="ffffff"/>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5</w:t>
            </w:r>
            <w:r>
              <w:rPr>
                <w:color w:val="000000" w:themeColor="text1"/>
              </w:rP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CM-06</w:t>
            </w:r>
            <w:r>
              <w:rPr>
                <w:color w:val="000000" w:themeColor="text1"/>
              </w:rPr>
            </w:r>
          </w:p>
        </w:tc>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Trazabilidad documental</w:t>
            </w:r>
            <w:r>
              <w:rPr>
                <w:color w:val="000000" w:themeColor="text1"/>
              </w:rPr>
            </w:r>
          </w:p>
        </w:tc>
        <w:tc>
          <w:tcPr>
            <w:shd w:val="clear" w:color="auto" w:fill="f2f2f2"/>
            <w:tcBorders/>
            <w:tcMar>
              <w:left w:w="90" w:type="dxa"/>
              <w:top w:w="55" w:type="dxa"/>
              <w:right w:w="90" w:type="dxa"/>
              <w:bottom w:w="55" w:type="dxa"/>
            </w:tcMar>
            <w:tcW w:w="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11 %</w:t>
            </w:r>
            <w:r>
              <w:rPr>
                <w:color w:val="000000" w:themeColor="text1"/>
              </w:rPr>
            </w:r>
          </w:p>
        </w:tc>
        <w:tc>
          <w:tcPr>
            <w:shd w:val="clear" w:color="auto" w:fill="f2f2f2"/>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5</w:t>
            </w:r>
            <w:r>
              <w:rPr>
                <w:color w:val="000000" w:themeColor="text1"/>
              </w:rPr>
            </w:r>
          </w:p>
        </w:tc>
        <w:tc>
          <w:tcPr>
            <w:shd w:val="clear" w:color="auto" w:fill="f2f2f2"/>
            <w:tcBorders/>
            <w:tcMar>
              <w:left w:w="90" w:type="dxa"/>
              <w:top w:w="55" w:type="dxa"/>
              <w:right w:w="90" w:type="dxa"/>
              <w:bottom w:w="55" w:type="dxa"/>
            </w:tcMar>
            <w:tcW w:w="2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3</w:t>
            </w:r>
            <w:r>
              <w:rPr>
                <w:color w:val="000000" w:themeColor="text1"/>
              </w:rPr>
            </w:r>
          </w:p>
        </w:tc>
        <w:tc>
          <w:tcPr>
            <w:shd w:val="clear" w:color="auto" w:fill="f2f2f2"/>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5</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CM-07</w:t>
            </w:r>
            <w:r>
              <w:rPr>
                <w:color w:val="000000" w:themeColor="text1"/>
              </w:rPr>
            </w:r>
          </w:p>
        </w:tc>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Bajo costo ceremonial</w:t>
            </w:r>
            <w:r>
              <w:rPr>
                <w:color w:val="000000" w:themeColor="text1"/>
              </w:rPr>
            </w:r>
          </w:p>
        </w:tc>
        <w:tc>
          <w:tcPr>
            <w:shd w:val="clear" w:color="auto" w:fill="ffffff"/>
            <w:tcBorders/>
            <w:tcMar>
              <w:left w:w="90" w:type="dxa"/>
              <w:top w:w="55" w:type="dxa"/>
              <w:right w:w="90" w:type="dxa"/>
              <w:bottom w:w="55" w:type="dxa"/>
            </w:tcMar>
            <w:tcW w:w="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12 %</w:t>
            </w:r>
            <w:r>
              <w:rPr>
                <w:color w:val="000000" w:themeColor="text1"/>
              </w:rPr>
            </w:r>
          </w:p>
        </w:tc>
        <w:tc>
          <w:tcPr>
            <w:shd w:val="clear" w:color="auto" w:fill="ffffff"/>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3</w:t>
            </w:r>
            <w:r>
              <w:rPr>
                <w:color w:val="000000" w:themeColor="text1"/>
              </w:rPr>
            </w:r>
          </w:p>
        </w:tc>
        <w:tc>
          <w:tcPr>
            <w:shd w:val="clear" w:color="auto" w:fill="ffffff"/>
            <w:tcBorders/>
            <w:tcMar>
              <w:left w:w="90" w:type="dxa"/>
              <w:top w:w="55" w:type="dxa"/>
              <w:right w:w="90" w:type="dxa"/>
              <w:bottom w:w="55" w:type="dxa"/>
            </w:tcMar>
            <w:tcW w:w="2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4</w:t>
            </w:r>
            <w:r>
              <w:rPr>
                <w:color w:val="000000" w:themeColor="text1"/>
              </w:rPr>
            </w:r>
          </w:p>
        </w:tc>
        <w:tc>
          <w:tcPr>
            <w:shd w:val="clear" w:color="auto" w:fill="ffffff"/>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2</w:t>
            </w:r>
            <w:r>
              <w:rPr>
                <w:color w:val="000000" w:themeColor="text1"/>
              </w:rP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CM-08</w:t>
            </w:r>
            <w:r>
              <w:rPr>
                <w:color w:val="000000" w:themeColor="text1"/>
              </w:rPr>
            </w:r>
          </w:p>
        </w:tc>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Medición y mejora del proceso</w:t>
            </w:r>
            <w:r>
              <w:rPr>
                <w:color w:val="000000" w:themeColor="text1"/>
              </w:rPr>
            </w:r>
          </w:p>
        </w:tc>
        <w:tc>
          <w:tcPr>
            <w:shd w:val="clear" w:color="auto" w:fill="f2f2f2"/>
            <w:tcBorders/>
            <w:tcMar>
              <w:left w:w="90" w:type="dxa"/>
              <w:top w:w="55" w:type="dxa"/>
              <w:right w:w="90" w:type="dxa"/>
              <w:bottom w:w="55" w:type="dxa"/>
            </w:tcMar>
            <w:tcW w:w="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8 %</w:t>
            </w:r>
            <w:r>
              <w:rPr>
                <w:color w:val="000000" w:themeColor="text1"/>
              </w:rPr>
            </w:r>
          </w:p>
        </w:tc>
        <w:tc>
          <w:tcPr>
            <w:shd w:val="clear" w:color="auto" w:fill="f2f2f2"/>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2</w:t>
            </w:r>
            <w:r>
              <w:rPr>
                <w:color w:val="000000" w:themeColor="text1"/>
              </w:rPr>
            </w:r>
          </w:p>
        </w:tc>
        <w:tc>
          <w:tcPr>
            <w:shd w:val="clear" w:color="auto" w:fill="f2f2f2"/>
            <w:tcBorders/>
            <w:tcMar>
              <w:left w:w="90" w:type="dxa"/>
              <w:top w:w="55" w:type="dxa"/>
              <w:right w:w="90" w:type="dxa"/>
              <w:bottom w:w="55" w:type="dxa"/>
            </w:tcMar>
            <w:tcW w:w="2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5</w:t>
            </w:r>
            <w:r>
              <w:rPr>
                <w:color w:val="000000" w:themeColor="text1"/>
              </w:rPr>
            </w:r>
          </w:p>
        </w:tc>
        <w:tc>
          <w:tcPr>
            <w:shd w:val="clear" w:color="auto" w:fill="f2f2f2"/>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4</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r>
            <w:r>
              <w:rPr>
                <w:color w:val="000000" w:themeColor="text1"/>
              </w:rPr>
            </w:r>
          </w:p>
        </w:tc>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Puntuación ponderada</w:t>
            </w:r>
            <w:r>
              <w:rPr>
                <w:color w:val="000000" w:themeColor="text1"/>
              </w:rPr>
            </w:r>
          </w:p>
        </w:tc>
        <w:tc>
          <w:tcPr>
            <w:shd w:val="clear" w:color="auto" w:fill="ffffff"/>
            <w:tcBorders/>
            <w:tcMar>
              <w:left w:w="90" w:type="dxa"/>
              <w:top w:w="55" w:type="dxa"/>
              <w:right w:w="90" w:type="dxa"/>
              <w:bottom w:w="55" w:type="dxa"/>
            </w:tcMar>
            <w:tcW w:w="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100 %</w:t>
            </w:r>
            <w:r>
              <w:rPr>
                <w:color w:val="000000" w:themeColor="text1"/>
              </w:rPr>
            </w:r>
          </w:p>
        </w:tc>
        <w:tc>
          <w:tcPr>
            <w:shd w:val="clear" w:color="auto" w:fill="ffffff"/>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2,66</w:t>
            </w:r>
            <w:r>
              <w:rPr>
                <w:color w:val="000000" w:themeColor="text1"/>
              </w:rPr>
            </w:r>
          </w:p>
        </w:tc>
        <w:tc>
          <w:tcPr>
            <w:shd w:val="clear" w:color="auto" w:fill="ffffff"/>
            <w:tcBorders/>
            <w:tcMar>
              <w:left w:w="90" w:type="dxa"/>
              <w:top w:w="55" w:type="dxa"/>
              <w:right w:w="90" w:type="dxa"/>
              <w:bottom w:w="55" w:type="dxa"/>
            </w:tcMar>
            <w:tcW w:w="247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4,12</w:t>
            </w:r>
            <w:r>
              <w:rPr>
                <w:color w:val="000000" w:themeColor="text1"/>
              </w:rPr>
            </w:r>
          </w:p>
        </w:tc>
        <w:tc>
          <w:tcPr>
            <w:shd w:val="clear" w:color="auto" w:fill="ffffff"/>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3,63</w:t>
            </w:r>
            <w:r>
              <w:rPr>
                <w:color w:val="000000" w:themeColor="text1"/>
              </w:rP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r>
            <w:r>
              <w:rPr>
                <w:color w:val="000000" w:themeColor="text1"/>
              </w:rPr>
            </w:r>
          </w:p>
        </w:tc>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Orden</w:t>
            </w:r>
            <w:r>
              <w:rPr>
                <w:color w:val="000000" w:themeColor="text1"/>
              </w:rPr>
            </w:r>
          </w:p>
        </w:tc>
        <w:tc>
          <w:tcPr>
            <w:shd w:val="clear" w:color="auto" w:fill="f2f2f2"/>
            <w:tcBorders/>
            <w:tcMar>
              <w:left w:w="90" w:type="dxa"/>
              <w:top w:w="55" w:type="dxa"/>
              <w:right w:w="90" w:type="dxa"/>
              <w:bottom w:w="55" w:type="dxa"/>
            </w:tcMar>
            <w:tcW w:w="7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r>
            <w:r>
              <w:rPr>
                <w:color w:val="000000" w:themeColor="text1"/>
              </w:rPr>
            </w:r>
          </w:p>
        </w:tc>
        <w:tc>
          <w:tcPr>
            <w:shd w:val="clear" w:color="auto" w:fill="f2f2f2"/>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3.º</w:t>
            </w:r>
            <w:r>
              <w:rPr>
                <w:color w:val="000000" w:themeColor="text1"/>
              </w:rPr>
            </w:r>
          </w:p>
        </w:tc>
        <w:tc>
          <w:tcPr>
            <w:shd w:val="clear" w:color="auto" w:fill="f2f2f2"/>
            <w:tcBorders/>
            <w:tcMar>
              <w:left w:w="90" w:type="dxa"/>
              <w:top w:w="55" w:type="dxa"/>
              <w:right w:w="90" w:type="dxa"/>
              <w:bottom w:w="55" w:type="dxa"/>
            </w:tcMar>
            <w:tcW w:w="247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1.º</w:t>
            </w:r>
            <w:r>
              <w:rPr>
                <w:color w:val="000000" w:themeColor="text1"/>
              </w:rPr>
            </w:r>
          </w:p>
        </w:tc>
        <w:tc>
          <w:tcPr>
            <w:shd w:val="clear" w:color="auto" w:fill="f2f2f2"/>
            <w:tcBorders/>
            <w:tcMar>
              <w:left w:w="90" w:type="dxa"/>
              <w:top w:w="55" w:type="dxa"/>
              <w:right w:w="90" w:type="dxa"/>
              <w:bottom w:w="55" w:type="dxa"/>
            </w:tcMar>
            <w:tcW w:w="1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2.º</w:t>
            </w:r>
            <w:r>
              <w:rPr>
                <w:color w:val="000000" w:themeColor="text1"/>
              </w:rPr>
            </w:r>
          </w:p>
        </w:tc>
      </w:tr>
    </w:tbl>
    <w:p>
      <w:pPr>
        <w:pBdr/>
        <w:spacing w:after="100"/>
        <w:ind/>
        <w:rPr>
          <w:color w:val="000000" w:themeColor="text1"/>
        </w:rPr>
      </w:pP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Las casillas que deciden.</w:t>
      </w:r>
      <w:r>
        <w:rPr>
          <w:rFonts w:ascii="Calibri" w:hAnsi="Calibri" w:eastAsia="Calibri" w:cs="Calibri"/>
          <w:b w:val="0"/>
          <w:bCs w:val="0"/>
          <w:i w:val="0"/>
          <w:iCs w:val="0"/>
          <w:color w:val="000000" w:themeColor="text1"/>
          <w:sz w:val="22"/>
          <w:szCs w:val="22"/>
        </w:rPr>
        <w:t xml:space="preserve"> La distancia entre B y C, de 0,49 puntos, procede casi enteramente de tres criterios. En CM-02 la diferencia es de dos puntos: el Proceso Unificado supone un equipo que pueda sostener sus artefactos, y dos personas no lo son. En CM-07 la diferencia es de dos puntos por la misma causa vista desde el costo. En CM-04 la diferencia es de un punto, porque el ciclo de retroalimentación ligado a hitos de fase es más lento que el ligado a iteraciones de dos semanas. En sentido contrario, C aventaja a B en CM-05 y CM-06, y esa ventaja es real y no se disimula.</w:t>
      </w: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Las casillas débiles de la opción ganadora determinan el resto del documento.</w:t>
      </w:r>
      <w:r>
        <w:rPr>
          <w:rFonts w:ascii="Calibri" w:hAnsi="Calibri" w:eastAsia="Calibri" w:cs="Calibri"/>
          <w:b w:val="0"/>
          <w:bCs w:val="0"/>
          <w:i w:val="0"/>
          <w:iCs w:val="0"/>
          <w:color w:val="000000" w:themeColor="text1"/>
          <w:sz w:val="22"/>
          <w:szCs w:val="22"/>
        </w:rPr>
        <w:t xml:space="preserve"> B puntúa 3 en CM-05 y 3 en CM-06, sus dos valores más bajos. Un documento que se limitara a proclamar la victoria de B dejaría esas dos debilidades sin atender. Las decisiones DM-04, DM-05 y DM-06 existen para elevar la disciplina arquitectónica por medios que el marco de gestión no provee por sí mismo, y las decisiones DM-07 y PR-11, junto con la sección 2.15, para sostener la trazabilidad documental. Es el mismo procedimiento que el documento 3 aplicó al derivar sus mitigaciones de los riesgos R-01 a R-05 en lugar de declararlos y seguir adelante.</w:t>
      </w:r>
      <w:r>
        <w:rPr>
          <w:color w:val="000000" w:themeColor="text1"/>
        </w:rPr>
      </w:r>
    </w:p>
    <w:p>
      <w:pPr>
        <w:pStyle w:val="918"/>
        <w:pBdr/>
        <w:spacing w:after="140" w:before="280"/>
        <w:ind/>
        <w:rPr>
          <w:color w:val="000000" w:themeColor="text1"/>
        </w:rPr>
      </w:pPr>
      <w:r>
        <w:rPr>
          <w:color w:val="000000" w:themeColor="text1"/>
        </w:rPr>
      </w:r>
      <w:bookmarkStart w:id="21" w:name="_Toc21"/>
      <w:r>
        <w:rPr>
          <w:rFonts w:ascii="Calibri" w:hAnsi="Calibri" w:eastAsia="Calibri" w:cs="Calibri"/>
          <w:b/>
          <w:bCs/>
          <w:color w:val="000000" w:themeColor="text1"/>
          <w:sz w:val="25"/>
          <w:szCs w:val="25"/>
        </w:rPr>
        <w:t xml:space="preserve">2.8 Análisis de sensibilidad</w:t>
      </w:r>
      <w:bookmarkEnd w:id="21"/>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Una decisión que dependa de un ajuste fino de los pesos no es una decisión sino una coincidencia. Se recalcula la matriz bajo tres escenarios que alteran deliberadamente las apreciaciones más discutibles de la sección 2.6.</w:t>
      </w:r>
      <w:r>
        <w:rPr>
          <w:color w:val="000000" w:themeColor="text1"/>
        </w:rPr>
      </w:r>
    </w:p>
    <w:p>
      <w:pPr>
        <w:pBdr/>
        <w:spacing w:after="6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800"/>
        <w:gridCol w:w="3200"/>
        <w:gridCol w:w="1690"/>
        <w:gridCol w:w="1120"/>
        <w:gridCol w:w="1130"/>
        <w:gridCol w:w="1130"/>
      </w:tblGrid>
      <w:tr>
        <w:trPr>
          <w:tblHeader/>
        </w:trPr>
        <w:tc>
          <w:tcPr>
            <w:shd w:val="clear" w:color="auto" w:fill="dce6f1"/>
            <w:tcBorders/>
            <w:tcMar>
              <w:left w:w="90" w:type="dxa"/>
              <w:top w:w="60" w:type="dxa"/>
              <w:right w:w="90" w:type="dxa"/>
              <w:bottom w:w="60" w:type="dxa"/>
            </w:tcMar>
            <w:tcW w:w="8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w:t>
            </w:r>
            <w:r>
              <w:rPr>
                <w:color w:val="000000" w:themeColor="text1"/>
              </w:rPr>
            </w:r>
          </w:p>
        </w:tc>
        <w:tc>
          <w:tcPr>
            <w:shd w:val="clear" w:color="auto" w:fill="dce6f1"/>
            <w:tcBorders/>
            <w:tcMar>
              <w:left w:w="90" w:type="dxa"/>
              <w:top w:w="60" w:type="dxa"/>
              <w:right w:w="90" w:type="dxa"/>
              <w:bottom w:w="60" w:type="dxa"/>
            </w:tcMar>
            <w:tcW w:w="32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Escenario y modificación de pesos</w:t>
            </w:r>
            <w:r>
              <w:rPr>
                <w:color w:val="000000" w:themeColor="text1"/>
              </w:rPr>
            </w:r>
          </w:p>
        </w:tc>
        <w:tc>
          <w:tcPr>
            <w:shd w:val="clear" w:color="auto" w:fill="dce6f1"/>
            <w:tcBorders/>
            <w:tcMar>
              <w:left w:w="90" w:type="dxa"/>
              <w:top w:w="60" w:type="dxa"/>
              <w:right w:w="90" w:type="dxa"/>
              <w:bottom w:w="60" w:type="dxa"/>
            </w:tcMar>
            <w:tcW w:w="169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Supuesto que pone a prueba</w:t>
            </w:r>
            <w:r>
              <w:rPr>
                <w:color w:val="000000" w:themeColor="text1"/>
              </w:rPr>
            </w:r>
          </w:p>
        </w:tc>
        <w:tc>
          <w:tcPr>
            <w:shd w:val="clear" w:color="auto" w:fill="dce6f1"/>
            <w:tcBorders/>
            <w:tcMar>
              <w:left w:w="90" w:type="dxa"/>
              <w:top w:w="60" w:type="dxa"/>
              <w:right w:w="90" w:type="dxa"/>
              <w:bottom w:w="60" w:type="dxa"/>
            </w:tcMar>
            <w:tcW w:w="112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A</w:t>
            </w:r>
            <w:r>
              <w:rPr>
                <w:color w:val="000000" w:themeColor="text1"/>
              </w:rPr>
            </w:r>
          </w:p>
        </w:tc>
        <w:tc>
          <w:tcPr>
            <w:shd w:val="clear" w:color="auto" w:fill="dce6f1"/>
            <w:tcBorders/>
            <w:tcMar>
              <w:left w:w="90" w:type="dxa"/>
              <w:top w:w="60" w:type="dxa"/>
              <w:right w:w="90" w:type="dxa"/>
              <w:bottom w:w="60" w:type="dxa"/>
            </w:tcMar>
            <w:tcW w:w="113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B</w:t>
            </w:r>
            <w:r>
              <w:rPr>
                <w:color w:val="000000" w:themeColor="text1"/>
              </w:rPr>
            </w:r>
          </w:p>
        </w:tc>
        <w:tc>
          <w:tcPr>
            <w:shd w:val="clear" w:color="auto" w:fill="dce6f1"/>
            <w:tcBorders/>
            <w:tcMar>
              <w:left w:w="90" w:type="dxa"/>
              <w:top w:w="60" w:type="dxa"/>
              <w:right w:w="90" w:type="dxa"/>
              <w:bottom w:w="60" w:type="dxa"/>
            </w:tcMar>
            <w:tcW w:w="113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C</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E-1</w:t>
            </w:r>
            <w:r>
              <w:rPr>
                <w:color w:val="000000" w:themeColor="text1"/>
              </w:rPr>
            </w:r>
          </w:p>
        </w:tc>
        <w:tc>
          <w:tcPr>
            <w:shd w:val="clear" w:color="auto" w:fill="ffffff"/>
            <w:tcBorders/>
            <w:tcMar>
              <w:left w:w="90" w:type="dxa"/>
              <w:top w:w="55" w:type="dxa"/>
              <w:right w:w="90" w:type="dxa"/>
              <w:bottom w:w="55" w:type="dxa"/>
            </w:tcMar>
            <w:tcW w:w="3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trazabilidad documental se considera decisiva: CM-06 sube del 11 % al 22 %, restando seis puntos a CM-01 y cinco a CM-04.</w:t>
            </w:r>
            <w:r>
              <w:rPr>
                <w:color w:val="000000" w:themeColor="text1"/>
              </w:rPr>
            </w:r>
          </w:p>
        </w:tc>
        <w:tc>
          <w:tcPr>
            <w:shd w:val="clear" w:color="auto" w:fill="ffffff"/>
            <w:tcBorders/>
            <w:tcMar>
              <w:left w:w="90" w:type="dxa"/>
              <w:top w:w="55" w:type="dxa"/>
              <w:right w:w="90" w:type="dxa"/>
              <w:bottom w:w="55" w:type="dxa"/>
            </w:tcMar>
            <w:tcW w:w="169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Que la serie documental valore la evidencia escrita por encima de la velocidad de retroalimentación.</w:t>
            </w:r>
            <w:r>
              <w:rPr>
                <w:color w:val="000000" w:themeColor="text1"/>
              </w:rPr>
            </w:r>
          </w:p>
        </w:tc>
        <w:tc>
          <w:tcPr>
            <w:shd w:val="clear" w:color="auto" w:fill="ffffff"/>
            <w:tcBorders/>
            <w:tcMar>
              <w:left w:w="90" w:type="dxa"/>
              <w:top w:w="55" w:type="dxa"/>
              <w:right w:w="90" w:type="dxa"/>
              <w:bottom w:w="55" w:type="dxa"/>
            </w:tcMar>
            <w:tcW w:w="11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3,10</w:t>
            </w:r>
            <w:r>
              <w:rPr>
                <w:color w:val="000000" w:themeColor="text1"/>
              </w:rPr>
            </w:r>
          </w:p>
        </w:tc>
        <w:tc>
          <w:tcPr>
            <w:shd w:val="clear" w:color="auto" w:fill="ffffff"/>
            <w:tcBorders/>
            <w:tcMar>
              <w:left w:w="90" w:type="dxa"/>
              <w:top w:w="55" w:type="dxa"/>
              <w:right w:w="90" w:type="dxa"/>
              <w:bottom w:w="55" w:type="dxa"/>
            </w:tcMar>
            <w:tcW w:w="113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3,90</w:t>
            </w:r>
            <w:r>
              <w:rPr>
                <w:color w:val="000000" w:themeColor="text1"/>
              </w:rPr>
            </w:r>
          </w:p>
        </w:tc>
        <w:tc>
          <w:tcPr>
            <w:shd w:val="clear" w:color="auto" w:fill="ffffff"/>
            <w:tcBorders/>
            <w:tcMar>
              <w:left w:w="90" w:type="dxa"/>
              <w:top w:w="55" w:type="dxa"/>
              <w:right w:w="90" w:type="dxa"/>
              <w:bottom w:w="55" w:type="dxa"/>
            </w:tcMar>
            <w:tcW w:w="113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3,74</w:t>
            </w:r>
            <w:r>
              <w:rPr>
                <w:color w:val="000000" w:themeColor="text1"/>
              </w:rP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E-2</w:t>
            </w:r>
            <w:r>
              <w:rPr>
                <w:color w:val="000000" w:themeColor="text1"/>
              </w:rPr>
            </w:r>
          </w:p>
        </w:tc>
        <w:tc>
          <w:tcPr>
            <w:shd w:val="clear" w:color="auto" w:fill="f2f2f2"/>
            <w:tcBorders/>
            <w:tcMar>
              <w:left w:w="90" w:type="dxa"/>
              <w:top w:w="55" w:type="dxa"/>
              <w:right w:w="90" w:type="dxa"/>
              <w:bottom w:w="55" w:type="dxa"/>
            </w:tcMar>
            <w:tcW w:w="3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catálogo se considerase cerrado: CM-01 baja del 14 % al 4 % y los diez puntos pasan a CM-06.</w:t>
            </w:r>
            <w:r>
              <w:rPr>
                <w:color w:val="000000" w:themeColor="text1"/>
              </w:rPr>
            </w:r>
          </w:p>
        </w:tc>
        <w:tc>
          <w:tcPr>
            <w:shd w:val="clear" w:color="auto" w:fill="f2f2f2"/>
            <w:tcBorders/>
            <w:tcMar>
              <w:left w:w="90" w:type="dxa"/>
              <w:top w:w="55" w:type="dxa"/>
              <w:right w:w="90" w:type="dxa"/>
              <w:bottom w:w="55" w:type="dxa"/>
            </w:tcMar>
            <w:tcW w:w="169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Que la declaración de especificación abierta del documento 2 se revirtiera.</w:t>
            </w:r>
            <w:r>
              <w:rPr>
                <w:color w:val="000000" w:themeColor="text1"/>
              </w:rPr>
            </w:r>
          </w:p>
        </w:tc>
        <w:tc>
          <w:tcPr>
            <w:shd w:val="clear" w:color="auto" w:fill="f2f2f2"/>
            <w:tcBorders/>
            <w:tcMar>
              <w:left w:w="90" w:type="dxa"/>
              <w:top w:w="55" w:type="dxa"/>
              <w:right w:w="90" w:type="dxa"/>
              <w:bottom w:w="55" w:type="dxa"/>
            </w:tcMar>
            <w:tcW w:w="11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3,06</w:t>
            </w:r>
            <w:r>
              <w:rPr>
                <w:color w:val="000000" w:themeColor="text1"/>
              </w:rPr>
            </w:r>
          </w:p>
        </w:tc>
        <w:tc>
          <w:tcPr>
            <w:shd w:val="clear" w:color="auto" w:fill="f2f2f2"/>
            <w:tcBorders/>
            <w:tcMar>
              <w:left w:w="90" w:type="dxa"/>
              <w:top w:w="55" w:type="dxa"/>
              <w:right w:w="90" w:type="dxa"/>
              <w:bottom w:w="55" w:type="dxa"/>
            </w:tcMar>
            <w:tcW w:w="113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3,92</w:t>
            </w:r>
            <w:r>
              <w:rPr>
                <w:color w:val="000000" w:themeColor="text1"/>
              </w:rPr>
            </w:r>
          </w:p>
        </w:tc>
        <w:tc>
          <w:tcPr>
            <w:shd w:val="clear" w:color="auto" w:fill="f2f2f2"/>
            <w:tcBorders/>
            <w:tcMar>
              <w:left w:w="90" w:type="dxa"/>
              <w:top w:w="55" w:type="dxa"/>
              <w:right w:w="90" w:type="dxa"/>
              <w:bottom w:w="55" w:type="dxa"/>
            </w:tcMar>
            <w:tcW w:w="113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3,73</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E-3</w:t>
            </w:r>
            <w:r>
              <w:rPr>
                <w:color w:val="000000" w:themeColor="text1"/>
              </w:rPr>
            </w:r>
          </w:p>
        </w:tc>
        <w:tc>
          <w:tcPr>
            <w:shd w:val="clear" w:color="auto" w:fill="ffffff"/>
            <w:tcBorders/>
            <w:tcMar>
              <w:left w:w="90" w:type="dxa"/>
              <w:top w:w="55" w:type="dxa"/>
              <w:right w:w="90" w:type="dxa"/>
              <w:bottom w:w="55" w:type="dxa"/>
            </w:tcMar>
            <w:tcW w:w="3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equipo dispusiera de cuatro personas con roles especializados: CM-02 baja del 18 % al 9 %, y los nueve puntos se reparten entre CM-05 y CM-06.</w:t>
            </w:r>
            <w:r>
              <w:rPr>
                <w:color w:val="000000" w:themeColor="text1"/>
              </w:rPr>
            </w:r>
          </w:p>
        </w:tc>
        <w:tc>
          <w:tcPr>
            <w:shd w:val="clear" w:color="auto" w:fill="ffffff"/>
            <w:tcBorders/>
            <w:tcMar>
              <w:left w:w="90" w:type="dxa"/>
              <w:top w:w="55" w:type="dxa"/>
              <w:right w:w="90" w:type="dxa"/>
              <w:bottom w:w="55" w:type="dxa"/>
            </w:tcMar>
            <w:tcW w:w="169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Que la restricción RO-01 dejara de operar, que es el supuesto más determinante de todos.</w:t>
            </w:r>
            <w:r>
              <w:rPr>
                <w:color w:val="000000" w:themeColor="text1"/>
              </w:rPr>
            </w:r>
          </w:p>
        </w:tc>
        <w:tc>
          <w:tcPr>
            <w:shd w:val="clear" w:color="auto" w:fill="ffffff"/>
            <w:tcBorders/>
            <w:tcMar>
              <w:left w:w="90" w:type="dxa"/>
              <w:top w:w="55" w:type="dxa"/>
              <w:right w:w="90" w:type="dxa"/>
              <w:bottom w:w="55" w:type="dxa"/>
            </w:tcMar>
            <w:tcW w:w="11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2,89</w:t>
            </w:r>
            <w:r>
              <w:rPr>
                <w:color w:val="000000" w:themeColor="text1"/>
              </w:rPr>
            </w:r>
          </w:p>
        </w:tc>
        <w:tc>
          <w:tcPr>
            <w:shd w:val="clear" w:color="auto" w:fill="ffffff"/>
            <w:tcBorders/>
            <w:tcMar>
              <w:left w:w="90" w:type="dxa"/>
              <w:top w:w="55" w:type="dxa"/>
              <w:right w:w="90" w:type="dxa"/>
              <w:bottom w:w="55" w:type="dxa"/>
            </w:tcMar>
            <w:tcW w:w="113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4,03</w:t>
            </w:r>
            <w:r>
              <w:rPr>
                <w:color w:val="000000" w:themeColor="text1"/>
              </w:rPr>
            </w:r>
          </w:p>
        </w:tc>
        <w:tc>
          <w:tcPr>
            <w:shd w:val="clear" w:color="auto" w:fill="ffffff"/>
            <w:tcBorders/>
            <w:tcMar>
              <w:left w:w="90" w:type="dxa"/>
              <w:top w:w="55" w:type="dxa"/>
              <w:right w:w="90" w:type="dxa"/>
              <w:bottom w:w="55" w:type="dxa"/>
            </w:tcMar>
            <w:tcW w:w="113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3,90</w:t>
            </w:r>
            <w:r>
              <w:rPr>
                <w:color w:val="000000" w:themeColor="text1"/>
              </w:rPr>
            </w:r>
          </w:p>
        </w:tc>
      </w:tr>
    </w:tbl>
    <w:p>
      <w:pPr>
        <w:pBdr/>
        <w:spacing w:after="100"/>
        <w:ind/>
        <w:rPr>
          <w:color w:val="000000" w:themeColor="text1"/>
        </w:rPr>
      </w:pPr>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La opción B conserva el primer lugar en los tres escenarios, de modo que la decisión es robusta. Ahora bien, su margen se estrecha de forma apreciable: de 0,49 puntos en el caso base a 0,16 en E-1 y a 0,13 en E-3. Se extraen dos lecturas, y ambas se declaran por honestidad del análisis.</w:t>
      </w:r>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La primera es que el modelo en V no gana en ningún escenario, ni siquiera en aquel que maximiza el peso de su mayor virtud. Su descarte no depende de la ponderación adoptada.</w:t>
      </w:r>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La segunda es que la ventaja sobre el Proceso Unificado ligero </w:t>
      </w:r>
      <w:r>
        <w:rPr>
          <w:rFonts w:ascii="Calibri" w:hAnsi="Calibri" w:eastAsia="Calibri" w:cs="Calibri"/>
          <w:b/>
          <w:bCs/>
          <w:i w:val="0"/>
          <w:iCs w:val="0"/>
          <w:color w:val="000000" w:themeColor="text1"/>
          <w:sz w:val="22"/>
          <w:szCs w:val="22"/>
        </w:rPr>
        <w:t xml:space="preserve">sí depende del tamaño del equipo y del peso de la documentación</w:t>
      </w:r>
      <w:r>
        <w:rPr>
          <w:rFonts w:ascii="Calibri" w:hAnsi="Calibri" w:eastAsia="Calibri" w:cs="Calibri"/>
          <w:b w:val="0"/>
          <w:bCs w:val="0"/>
          <w:i w:val="0"/>
          <w:iCs w:val="0"/>
          <w:color w:val="000000" w:themeColor="text1"/>
          <w:sz w:val="22"/>
          <w:szCs w:val="22"/>
        </w:rPr>
        <w:t xml:space="preserve">. Si la unidad U-01 creciera o si la exigencia documental aumentara, la elección debería reabrirse. Se registra como condición de revisión: la decisión de esta sección tiene validez mientras FD-01 se mantenga.</w:t>
      </w:r>
      <w:r>
        <w:rPr>
          <w:color w:val="000000" w:themeColor="text1"/>
        </w:rPr>
      </w:r>
    </w:p>
    <w:p>
      <w:pPr>
        <w:pStyle w:val="918"/>
        <w:pBdr/>
        <w:spacing w:after="140" w:before="280"/>
        <w:ind/>
        <w:rPr>
          <w:color w:val="000000" w:themeColor="text1"/>
        </w:rPr>
      </w:pPr>
      <w:r>
        <w:rPr>
          <w:color w:val="000000" w:themeColor="text1"/>
        </w:rPr>
      </w:r>
      <w:bookmarkStart w:id="22" w:name="_Toc22"/>
      <w:r>
        <w:rPr>
          <w:rFonts w:ascii="Calibri" w:hAnsi="Calibri" w:eastAsia="Calibri" w:cs="Calibri"/>
          <w:b/>
          <w:bCs/>
          <w:color w:val="000000" w:themeColor="text1"/>
          <w:sz w:val="25"/>
          <w:szCs w:val="25"/>
        </w:rPr>
        <w:t xml:space="preserve">2.9 Decisión adoptada y justificación</w:t>
      </w:r>
      <w:bookmarkEnd w:id="22"/>
      <w:r>
        <w:rPr>
          <w:color w:val="000000" w:themeColor="text1"/>
        </w:rPr>
      </w:r>
    </w:p>
    <w:p>
      <w:pPr>
        <w:pBdr/>
        <w:spacing w:after="4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2300"/>
        <w:gridCol w:w="6770"/>
      </w:tblGrid>
      <w:tr>
        <w:trPr>
          <w:tblHeader/>
        </w:trPr>
        <w:tc>
          <w:tcPr>
            <w:shd w:val="clear" w:color="auto" w:fill="dce6f1"/>
            <w:tcBorders/>
            <w:tcMar>
              <w:left w:w="90" w:type="dxa"/>
              <w:top w:w="60" w:type="dxa"/>
              <w:right w:w="90" w:type="dxa"/>
              <w:bottom w:w="60" w:type="dxa"/>
            </w:tcMar>
            <w:tcW w:w="23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Campo</w:t>
            </w:r>
            <w:r>
              <w:rPr>
                <w:color w:val="000000" w:themeColor="text1"/>
              </w:rPr>
            </w:r>
          </w:p>
        </w:tc>
        <w:tc>
          <w:tcPr>
            <w:shd w:val="clear" w:color="auto" w:fill="dce6f1"/>
            <w:tcBorders/>
            <w:tcMar>
              <w:left w:w="90" w:type="dxa"/>
              <w:top w:w="60" w:type="dxa"/>
              <w:right w:w="90" w:type="dxa"/>
              <w:bottom w:w="60" w:type="dxa"/>
            </w:tcMar>
            <w:tcW w:w="67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Contenido</w:t>
            </w:r>
            <w:r>
              <w:rPr>
                <w:color w:val="000000" w:themeColor="text1"/>
              </w:rPr>
            </w:r>
          </w:p>
        </w:tc>
      </w:tr>
      <w:tr>
        <w:trPr/>
        <w:tc>
          <w:tcPr>
            <w:shd w:val="clear" w:color="auto" w:fill="ffffff"/>
            <w:tcBorders/>
            <w:tcMar>
              <w:left w:w="90" w:type="dxa"/>
              <w:top w:w="55" w:type="dxa"/>
              <w:right w:w="90" w:type="dxa"/>
              <w:bottom w:w="55" w:type="dxa"/>
            </w:tcMar>
            <w:tcW w:w="2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Modelo elegido</w:t>
            </w:r>
            <w:r>
              <w:rPr>
                <w:color w:val="000000" w:themeColor="text1"/>
              </w:rPr>
            </w:r>
          </w:p>
        </w:tc>
        <w:tc>
          <w:tcPr>
            <w:shd w:val="clear" w:color="auto" w:fill="ffffff"/>
            <w:tcBorders/>
            <w:tcMar>
              <w:left w:w="90" w:type="dxa"/>
              <w:top w:w="55" w:type="dxa"/>
              <w:right w:w="90" w:type="dxa"/>
              <w:bottom w:w="55" w:type="dxa"/>
            </w:tcMar>
            <w:tcW w:w="67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Alternativa B — Modelo </w:t>
            </w:r>
            <w:r>
              <w:rPr>
                <w:rFonts w:ascii="Calibri" w:hAnsi="Calibri" w:eastAsia="Calibri" w:cs="Calibri"/>
                <w:b/>
                <w:bCs/>
                <w:color w:val="000000" w:themeColor="text1"/>
                <w:sz w:val="17"/>
                <w:szCs w:val="17"/>
              </w:rPr>
              <w:t xml:space="preserve">iterativo e incremental</w:t>
            </w:r>
            <w:r>
              <w:rPr>
                <w:rFonts w:ascii="Calibri" w:hAnsi="Calibri" w:eastAsia="Calibri" w:cs="Calibri"/>
                <w:b w:val="0"/>
                <w:bCs w:val="0"/>
                <w:color w:val="000000" w:themeColor="text1"/>
                <w:sz w:val="17"/>
                <w:szCs w:val="17"/>
              </w:rPr>
              <w:t xml:space="preserve">, de paradigma adaptativo y </w:t>
            </w:r>
            <w:r>
              <w:rPr>
                <w:rFonts w:ascii="Calibri" w:hAnsi="Calibri" w:eastAsia="Calibri" w:cs="Calibri"/>
                <w:b/>
                <w:bCs/>
                <w:color w:val="000000" w:themeColor="text1"/>
                <w:sz w:val="17"/>
                <w:szCs w:val="17"/>
              </w:rPr>
              <w:t xml:space="preserve">abierto al cambio</w:t>
            </w:r>
            <w:r>
              <w:rPr>
                <w:rFonts w:ascii="Calibri" w:hAnsi="Calibri" w:eastAsia="Calibri" w:cs="Calibri"/>
                <w:b w:val="0"/>
                <w:bCs w:val="0"/>
                <w:color w:val="000000" w:themeColor="text1"/>
                <w:sz w:val="17"/>
                <w:szCs w:val="17"/>
              </w:rPr>
              <w:t xml:space="preserve">, gobernado por un marco de gestión de proyecto del tipo Scrum </w:t>
            </w:r>
            <w:r>
              <w:rPr>
                <w:rFonts w:ascii="Calibri" w:hAnsi="Calibri" w:eastAsia="Calibri" w:cs="Calibri"/>
                <w:b/>
                <w:bCs/>
                <w:color w:val="000000" w:themeColor="text1"/>
                <w:sz w:val="17"/>
                <w:szCs w:val="17"/>
              </w:rPr>
              <w:t xml:space="preserve">adaptado a la escala de una Entidad Muy Pequeña</w:t>
            </w:r>
            <w:r>
              <w:rPr>
                <w:rFonts w:ascii="Calibri" w:hAnsi="Calibri" w:eastAsia="Calibri" w:cs="Calibri"/>
                <w:b w:val="0"/>
                <w:bCs w:val="0"/>
                <w:color w:val="000000" w:themeColor="text1"/>
                <w:sz w:val="17"/>
                <w:szCs w:val="17"/>
              </w:rPr>
              <w:t xml:space="preserve"> conforme a la ISO/IEC 29110, ejecutado con prácticas técnicas procedentes de Extreme Programming y con prácticas de integración y verificación continuas.</w:t>
            </w:r>
            <w:r>
              <w:rPr>
                <w:color w:val="000000" w:themeColor="text1"/>
              </w:rPr>
            </w:r>
          </w:p>
        </w:tc>
      </w:tr>
      <w:tr>
        <w:trPr/>
        <w:tc>
          <w:tcPr>
            <w:shd w:val="clear" w:color="auto" w:fill="f2f2f2"/>
            <w:tcBorders/>
            <w:tcMar>
              <w:left w:w="90" w:type="dxa"/>
              <w:top w:w="55" w:type="dxa"/>
              <w:right w:w="90" w:type="dxa"/>
              <w:bottom w:w="55" w:type="dxa"/>
            </w:tcMar>
            <w:tcW w:w="2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Justificación cuantitativa</w:t>
            </w:r>
            <w:r>
              <w:rPr>
                <w:color w:val="000000" w:themeColor="text1"/>
              </w:rPr>
            </w:r>
          </w:p>
        </w:tc>
        <w:tc>
          <w:tcPr>
            <w:shd w:val="clear" w:color="auto" w:fill="f2f2f2"/>
            <w:tcBorders/>
            <w:tcMar>
              <w:left w:w="90" w:type="dxa"/>
              <w:top w:w="55" w:type="dxa"/>
              <w:right w:w="90" w:type="dxa"/>
              <w:bottom w:w="55" w:type="dxa"/>
            </w:tcMar>
            <w:tcW w:w="67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Obtiene 4,12 sobre 5,00 en la matriz ponderada, con una ventaja de 0,49 puntos sobre la siguiente alternativa, y conserva el primer lugar en los tres escenarios del análisis de sensibilidad.</w:t>
            </w:r>
            <w:r>
              <w:rPr>
                <w:color w:val="000000" w:themeColor="text1"/>
              </w:rPr>
            </w:r>
          </w:p>
        </w:tc>
      </w:tr>
      <w:tr>
        <w:trPr/>
        <w:tc>
          <w:tcPr>
            <w:shd w:val="clear" w:color="auto" w:fill="ffffff"/>
            <w:tcBorders/>
            <w:tcMar>
              <w:left w:w="90" w:type="dxa"/>
              <w:top w:w="55" w:type="dxa"/>
              <w:right w:w="90" w:type="dxa"/>
              <w:bottom w:w="55" w:type="dxa"/>
            </w:tcMar>
            <w:tcW w:w="2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Justificación normativa</w:t>
            </w:r>
            <w:r>
              <w:rPr>
                <w:color w:val="000000" w:themeColor="text1"/>
              </w:rPr>
            </w:r>
          </w:p>
        </w:tc>
        <w:tc>
          <w:tcPr>
            <w:shd w:val="clear" w:color="auto" w:fill="ffffff"/>
            <w:tcBorders/>
            <w:tcMar>
              <w:left w:w="90" w:type="dxa"/>
              <w:top w:w="55" w:type="dxa"/>
              <w:right w:w="90" w:type="dxa"/>
              <w:bottom w:w="55" w:type="dxa"/>
            </w:tcMar>
            <w:tcW w:w="67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apartado 2.8 del capítulo 10 del SWEBOK v4.0a establece que la adaptación del ciclo de vida no exige conservar los nombres de los modelos ni incluirlos todos, y cita la serie ISO/IEC 29110 para Entidades Muy Pequeñas como el ejemplo canónico de derivación adaptada de la ISO/IEC/IEEE 12207. Con siete personas en la organización y dos en la unidad de construcción, esa serie es el instrumento normativo proporcionado al caso, y es la que habilita la adaptación de roles registrada en la sección 2.20.</w:t>
            </w:r>
            <w:r>
              <w:rPr>
                <w:color w:val="000000" w:themeColor="text1"/>
              </w:rPr>
            </w:r>
          </w:p>
        </w:tc>
      </w:tr>
      <w:tr>
        <w:trPr/>
        <w:tc>
          <w:tcPr>
            <w:shd w:val="clear" w:color="auto" w:fill="f2f2f2"/>
            <w:tcBorders/>
            <w:tcMar>
              <w:left w:w="90" w:type="dxa"/>
              <w:top w:w="55" w:type="dxa"/>
              <w:right w:w="90" w:type="dxa"/>
              <w:bottom w:w="55" w:type="dxa"/>
            </w:tcMar>
            <w:tcW w:w="2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Alternativas descartadas</w:t>
            </w:r>
            <w:r>
              <w:rPr>
                <w:color w:val="000000" w:themeColor="text1"/>
              </w:rPr>
            </w:r>
          </w:p>
        </w:tc>
        <w:tc>
          <w:tcPr>
            <w:shd w:val="clear" w:color="auto" w:fill="f2f2f2"/>
            <w:tcBorders/>
            <w:tcMar>
              <w:left w:w="90" w:type="dxa"/>
              <w:top w:w="55" w:type="dxa"/>
              <w:right w:w="90" w:type="dxa"/>
              <w:bottom w:w="55" w:type="dxa"/>
            </w:tcMar>
            <w:tcW w:w="67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modelo en V, porque su carácter predictivo y cerrado contradice declaraciones ya emitidas por la serie y porque difiere el descubrimiento del riesgo arquitectónico hasta la fase de integración, que es el punto más caro para descubrirlo. El Proceso Unificado ligero, porque la tabla comparativa del capítulo 10 lo indica para proyectos medianos o grandes con equipo experimentado y porque su carga documental resulta desproporcionada frente a FD-01, pese a ser superior en disciplina arquitectónica y trazabilidad.</w:t>
            </w:r>
            <w:r>
              <w:rPr>
                <w:color w:val="000000" w:themeColor="text1"/>
              </w:rPr>
            </w:r>
          </w:p>
        </w:tc>
      </w:tr>
      <w:tr>
        <w:trPr/>
        <w:tc>
          <w:tcPr>
            <w:shd w:val="clear" w:color="auto" w:fill="ffffff"/>
            <w:tcBorders/>
            <w:tcMar>
              <w:left w:w="90" w:type="dxa"/>
              <w:top w:w="55" w:type="dxa"/>
              <w:right w:w="90" w:type="dxa"/>
              <w:bottom w:w="55" w:type="dxa"/>
            </w:tcMar>
            <w:tcW w:w="2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Criterios determinantes</w:t>
            </w:r>
            <w:r>
              <w:rPr>
                <w:color w:val="000000" w:themeColor="text1"/>
              </w:rPr>
            </w:r>
          </w:p>
        </w:tc>
        <w:tc>
          <w:tcPr>
            <w:shd w:val="clear" w:color="auto" w:fill="ffffff"/>
            <w:tcBorders/>
            <w:tcMar>
              <w:left w:w="90" w:type="dxa"/>
              <w:top w:w="55" w:type="dxa"/>
              <w:right w:w="90" w:type="dxa"/>
              <w:bottom w:w="55" w:type="dxa"/>
            </w:tcMar>
            <w:tcW w:w="67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CM-02 viabilidad con dos personas (18 %), CM-01 apertura gobernada al cambio (14 %) y CM-04 entrega temprana de valor (13 %). Concentran el 45 % de la ponderación y son los que separan a B de sus competidoras.</w:t>
            </w:r>
            <w:r>
              <w:rPr>
                <w:color w:val="000000" w:themeColor="text1"/>
              </w:rPr>
            </w:r>
          </w:p>
        </w:tc>
      </w:tr>
      <w:tr>
        <w:trPr/>
        <w:tc>
          <w:tcPr>
            <w:shd w:val="clear" w:color="auto" w:fill="f2f2f2"/>
            <w:tcBorders/>
            <w:tcMar>
              <w:left w:w="90" w:type="dxa"/>
              <w:top w:w="55" w:type="dxa"/>
              <w:right w:w="90" w:type="dxa"/>
              <w:bottom w:w="55" w:type="dxa"/>
            </w:tcMar>
            <w:tcW w:w="2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Riesgos aceptados</w:t>
            </w:r>
            <w:r>
              <w:rPr>
                <w:color w:val="000000" w:themeColor="text1"/>
              </w:rPr>
            </w:r>
          </w:p>
        </w:tc>
        <w:tc>
          <w:tcPr>
            <w:shd w:val="clear" w:color="auto" w:fill="f2f2f2"/>
            <w:tcBorders/>
            <w:tcMar>
              <w:left w:w="90" w:type="dxa"/>
              <w:top w:w="55" w:type="dxa"/>
              <w:right w:w="90" w:type="dxa"/>
              <w:bottom w:w="55" w:type="dxa"/>
            </w:tcMar>
            <w:tcW w:w="67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Menor garantía intrínseca de disciplina arquitectónica y menor producción documental estructurada que las alternativas descartadas; dependencia de la autodisciplina del equipo en ausencia de un rol de conducción externo; y sensibilidad de la ventaja obtenida al tamaño del equipo. Su mitigación se detalla en 2.10 y 2.18.</w:t>
            </w:r>
            <w:r>
              <w:rPr>
                <w:color w:val="000000" w:themeColor="text1"/>
              </w:rPr>
            </w:r>
          </w:p>
        </w:tc>
      </w:tr>
      <w:tr>
        <w:trPr/>
        <w:tc>
          <w:tcPr>
            <w:shd w:val="clear" w:color="auto" w:fill="ffffff"/>
            <w:tcBorders/>
            <w:tcMar>
              <w:left w:w="90" w:type="dxa"/>
              <w:top w:w="55" w:type="dxa"/>
              <w:right w:w="90" w:type="dxa"/>
              <w:bottom w:w="55" w:type="dxa"/>
            </w:tcMar>
            <w:tcW w:w="2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Beneficios obtenidos</w:t>
            </w:r>
            <w:r>
              <w:rPr>
                <w:color w:val="000000" w:themeColor="text1"/>
              </w:rPr>
            </w:r>
          </w:p>
        </w:tc>
        <w:tc>
          <w:tcPr>
            <w:shd w:val="clear" w:color="auto" w:fill="ffffff"/>
            <w:tcBorders/>
            <w:tcMar>
              <w:left w:w="90" w:type="dxa"/>
              <w:top w:w="55" w:type="dxa"/>
              <w:right w:w="90" w:type="dxa"/>
              <w:bottom w:w="55" w:type="dxa"/>
            </w:tcMar>
            <w:tcW w:w="67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Evidencia de avance verificable cada dos semanas; capacidad de confrontar la hipótesis de negocio con observación real antes de consumir la totalidad del esfuerzo; ceremonia proporcionada a una organización que se coordina por ajuste mutuo; y una base de medición que permite recalibrar la estimación con datos propios.</w:t>
            </w:r>
            <w:r>
              <w:rPr>
                <w:color w:val="000000" w:themeColor="text1"/>
              </w:rPr>
            </w:r>
          </w:p>
        </w:tc>
      </w:tr>
    </w:tbl>
    <w:p>
      <w:pPr>
        <w:pStyle w:val="918"/>
        <w:pBdr/>
        <w:spacing w:after="140" w:before="280"/>
        <w:ind/>
        <w:rPr>
          <w:color w:val="000000" w:themeColor="text1"/>
        </w:rPr>
      </w:pPr>
      <w:r>
        <w:rPr>
          <w:color w:val="000000" w:themeColor="text1"/>
        </w:rPr>
      </w:r>
      <w:bookmarkStart w:id="23" w:name="_Toc23"/>
      <w:r>
        <w:rPr>
          <w:rFonts w:ascii="Calibri" w:hAnsi="Calibri" w:eastAsia="Calibri" w:cs="Calibri"/>
          <w:b/>
          <w:bCs/>
          <w:color w:val="000000" w:themeColor="text1"/>
          <w:sz w:val="25"/>
          <w:szCs w:val="25"/>
        </w:rPr>
        <w:t xml:space="preserve">2.10 Decisiones metodológicas complementarias</w:t>
      </w:r>
      <w:bookmarkEnd w:id="23"/>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El SWEBOK sostiene que la arquitectura es una red de decisiones y no un diagrama, y el documento 3 registró las suyas en formato abreviado. El proceso merece el mismo tratamiento: las nueve decisiones siguientes acompañan a la principal y son vinculantes en los términos declarados en 1.1.</w:t>
      </w:r>
      <w:r>
        <w:rPr>
          <w:color w:val="000000" w:themeColor="text1"/>
        </w:rPr>
      </w:r>
    </w:p>
    <w:p>
      <w:pPr>
        <w:pBdr/>
        <w:spacing w:after="6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800"/>
        <w:gridCol w:w="2200"/>
        <w:gridCol w:w="1900"/>
        <w:gridCol w:w="4170"/>
      </w:tblGrid>
      <w:tr>
        <w:trPr>
          <w:tblHeader/>
        </w:trPr>
        <w:tc>
          <w:tcPr>
            <w:shd w:val="clear" w:color="auto" w:fill="dce6f1"/>
            <w:tcBorders/>
            <w:tcMar>
              <w:left w:w="90" w:type="dxa"/>
              <w:top w:w="60" w:type="dxa"/>
              <w:right w:w="90" w:type="dxa"/>
              <w:bottom w:w="60" w:type="dxa"/>
            </w:tcMar>
            <w:tcW w:w="8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w:t>
            </w:r>
            <w:r>
              <w:rPr>
                <w:color w:val="000000" w:themeColor="text1"/>
              </w:rPr>
            </w:r>
          </w:p>
        </w:tc>
        <w:tc>
          <w:tcPr>
            <w:shd w:val="clear" w:color="auto" w:fill="dce6f1"/>
            <w:tcBorders/>
            <w:tcMar>
              <w:left w:w="90" w:type="dxa"/>
              <w:top w:w="60" w:type="dxa"/>
              <w:right w:w="90" w:type="dxa"/>
              <w:bottom w:w="60" w:type="dxa"/>
            </w:tcMar>
            <w:tcW w:w="22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Decisión</w:t>
            </w:r>
            <w:r>
              <w:rPr>
                <w:color w:val="000000" w:themeColor="text1"/>
              </w:rPr>
            </w:r>
          </w:p>
        </w:tc>
        <w:tc>
          <w:tcPr>
            <w:shd w:val="clear" w:color="auto" w:fill="dce6f1"/>
            <w:tcBorders/>
            <w:tcMar>
              <w:left w:w="90" w:type="dxa"/>
              <w:top w:w="60" w:type="dxa"/>
              <w:right w:w="90" w:type="dxa"/>
              <w:bottom w:w="60" w:type="dxa"/>
            </w:tcMar>
            <w:tcW w:w="19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Alternativa descartada</w:t>
            </w:r>
            <w:r>
              <w:rPr>
                <w:color w:val="000000" w:themeColor="text1"/>
              </w:rPr>
            </w:r>
          </w:p>
        </w:tc>
        <w:tc>
          <w:tcPr>
            <w:shd w:val="clear" w:color="auto" w:fill="dce6f1"/>
            <w:tcBorders/>
            <w:tcMar>
              <w:left w:w="90" w:type="dxa"/>
              <w:top w:w="60" w:type="dxa"/>
              <w:right w:w="90" w:type="dxa"/>
              <w:bottom w:w="60" w:type="dxa"/>
            </w:tcMar>
            <w:tcW w:w="41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Justificación y compensación aceptada</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DM-01</w:t>
            </w:r>
            <w:r>
              <w:rPr>
                <w:color w:val="000000" w:themeColor="text1"/>
              </w:rPr>
            </w:r>
          </w:p>
        </w:tc>
        <w:tc>
          <w:tcPr>
            <w:shd w:val="clear" w:color="auto" w:fill="ffffff"/>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Iteraciones de dos semanas de duración fija.</w:t>
            </w:r>
            <w:r>
              <w:rPr>
                <w:color w:val="000000" w:themeColor="text1"/>
              </w:rPr>
            </w:r>
          </w:p>
        </w:tc>
        <w:tc>
          <w:tcPr>
            <w:shd w:val="clear" w:color="auto" w:fill="ffffff"/>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Iteraciones de longitud variable según el alcance seleccionado.</w:t>
            </w:r>
            <w:r>
              <w:rPr>
                <w:color w:val="000000" w:themeColor="text1"/>
              </w:rPr>
            </w:r>
          </w:p>
        </w:tc>
        <w:tc>
          <w:tcPr>
            <w:shd w:val="clear" w:color="auto" w:fill="ffffff"/>
            <w:tcBorders/>
            <w:tcMar>
              <w:left w:w="90" w:type="dxa"/>
              <w:top w:w="55" w:type="dxa"/>
              <w:right w:w="90" w:type="dxa"/>
              <w:bottom w:w="55" w:type="dxa"/>
            </w:tcMar>
            <w:tcW w:w="4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fuente señala que la duración de la iteración se define para cada proyecto. Fijarla convierte a la iteración en unidad de medida estable, sin la cual MT-01 carecería de sentido: una velocidad medida sobre iteraciones de longitud distinta no es comparable consigo misma. Se acepta que el trabajo no terminado retorne a la pila en lugar de prolongar la iteración.</w:t>
            </w:r>
            <w:r>
              <w:rPr>
                <w:color w:val="000000" w:themeColor="text1"/>
              </w:rP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DM-02</w:t>
            </w:r>
            <w:r>
              <w:rPr>
                <w:color w:val="000000" w:themeColor="text1"/>
              </w:rPr>
            </w:r>
          </w:p>
        </w:tc>
        <w:tc>
          <w:tcPr>
            <w:shd w:val="clear" w:color="auto" w:fill="f2f2f2"/>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Roles compartidos entre las dos personas, con rotación por iteración de la responsabilidad de conducción y de la de representación del interés del negocio.</w:t>
            </w:r>
            <w:r>
              <w:rPr>
                <w:color w:val="000000" w:themeColor="text1"/>
              </w:rPr>
            </w:r>
          </w:p>
        </w:tc>
        <w:tc>
          <w:tcPr>
            <w:shd w:val="clear" w:color="auto" w:fill="f2f2f2"/>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Un responsable de conducción del proceso y un responsable del producto dedicados y distintos.</w:t>
            </w:r>
            <w:r>
              <w:rPr>
                <w:color w:val="000000" w:themeColor="text1"/>
              </w:rPr>
            </w:r>
          </w:p>
        </w:tc>
        <w:tc>
          <w:tcPr>
            <w:shd w:val="clear" w:color="auto" w:fill="f2f2f2"/>
            <w:tcBorders/>
            <w:tcMar>
              <w:left w:w="90" w:type="dxa"/>
              <w:top w:w="55" w:type="dxa"/>
              <w:right w:w="90" w:type="dxa"/>
              <w:bottom w:w="55" w:type="dxa"/>
            </w:tcMar>
            <w:tcW w:w="4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FD-01 lo impone y la ISO/IEC 29110 lo habilita como adaptación propia de una Entidad Muy Pequeña. La rotación evita que la misma persona conduzca siempre, que es el modo en que la conducción se vuelve invisible. Se acepta el riesgo de autocomplacencia, registrado como RM-02 y contenido por el carácter escrito de la retrospectiva.</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DM-03</w:t>
            </w:r>
            <w:r>
              <w:rPr>
                <w:color w:val="000000" w:themeColor="text1"/>
              </w:rPr>
            </w:r>
          </w:p>
        </w:tc>
        <w:tc>
          <w:tcPr>
            <w:shd w:val="clear" w:color="auto" w:fill="ffffff"/>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Sincronización diaria asíncrona mediante registro escrito en el tablero de trabajo, con una regla de no dejar transcurrir más de veinticuatro horas sin actualización.</w:t>
            </w:r>
            <w:r>
              <w:rPr>
                <w:color w:val="000000" w:themeColor="text1"/>
              </w:rPr>
            </w:r>
          </w:p>
        </w:tc>
        <w:tc>
          <w:tcPr>
            <w:shd w:val="clear" w:color="auto" w:fill="ffffff"/>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Reunión diaria sincrónica.</w:t>
            </w:r>
            <w:r>
              <w:rPr>
                <w:color w:val="000000" w:themeColor="text1"/>
              </w:rPr>
            </w:r>
          </w:p>
        </w:tc>
        <w:tc>
          <w:tcPr>
            <w:shd w:val="clear" w:color="auto" w:fill="ffffff"/>
            <w:tcBorders/>
            <w:tcMar>
              <w:left w:w="90" w:type="dxa"/>
              <w:top w:w="55" w:type="dxa"/>
              <w:right w:w="90" w:type="dxa"/>
              <w:bottom w:w="55" w:type="dxa"/>
            </w:tcMar>
            <w:tcW w:w="4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FD-02 y RO-05. El valor que la fuente atribuye a lo ágil es la comunicación y la confianza mutua, no la coincidencia física ni horaria. El registro escrito satisface además la exigencia de especificación escrita que el factor 5 de los trece factores de decisión del SWEBOK impone a los equipos distribuidos. Se acepta la pérdida de detección inmediata de bloqueos, contenida por la regla de las veinticuatro horas y por la escalada de RM-05.</w:t>
            </w:r>
            <w:r>
              <w:rPr>
                <w:color w:val="000000" w:themeColor="text1"/>
              </w:rP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DM-04</w:t>
            </w:r>
            <w:r>
              <w:rPr>
                <w:color w:val="000000" w:themeColor="text1"/>
              </w:rPr>
            </w:r>
          </w:p>
        </w:tc>
        <w:tc>
          <w:tcPr>
            <w:shd w:val="clear" w:color="auto" w:fill="f2f2f2"/>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Definición de Terminado vinculante y verificable, que un elemento debe satisfacer íntegramente para considerarse parte del incremento.</w:t>
            </w:r>
            <w:r>
              <w:rPr>
                <w:color w:val="000000" w:themeColor="text1"/>
              </w:rPr>
            </w:r>
          </w:p>
        </w:tc>
        <w:tc>
          <w:tcPr>
            <w:shd w:val="clear" w:color="auto" w:fill="f2f2f2"/>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Aceptación a criterio de quien construyó el elemento.</w:t>
            </w:r>
            <w:r>
              <w:rPr>
                <w:color w:val="000000" w:themeColor="text1"/>
              </w:rPr>
            </w:r>
          </w:p>
        </w:tc>
        <w:tc>
          <w:tcPr>
            <w:shd w:val="clear" w:color="auto" w:fill="f2f2f2"/>
            <w:tcBorders/>
            <w:tcMar>
              <w:left w:w="90" w:type="dxa"/>
              <w:top w:w="55" w:type="dxa"/>
              <w:right w:w="90" w:type="dxa"/>
              <w:bottom w:w="55" w:type="dxa"/>
            </w:tcMar>
            <w:tcW w:w="4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Cada requisito del catálogo ya lleva asociado un método de verificación T, I, A o D y un criterio de aceptación concreto, conforme al apartado 5.2.8 de ISO/IEC/IEEE 29148:2011. La Definición de Terminado enlaza el proceso con esa exigencia previa en lugar de inventar un criterio nuevo. Su contenido se detalla tras esta tabla. Es la principal corrección de la debilidad de la opción B en CM-05.</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DM-05</w:t>
            </w:r>
            <w:r>
              <w:rPr>
                <w:color w:val="000000" w:themeColor="text1"/>
              </w:rPr>
            </w:r>
          </w:p>
        </w:tc>
        <w:tc>
          <w:tcPr>
            <w:shd w:val="clear" w:color="auto" w:fill="ffffff"/>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Revisión cruzada obligatoria por la otra persona antes de integrar cualquier cambio, con plazo máximo de respuesta de veinticuatro horas.</w:t>
            </w:r>
            <w:r>
              <w:rPr>
                <w:color w:val="000000" w:themeColor="text1"/>
              </w:rPr>
            </w:r>
          </w:p>
        </w:tc>
        <w:tc>
          <w:tcPr>
            <w:shd w:val="clear" w:color="auto" w:fill="ffffff"/>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Integración directa por el autor del cambio.</w:t>
            </w:r>
            <w:r>
              <w:rPr>
                <w:color w:val="000000" w:themeColor="text1"/>
              </w:rPr>
            </w:r>
          </w:p>
        </w:tc>
        <w:tc>
          <w:tcPr>
            <w:shd w:val="clear" w:color="auto" w:fill="ffffff"/>
            <w:tcBorders/>
            <w:tcMar>
              <w:left w:w="90" w:type="dxa"/>
              <w:top w:w="55" w:type="dxa"/>
              <w:right w:w="90" w:type="dxa"/>
              <w:bottom w:w="55" w:type="dxa"/>
            </w:tcMar>
            <w:tcW w:w="4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Traduce RO-04 al plano del proceso: con dos personas, la revisión mutua es la única segregación de funciones disponible. Sustituye además a la programación por pares sincrónica, inviable por FD-02. Se acepta la latencia que introduce, acotada por el plazo de respuesta.</w:t>
            </w:r>
            <w:r>
              <w:rPr>
                <w:color w:val="000000" w:themeColor="text1"/>
              </w:rP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DM-06</w:t>
            </w:r>
            <w:r>
              <w:rPr>
                <w:color w:val="000000" w:themeColor="text1"/>
              </w:rPr>
            </w:r>
          </w:p>
        </w:tc>
        <w:tc>
          <w:tcPr>
            <w:shd w:val="clear" w:color="auto" w:fill="f2f2f2"/>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Integración continua automatizada que ejecute, en cada cambio, la batería de pruebas y una </w:t>
            </w:r>
            <w:r>
              <w:rPr>
                <w:rFonts w:ascii="Calibri" w:hAnsi="Calibri" w:eastAsia="Calibri" w:cs="Calibri"/>
                <w:b/>
                <w:bCs/>
                <w:color w:val="000000" w:themeColor="text1"/>
                <w:sz w:val="17"/>
                <w:szCs w:val="17"/>
              </w:rPr>
              <w:t xml:space="preserve">verificación de dependencias entre módulos</w:t>
            </w:r>
            <w:r>
              <w:rPr>
                <w:rFonts w:ascii="Calibri" w:hAnsi="Calibri" w:eastAsia="Calibri" w:cs="Calibri"/>
                <w:b w:val="0"/>
                <w:bCs w:val="0"/>
                <w:color w:val="000000" w:themeColor="text1"/>
                <w:sz w:val="17"/>
                <w:szCs w:val="17"/>
              </w:rPr>
              <w:t xml:space="preserve"> que falle si un módulo accede al esquema de otro.</w:t>
            </w:r>
            <w:r>
              <w:rPr>
                <w:color w:val="000000" w:themeColor="text1"/>
              </w:rPr>
            </w:r>
          </w:p>
        </w:tc>
        <w:tc>
          <w:tcPr>
            <w:shd w:val="clear" w:color="auto" w:fill="f2f2f2"/>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Integración manual periódica y control de fronteras por revisión humana.</w:t>
            </w:r>
            <w:r>
              <w:rPr>
                <w:color w:val="000000" w:themeColor="text1"/>
              </w:rPr>
            </w:r>
          </w:p>
        </w:tc>
        <w:tc>
          <w:tcPr>
            <w:shd w:val="clear" w:color="auto" w:fill="f2f2f2"/>
            <w:tcBorders/>
            <w:tcMar>
              <w:left w:w="90" w:type="dxa"/>
              <w:top w:w="55" w:type="dxa"/>
              <w:right w:w="90" w:type="dxa"/>
              <w:bottom w:w="55" w:type="dxa"/>
            </w:tcMar>
            <w:tcW w:w="4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FD-03 y FD-08. El apartado 2.10 del capítulo 10 considera que la automatización de la gestión de la configuración, las pruebas y la gestión de incidencias es esencial para un ciclo de vida exitoso. La verificación automática convierte la mitigación de R-01 en un hecho comprobable y no en un propósito: bajo presión de calendario, el juicio humano cede y la comprobación automática no. Se acepta el costo de configuración inicial, concentrado en IT-00.</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DM-07</w:t>
            </w:r>
            <w:r>
              <w:rPr>
                <w:color w:val="000000" w:themeColor="text1"/>
              </w:rPr>
            </w:r>
          </w:p>
        </w:tc>
        <w:tc>
          <w:tcPr>
            <w:shd w:val="clear" w:color="auto" w:fill="ffffff"/>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Pila del producto única, derivada del catálogo y ordenada por prioridad MoSCoW </w:t>
            </w:r>
            <w:r>
              <w:rPr>
                <w:rFonts w:ascii="Calibri" w:hAnsi="Calibri" w:eastAsia="Calibri" w:cs="Calibri"/>
                <w:b/>
                <w:bCs/>
                <w:color w:val="000000" w:themeColor="text1"/>
                <w:sz w:val="17"/>
                <w:szCs w:val="17"/>
              </w:rPr>
              <w:t xml:space="preserve">y</w:t>
            </w:r>
            <w:r>
              <w:rPr>
                <w:rFonts w:ascii="Calibri" w:hAnsi="Calibri" w:eastAsia="Calibri" w:cs="Calibri"/>
                <w:b w:val="0"/>
                <w:bCs w:val="0"/>
                <w:color w:val="000000" w:themeColor="text1"/>
                <w:sz w:val="17"/>
                <w:szCs w:val="17"/>
              </w:rPr>
              <w:t xml:space="preserve"> por dependencia arquitectónica, con la ordenación justificada por escrito.</w:t>
            </w:r>
            <w:r>
              <w:rPr>
                <w:color w:val="000000" w:themeColor="text1"/>
              </w:rPr>
            </w:r>
          </w:p>
        </w:tc>
        <w:tc>
          <w:tcPr>
            <w:shd w:val="clear" w:color="auto" w:fill="ffffff"/>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Ordenar únicamente por valor de negocio.</w:t>
            </w:r>
            <w:r>
              <w:rPr>
                <w:color w:val="000000" w:themeColor="text1"/>
              </w:rPr>
            </w:r>
          </w:p>
        </w:tc>
        <w:tc>
          <w:tcPr>
            <w:shd w:val="clear" w:color="auto" w:fill="ffffff"/>
            <w:tcBorders/>
            <w:tcMar>
              <w:left w:w="90" w:type="dxa"/>
              <w:top w:w="55" w:type="dxa"/>
              <w:right w:w="90" w:type="dxa"/>
              <w:bottom w:w="55" w:type="dxa"/>
            </w:tcMar>
            <w:tcW w:w="4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arquitectura impone un orden parcial que el valor de negocio no puede alterar: M2 precede a todo, y M6 no puede construirse antes que M3 y M4. Escribir la justificación del orden preserva la trazabilidad y corrige la debilidad de la opción B en CM-06. Se acepta que algunos elementos de alto valor se difieran; el Anexo B lo hace explícito.</w:t>
            </w:r>
            <w:r>
              <w:rPr>
                <w:color w:val="000000" w:themeColor="text1"/>
              </w:rP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DM-08</w:t>
            </w:r>
            <w:r>
              <w:rPr>
                <w:color w:val="000000" w:themeColor="text1"/>
              </w:rPr>
            </w:r>
          </w:p>
        </w:tc>
        <w:tc>
          <w:tcPr>
            <w:shd w:val="clear" w:color="auto" w:fill="f2f2f2"/>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Producción de una </w:t>
            </w:r>
            <w:r>
              <w:rPr>
                <w:rFonts w:ascii="Calibri" w:hAnsi="Calibri" w:eastAsia="Calibri" w:cs="Calibri"/>
                <w:b/>
                <w:bCs/>
                <w:color w:val="000000" w:themeColor="text1"/>
                <w:sz w:val="17"/>
                <w:szCs w:val="17"/>
              </w:rPr>
              <w:t xml:space="preserve">línea base arquitectónica ejecutable</w:t>
            </w:r>
            <w:r>
              <w:rPr>
                <w:rFonts w:ascii="Calibri" w:hAnsi="Calibri" w:eastAsia="Calibri" w:cs="Calibri"/>
                <w:b w:val="0"/>
                <w:bCs w:val="0"/>
                <w:color w:val="000000" w:themeColor="text1"/>
                <w:sz w:val="17"/>
                <w:szCs w:val="17"/>
              </w:rPr>
              <w:t xml:space="preserve"> en IT-01, antes de cualquier construcción funcional: una rebanada vertical que atraviese las cuatro capas y ejercite los mecanismos de ADR-01, ADR-02, ADR-04 y ADR-06.</w:t>
            </w:r>
            <w:r>
              <w:rPr>
                <w:color w:val="000000" w:themeColor="text1"/>
              </w:rPr>
            </w:r>
          </w:p>
        </w:tc>
        <w:tc>
          <w:tcPr>
            <w:shd w:val="clear" w:color="auto" w:fill="f2f2f2"/>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Distribuir la verificación del riesgo arquitectónico a lo largo de las iteraciones funcionales.</w:t>
            </w:r>
            <w:r>
              <w:rPr>
                <w:color w:val="000000" w:themeColor="text1"/>
              </w:rPr>
            </w:r>
          </w:p>
        </w:tc>
        <w:tc>
          <w:tcPr>
            <w:shd w:val="clear" w:color="auto" w:fill="f2f2f2"/>
            <w:tcBorders/>
            <w:tcMar>
              <w:left w:w="90" w:type="dxa"/>
              <w:top w:w="55" w:type="dxa"/>
              <w:right w:w="90" w:type="dxa"/>
              <w:bottom w:w="55" w:type="dxa"/>
            </w:tcMar>
            <w:tcW w:w="4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Conserva el principio rector del modelo espiral, descartado como modelo global pero válido como criterio de ordenación: atacar primero el riesgo mayor. Hasta que una rebanada vertical se ejecute, la bandeja de salida transaccional, el interruptor de circuito y la autenticación sin estado son supuestos no verificados. Se acepta que IT-01 produzca poca funcionalidad visible, que es el costo de comprar certidumbre temprana.</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DM-09</w:t>
            </w:r>
            <w:r>
              <w:rPr>
                <w:color w:val="000000" w:themeColor="text1"/>
              </w:rPr>
            </w:r>
          </w:p>
        </w:tc>
        <w:tc>
          <w:tcPr>
            <w:shd w:val="clear" w:color="auto" w:fill="ffffff"/>
            <w:tcBorders/>
            <w:tcMar>
              <w:left w:w="90" w:type="dxa"/>
              <w:top w:w="55" w:type="dxa"/>
              <w:right w:w="90" w:type="dxa"/>
              <w:bottom w:w="55" w:type="dxa"/>
            </w:tcMar>
            <w:tcW w:w="2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Gobierno del cambio por </w:t>
            </w:r>
            <w:r>
              <w:rPr>
                <w:rFonts w:ascii="Calibri" w:hAnsi="Calibri" w:eastAsia="Calibri" w:cs="Calibri"/>
                <w:b/>
                <w:bCs/>
                <w:color w:val="000000" w:themeColor="text1"/>
                <w:sz w:val="17"/>
                <w:szCs w:val="17"/>
              </w:rPr>
              <w:t xml:space="preserve">intercambio y no por adición</w:t>
            </w:r>
            <w:r>
              <w:rPr>
                <w:rFonts w:ascii="Calibri" w:hAnsi="Calibri" w:eastAsia="Calibri" w:cs="Calibri"/>
                <w:b w:val="0"/>
                <w:bCs w:val="0"/>
                <w:color w:val="000000" w:themeColor="text1"/>
                <w:sz w:val="17"/>
                <w:szCs w:val="17"/>
              </w:rPr>
              <w:t xml:space="preserve">: todo cambio admitido debe trazarse a un objetivo O-StRS, repriorizarse en la pila y desplazar a un elemento de prioridad igual o inferior.</w:t>
            </w:r>
            <w:r>
              <w:rPr>
                <w:color w:val="000000" w:themeColor="text1"/>
              </w:rPr>
            </w:r>
          </w:p>
        </w:tc>
        <w:tc>
          <w:tcPr>
            <w:shd w:val="clear" w:color="auto" w:fill="ffffff"/>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Congelar el catálogo tras el documento 2, o bien admitir cambios sin contrapartida.</w:t>
            </w:r>
            <w:r>
              <w:rPr>
                <w:color w:val="000000" w:themeColor="text1"/>
              </w:rPr>
            </w:r>
          </w:p>
        </w:tc>
        <w:tc>
          <w:tcPr>
            <w:shd w:val="clear" w:color="auto" w:fill="ffffff"/>
            <w:tcBorders/>
            <w:tcMar>
              <w:left w:w="90" w:type="dxa"/>
              <w:top w:w="55" w:type="dxa"/>
              <w:right w:w="90" w:type="dxa"/>
              <w:bottom w:w="55" w:type="dxa"/>
            </w:tcMar>
            <w:tcW w:w="4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Concilia la apertura al cambio del apartado 2.4 del capítulo 10 con la propiedad colectiva de estar acotado del apartado 5.2.6 de ISO/IEC/IEEE 29148:2011, que el documento 2 declaró barrera activa contra el crecimiento del alcance. El alcance no se extiende: se intercambia. Se acepta que elementos previstos queden fuera, lo que se registra y se mide mediante MT-08.</w:t>
            </w:r>
            <w:r>
              <w:rPr>
                <w:color w:val="000000" w:themeColor="text1"/>
              </w:rPr>
            </w:r>
          </w:p>
        </w:tc>
      </w:tr>
    </w:tbl>
    <w:p>
      <w:pPr>
        <w:pBdr/>
        <w:spacing w:after="140"/>
        <w:ind/>
        <w:rPr>
          <w:color w:val="000000" w:themeColor="text1"/>
        </w:rPr>
      </w:pP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Contenido de la Definición de Terminado establecida por DM-04.</w:t>
      </w:r>
      <w:r>
        <w:rPr>
          <w:rFonts w:ascii="Calibri" w:hAnsi="Calibri" w:eastAsia="Calibri" w:cs="Calibri"/>
          <w:b w:val="0"/>
          <w:bCs w:val="0"/>
          <w:i w:val="0"/>
          <w:iCs w:val="0"/>
          <w:color w:val="000000" w:themeColor="text1"/>
          <w:sz w:val="22"/>
          <w:szCs w:val="22"/>
        </w:rPr>
        <w:t xml:space="preserve"> Un elemento se considera terminado, y solo entonces forma parte del incremento, cuando se cumplen simultáneamente las siete condiciones siguientes:</w:t>
      </w:r>
      <w:r>
        <w:rPr>
          <w:color w:val="000000" w:themeColor="text1"/>
        </w:rPr>
      </w:r>
    </w:p>
    <w:p>
      <w:pPr>
        <w:pBdr/>
        <w:spacing w:after="4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900"/>
        <w:gridCol w:w="8170"/>
      </w:tblGrid>
      <w:tr>
        <w:trPr>
          <w:tblHeader/>
        </w:trPr>
        <w:tc>
          <w:tcPr>
            <w:shd w:val="clear" w:color="auto" w:fill="dce6f1"/>
            <w:tcBorders/>
            <w:tcMar>
              <w:left w:w="90" w:type="dxa"/>
              <w:top w:w="60" w:type="dxa"/>
              <w:right w:w="90" w:type="dxa"/>
              <w:bottom w:w="60" w:type="dxa"/>
            </w:tcMar>
            <w:tcW w:w="9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w:t>
            </w:r>
            <w:r>
              <w:rPr>
                <w:color w:val="000000" w:themeColor="text1"/>
              </w:rPr>
            </w:r>
          </w:p>
        </w:tc>
        <w:tc>
          <w:tcPr>
            <w:shd w:val="clear" w:color="auto" w:fill="dce6f1"/>
            <w:tcBorders/>
            <w:tcMar>
              <w:left w:w="90" w:type="dxa"/>
              <w:top w:w="60" w:type="dxa"/>
              <w:right w:w="90" w:type="dxa"/>
              <w:bottom w:w="60" w:type="dxa"/>
            </w:tcMar>
            <w:tcW w:w="81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Condición</w:t>
            </w:r>
            <w:r>
              <w:rPr>
                <w:color w:val="000000" w:themeColor="text1"/>
              </w:rP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w:t>
            </w:r>
            <w:r>
              <w:rPr>
                <w:color w:val="000000" w:themeColor="text1"/>
              </w:rPr>
            </w:r>
          </w:p>
        </w:tc>
        <w:tc>
          <w:tcPr>
            <w:shd w:val="clear" w:color="auto" w:fill="ffffff"/>
            <w:tcBorders/>
            <w:tcMar>
              <w:left w:w="90" w:type="dxa"/>
              <w:top w:w="55" w:type="dxa"/>
              <w:right w:w="90" w:type="dxa"/>
              <w:bottom w:w="55" w:type="dxa"/>
            </w:tcMar>
            <w:tcW w:w="8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criterio de aceptación declarado para el requisito en la matriz del documento 2 se ha ejecutado con el método de verificación allí asignado, y su resultado consta registrado.</w:t>
            </w:r>
            <w:r>
              <w:rPr>
                <w:color w:val="000000" w:themeColor="text1"/>
              </w:rP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2</w:t>
            </w:r>
            <w:r>
              <w:rPr>
                <w:color w:val="000000" w:themeColor="text1"/>
              </w:rPr>
            </w:r>
          </w:p>
        </w:tc>
        <w:tc>
          <w:tcPr>
            <w:shd w:val="clear" w:color="auto" w:fill="f2f2f2"/>
            <w:tcBorders/>
            <w:tcMar>
              <w:left w:w="90" w:type="dxa"/>
              <w:top w:w="55" w:type="dxa"/>
              <w:right w:w="90" w:type="dxa"/>
              <w:bottom w:w="55" w:type="dxa"/>
            </w:tcMar>
            <w:tcW w:w="8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código del núcleo de dominio afectado está cubierto por pruebas automatizadas que alcanzan el umbral de RNF-04.</w:t>
            </w:r>
            <w:r>
              <w:rPr>
                <w:color w:val="000000" w:themeColor="text1"/>
              </w:rP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3</w:t>
            </w:r>
            <w:r>
              <w:rPr>
                <w:color w:val="000000" w:themeColor="text1"/>
              </w:rPr>
            </w:r>
          </w:p>
        </w:tc>
        <w:tc>
          <w:tcPr>
            <w:shd w:val="clear" w:color="auto" w:fill="ffffff"/>
            <w:tcBorders/>
            <w:tcMar>
              <w:left w:w="90" w:type="dxa"/>
              <w:top w:w="55" w:type="dxa"/>
              <w:right w:w="90" w:type="dxa"/>
              <w:bottom w:w="55" w:type="dxa"/>
            </w:tcMar>
            <w:tcW w:w="8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verificación automática de dependencias entre módulos no reporta acceso alguno al esquema de otro módulo, conforme al principio PA-02.</w:t>
            </w:r>
            <w:r>
              <w:rPr>
                <w:color w:val="000000" w:themeColor="text1"/>
              </w:rP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4</w:t>
            </w:r>
            <w:r>
              <w:rPr>
                <w:color w:val="000000" w:themeColor="text1"/>
              </w:rPr>
            </w:r>
          </w:p>
        </w:tc>
        <w:tc>
          <w:tcPr>
            <w:shd w:val="clear" w:color="auto" w:fill="f2f2f2"/>
            <w:tcBorders/>
            <w:tcMar>
              <w:left w:w="90" w:type="dxa"/>
              <w:top w:w="55" w:type="dxa"/>
              <w:right w:w="90" w:type="dxa"/>
              <w:bottom w:w="55" w:type="dxa"/>
            </w:tcMar>
            <w:tcW w:w="8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contrato de interfaz afectado está publicado y actualizado antes de la integración, conforme al principio PA-07.</w:t>
            </w:r>
            <w:r>
              <w:rPr>
                <w:color w:val="000000" w:themeColor="text1"/>
              </w:rP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5</w:t>
            </w:r>
            <w:r>
              <w:rPr>
                <w:color w:val="000000" w:themeColor="text1"/>
              </w:rPr>
            </w:r>
          </w:p>
        </w:tc>
        <w:tc>
          <w:tcPr>
            <w:shd w:val="clear" w:color="auto" w:fill="ffffff"/>
            <w:tcBorders/>
            <w:tcMar>
              <w:left w:w="90" w:type="dxa"/>
              <w:top w:w="55" w:type="dxa"/>
              <w:right w:w="90" w:type="dxa"/>
              <w:bottom w:w="55" w:type="dxa"/>
            </w:tcMar>
            <w:tcW w:w="8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revisión cruzada de DM-05 está registrada con resultado favorable.</w:t>
            </w:r>
            <w:r>
              <w:rPr>
                <w:color w:val="000000" w:themeColor="text1"/>
              </w:rP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6</w:t>
            </w:r>
            <w:r>
              <w:rPr>
                <w:color w:val="000000" w:themeColor="text1"/>
              </w:rPr>
            </w:r>
          </w:p>
        </w:tc>
        <w:tc>
          <w:tcPr>
            <w:shd w:val="clear" w:color="auto" w:fill="f2f2f2"/>
            <w:tcBorders/>
            <w:tcMar>
              <w:left w:w="90" w:type="dxa"/>
              <w:top w:w="55" w:type="dxa"/>
              <w:right w:w="90" w:type="dxa"/>
              <w:bottom w:w="55" w:type="dxa"/>
            </w:tcMar>
            <w:tcW w:w="8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elemento se ha integrado en la rama principal y el conjunto de la batería de pruebas se ejecuta sin fallos.</w:t>
            </w:r>
            <w:r>
              <w:rPr>
                <w:color w:val="000000" w:themeColor="text1"/>
              </w:rP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7</w:t>
            </w:r>
            <w:r>
              <w:rPr>
                <w:color w:val="000000" w:themeColor="text1"/>
              </w:rPr>
            </w:r>
          </w:p>
        </w:tc>
        <w:tc>
          <w:tcPr>
            <w:shd w:val="clear" w:color="auto" w:fill="ffffff"/>
            <w:tcBorders/>
            <w:tcMar>
              <w:left w:w="90" w:type="dxa"/>
              <w:top w:w="55" w:type="dxa"/>
              <w:right w:w="90" w:type="dxa"/>
              <w:bottom w:w="55" w:type="dxa"/>
            </w:tcMar>
            <w:tcW w:w="81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Si el elemento introduce una decisión no trivial, esta consta registrada conforme a PR-11.</w:t>
            </w:r>
            <w:r>
              <w:rPr>
                <w:color w:val="000000" w:themeColor="text1"/>
              </w:rPr>
            </w:r>
          </w:p>
        </w:tc>
      </w:tr>
    </w:tbl>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La condición 3 merece un comentario. El documento 3 declaró R-01 como el riesgo más probable y enunció tres mitigaciones, una de las cuales era la verificación automática de dependencias en la integración continua. Esa mitigación no pertenece a la arquitectura sino al proceso, y hasta este documento carecía de un lugar donde ser exigible. La Definición de Terminado es ese lugar.</w:t>
      </w:r>
      <w:r>
        <w:rPr>
          <w:color w:val="000000" w:themeColor="text1"/>
        </w:rPr>
      </w:r>
    </w:p>
    <w:p>
      <w:pPr>
        <w:pStyle w:val="918"/>
        <w:pBdr/>
        <w:spacing w:after="140" w:before="280"/>
        <w:ind/>
        <w:rPr>
          <w:color w:val="000000" w:themeColor="text1"/>
        </w:rPr>
      </w:pPr>
      <w:r>
        <w:rPr>
          <w:color w:val="000000" w:themeColor="text1"/>
        </w:rPr>
      </w:r>
      <w:bookmarkStart w:id="24" w:name="_Toc24"/>
      <w:r>
        <w:rPr>
          <w:rFonts w:ascii="Calibri" w:hAnsi="Calibri" w:eastAsia="Calibri" w:cs="Calibri"/>
          <w:b/>
          <w:bCs/>
          <w:color w:val="000000" w:themeColor="text1"/>
          <w:sz w:val="25"/>
          <w:szCs w:val="25"/>
        </w:rPr>
        <w:t xml:space="preserve">2.11 Prácticas adoptadas</w:t>
      </w:r>
      <w:bookmarkEnd w:id="24"/>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El SWEBOK separa con nitidez los valores y principios de las prácticas, y advierte que existe una cartografía amplia de estas últimas. Las doce prácticas siguientes se adoptan de forma nominada, indicando su origen y el factor o riesgo que atienden, de modo que ninguna se incorpore por costumbre.</w:t>
      </w:r>
      <w:r>
        <w:rPr>
          <w:color w:val="000000" w:themeColor="text1"/>
        </w:rPr>
      </w:r>
    </w:p>
    <w:p>
      <w:pPr>
        <w:pBdr/>
        <w:spacing w:after="6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800"/>
        <w:gridCol w:w="2400"/>
        <w:gridCol w:w="1250"/>
        <w:gridCol w:w="3420"/>
        <w:gridCol w:w="1200"/>
      </w:tblGrid>
      <w:tr>
        <w:trPr>
          <w:tblHeader/>
        </w:trPr>
        <w:tc>
          <w:tcPr>
            <w:shd w:val="clear" w:color="auto" w:fill="dce6f1"/>
            <w:tcBorders/>
            <w:tcMar>
              <w:left w:w="90" w:type="dxa"/>
              <w:top w:w="60" w:type="dxa"/>
              <w:right w:w="90" w:type="dxa"/>
              <w:bottom w:w="60" w:type="dxa"/>
            </w:tcMar>
            <w:tcW w:w="8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ID</w:t>
            </w:r>
            <w:r>
              <w:rPr>
                <w:color w:val="000000" w:themeColor="text1"/>
              </w:rPr>
            </w:r>
          </w:p>
        </w:tc>
        <w:tc>
          <w:tcPr>
            <w:shd w:val="clear" w:color="auto" w:fill="dce6f1"/>
            <w:tcBorders/>
            <w:tcMar>
              <w:left w:w="90" w:type="dxa"/>
              <w:top w:w="60" w:type="dxa"/>
              <w:right w:w="90" w:type="dxa"/>
              <w:bottom w:w="60" w:type="dxa"/>
            </w:tcMar>
            <w:tcW w:w="24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Práctica</w:t>
            </w:r>
            <w:r>
              <w:rPr>
                <w:color w:val="000000" w:themeColor="text1"/>
              </w:rPr>
            </w:r>
          </w:p>
        </w:tc>
        <w:tc>
          <w:tcPr>
            <w:shd w:val="clear" w:color="auto" w:fill="dce6f1"/>
            <w:tcBorders/>
            <w:tcMar>
              <w:left w:w="90" w:type="dxa"/>
              <w:top w:w="60" w:type="dxa"/>
              <w:right w:w="90" w:type="dxa"/>
              <w:bottom w:w="60" w:type="dxa"/>
            </w:tcMar>
            <w:tcW w:w="125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Origen</w:t>
            </w:r>
            <w:r>
              <w:rPr>
                <w:color w:val="000000" w:themeColor="text1"/>
              </w:rPr>
            </w:r>
          </w:p>
        </w:tc>
        <w:tc>
          <w:tcPr>
            <w:shd w:val="clear" w:color="auto" w:fill="dce6f1"/>
            <w:tcBorders/>
            <w:tcMar>
              <w:left w:w="90" w:type="dxa"/>
              <w:top w:w="60" w:type="dxa"/>
              <w:right w:w="90" w:type="dxa"/>
              <w:bottom w:w="60" w:type="dxa"/>
            </w:tcMar>
            <w:tcW w:w="342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Propósito en este proyecto</w:t>
            </w:r>
            <w:r>
              <w:rPr>
                <w:color w:val="000000" w:themeColor="text1"/>
              </w:rPr>
            </w:r>
          </w:p>
        </w:tc>
        <w:tc>
          <w:tcPr>
            <w:shd w:val="clear" w:color="auto" w:fill="dce6f1"/>
            <w:tcBorders/>
            <w:tcMar>
              <w:left w:w="90" w:type="dxa"/>
              <w:top w:w="60" w:type="dxa"/>
              <w:right w:w="90" w:type="dxa"/>
              <w:bottom w:w="60" w:type="dxa"/>
            </w:tcMar>
            <w:tcW w:w="12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Atiende</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PR-01</w:t>
            </w:r>
            <w:r>
              <w:rPr>
                <w:color w:val="000000" w:themeColor="text1"/>
              </w:rPr>
            </w:r>
          </w:p>
        </w:tc>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Planificación de la iteración con estimación relativa y compromiso explícito.</w:t>
            </w:r>
            <w:r>
              <w:rPr>
                <w:color w:val="000000" w:themeColor="text1"/>
              </w:rPr>
            </w:r>
          </w:p>
        </w:tc>
        <w:tc>
          <w:tcPr>
            <w:shd w:val="clear" w:color="auto" w:fill="ffffff"/>
            <w:tcBorders/>
            <w:tcMar>
              <w:left w:w="90" w:type="dxa"/>
              <w:top w:w="55" w:type="dxa"/>
              <w:right w:w="90" w:type="dxa"/>
              <w:bottom w:w="55" w:type="dxa"/>
            </w:tcMar>
            <w:tcW w:w="12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Scrum</w:t>
            </w:r>
            <w:r>
              <w:rPr>
                <w:color w:val="000000" w:themeColor="text1"/>
              </w:rPr>
            </w:r>
          </w:p>
        </w:tc>
        <w:tc>
          <w:tcPr>
            <w:shd w:val="clear" w:color="auto" w:fill="ffffff"/>
            <w:tcBorders/>
            <w:tcMar>
              <w:left w:w="90" w:type="dxa"/>
              <w:top w:w="55" w:type="dxa"/>
              <w:right w:w="90" w:type="dxa"/>
              <w:bottom w:w="55" w:type="dxa"/>
            </w:tcMar>
            <w:tcW w:w="34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Convierte la pila en un compromiso acotado y comparable entre iteraciones.</w:t>
            </w:r>
            <w:r>
              <w:rPr>
                <w:color w:val="000000" w:themeColor="text1"/>
              </w:rPr>
            </w:r>
          </w:p>
        </w:tc>
        <w:tc>
          <w:tcPr>
            <w:shd w:val="clear" w:color="auto" w:fill="ffffff"/>
            <w:tcBorders/>
            <w:tcMar>
              <w:left w:w="90" w:type="dxa"/>
              <w:top w:w="55" w:type="dxa"/>
              <w:right w:w="90" w:type="dxa"/>
              <w:bottom w:w="55" w:type="dxa"/>
            </w:tcMar>
            <w:tcW w:w="1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FD-10, CM-08</w:t>
            </w:r>
            <w:r>
              <w:rPr>
                <w:color w:val="000000" w:themeColor="text1"/>
              </w:rP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PR-02</w:t>
            </w:r>
            <w:r>
              <w:rPr>
                <w:color w:val="000000" w:themeColor="text1"/>
              </w:rPr>
            </w:r>
          </w:p>
        </w:tc>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Pila del producto única, ordenada y visible.</w:t>
            </w:r>
            <w:r>
              <w:rPr>
                <w:color w:val="000000" w:themeColor="text1"/>
              </w:rPr>
            </w:r>
          </w:p>
        </w:tc>
        <w:tc>
          <w:tcPr>
            <w:shd w:val="clear" w:color="auto" w:fill="f2f2f2"/>
            <w:tcBorders/>
            <w:tcMar>
              <w:left w:w="90" w:type="dxa"/>
              <w:top w:w="55" w:type="dxa"/>
              <w:right w:w="90" w:type="dxa"/>
              <w:bottom w:w="55" w:type="dxa"/>
            </w:tcMar>
            <w:tcW w:w="12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Scrum</w:t>
            </w:r>
            <w:r>
              <w:rPr>
                <w:color w:val="000000" w:themeColor="text1"/>
              </w:rPr>
            </w:r>
          </w:p>
        </w:tc>
        <w:tc>
          <w:tcPr>
            <w:shd w:val="clear" w:color="auto" w:fill="f2f2f2"/>
            <w:tcBorders/>
            <w:tcMar>
              <w:left w:w="90" w:type="dxa"/>
              <w:top w:w="55" w:type="dxa"/>
              <w:right w:w="90" w:type="dxa"/>
              <w:bottom w:w="55" w:type="dxa"/>
            </w:tcMar>
            <w:tcW w:w="34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Impide que existan dos verdades sobre qué falta por hacer, que es el modo habitual en que el alcance se descontrola en equipos pequeños.</w:t>
            </w:r>
            <w:r>
              <w:rPr>
                <w:color w:val="000000" w:themeColor="text1"/>
              </w:rPr>
            </w:r>
          </w:p>
        </w:tc>
        <w:tc>
          <w:tcPr>
            <w:shd w:val="clear" w:color="auto" w:fill="f2f2f2"/>
            <w:tcBorders/>
            <w:tcMar>
              <w:left w:w="90" w:type="dxa"/>
              <w:top w:w="55" w:type="dxa"/>
              <w:right w:w="90" w:type="dxa"/>
              <w:bottom w:w="55" w:type="dxa"/>
            </w:tcMar>
            <w:tcW w:w="1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FD-07, DM-07</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PR-03</w:t>
            </w:r>
            <w:r>
              <w:rPr>
                <w:color w:val="000000" w:themeColor="text1"/>
              </w:rPr>
            </w:r>
          </w:p>
        </w:tc>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Sincronización diaria asíncrona escrita.</w:t>
            </w:r>
            <w:r>
              <w:rPr>
                <w:color w:val="000000" w:themeColor="text1"/>
              </w:rPr>
            </w:r>
          </w:p>
        </w:tc>
        <w:tc>
          <w:tcPr>
            <w:shd w:val="clear" w:color="auto" w:fill="ffffff"/>
            <w:tcBorders/>
            <w:tcMar>
              <w:left w:w="90" w:type="dxa"/>
              <w:top w:w="55" w:type="dxa"/>
              <w:right w:w="90" w:type="dxa"/>
              <w:bottom w:w="55" w:type="dxa"/>
            </w:tcMar>
            <w:tcW w:w="12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Scrum adaptado</w:t>
            </w:r>
            <w:r>
              <w:rPr>
                <w:color w:val="000000" w:themeColor="text1"/>
              </w:rPr>
            </w:r>
          </w:p>
        </w:tc>
        <w:tc>
          <w:tcPr>
            <w:shd w:val="clear" w:color="auto" w:fill="ffffff"/>
            <w:tcBorders/>
            <w:tcMar>
              <w:left w:w="90" w:type="dxa"/>
              <w:top w:w="55" w:type="dxa"/>
              <w:right w:w="90" w:type="dxa"/>
              <w:bottom w:w="55" w:type="dxa"/>
            </w:tcMar>
            <w:tcW w:w="34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Sustituye la reunión diaria conservando su función: hacer visible el bloqueo antes de que se consolide.</w:t>
            </w:r>
            <w:r>
              <w:rPr>
                <w:color w:val="000000" w:themeColor="text1"/>
              </w:rPr>
            </w:r>
          </w:p>
        </w:tc>
        <w:tc>
          <w:tcPr>
            <w:shd w:val="clear" w:color="auto" w:fill="ffffff"/>
            <w:tcBorders/>
            <w:tcMar>
              <w:left w:w="90" w:type="dxa"/>
              <w:top w:w="55" w:type="dxa"/>
              <w:right w:w="90" w:type="dxa"/>
              <w:bottom w:w="55" w:type="dxa"/>
            </w:tcMar>
            <w:tcW w:w="1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FD-02, DM-03</w:t>
            </w:r>
            <w:r>
              <w:rPr>
                <w:color w:val="000000" w:themeColor="text1"/>
              </w:rP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PR-04</w:t>
            </w:r>
            <w:r>
              <w:rPr>
                <w:color w:val="000000" w:themeColor="text1"/>
              </w:rPr>
            </w:r>
          </w:p>
        </w:tc>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Revisión del incremento mediante demostración de software ejecutable.</w:t>
            </w:r>
            <w:r>
              <w:rPr>
                <w:color w:val="000000" w:themeColor="text1"/>
              </w:rPr>
            </w:r>
          </w:p>
        </w:tc>
        <w:tc>
          <w:tcPr>
            <w:shd w:val="clear" w:color="auto" w:fill="f2f2f2"/>
            <w:tcBorders/>
            <w:tcMar>
              <w:left w:w="90" w:type="dxa"/>
              <w:top w:w="55" w:type="dxa"/>
              <w:right w:w="90" w:type="dxa"/>
              <w:bottom w:w="55" w:type="dxa"/>
            </w:tcMar>
            <w:tcW w:w="12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Scrum</w:t>
            </w:r>
            <w:r>
              <w:rPr>
                <w:color w:val="000000" w:themeColor="text1"/>
              </w:rPr>
            </w:r>
          </w:p>
        </w:tc>
        <w:tc>
          <w:tcPr>
            <w:shd w:val="clear" w:color="auto" w:fill="f2f2f2"/>
            <w:tcBorders/>
            <w:tcMar>
              <w:left w:w="90" w:type="dxa"/>
              <w:top w:w="55" w:type="dxa"/>
              <w:right w:w="90" w:type="dxa"/>
              <w:bottom w:w="55" w:type="dxa"/>
            </w:tcMar>
            <w:tcW w:w="34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Hace que el avance se juzgue sobre lo que funciona y no sobre lo que se declara avanzado.</w:t>
            </w:r>
            <w:r>
              <w:rPr>
                <w:color w:val="000000" w:themeColor="text1"/>
              </w:rPr>
            </w:r>
          </w:p>
        </w:tc>
        <w:tc>
          <w:tcPr>
            <w:shd w:val="clear" w:color="auto" w:fill="f2f2f2"/>
            <w:tcBorders/>
            <w:tcMar>
              <w:left w:w="90" w:type="dxa"/>
              <w:top w:w="55" w:type="dxa"/>
              <w:right w:w="90" w:type="dxa"/>
              <w:bottom w:w="55" w:type="dxa"/>
            </w:tcMar>
            <w:tcW w:w="1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FD-10, FD-12</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PR-05</w:t>
            </w:r>
            <w:r>
              <w:rPr>
                <w:color w:val="000000" w:themeColor="text1"/>
              </w:rPr>
            </w:r>
          </w:p>
        </w:tc>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Retrospectiva al cierre de cada iteración con </w:t>
            </w:r>
            <w:r>
              <w:rPr>
                <w:rFonts w:ascii="Calibri" w:hAnsi="Calibri" w:eastAsia="Calibri" w:cs="Calibri"/>
                <w:b/>
                <w:bCs/>
                <w:color w:val="000000" w:themeColor="text1"/>
                <w:sz w:val="17"/>
                <w:szCs w:val="17"/>
              </w:rPr>
              <w:t xml:space="preserve">una</w:t>
            </w:r>
            <w:r>
              <w:rPr>
                <w:rFonts w:ascii="Calibri" w:hAnsi="Calibri" w:eastAsia="Calibri" w:cs="Calibri"/>
                <w:b w:val="0"/>
                <w:bCs w:val="0"/>
                <w:color w:val="000000" w:themeColor="text1"/>
                <w:sz w:val="17"/>
                <w:szCs w:val="17"/>
              </w:rPr>
              <w:t xml:space="preserve"> acción de mejora acordada y escrita.</w:t>
            </w:r>
            <w:r>
              <w:rPr>
                <w:color w:val="000000" w:themeColor="text1"/>
              </w:rPr>
            </w:r>
          </w:p>
        </w:tc>
        <w:tc>
          <w:tcPr>
            <w:shd w:val="clear" w:color="auto" w:fill="ffffff"/>
            <w:tcBorders/>
            <w:tcMar>
              <w:left w:w="90" w:type="dxa"/>
              <w:top w:w="55" w:type="dxa"/>
              <w:right w:w="90" w:type="dxa"/>
              <w:bottom w:w="55" w:type="dxa"/>
            </w:tcMar>
            <w:tcW w:w="12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Scrum · PDCA</w:t>
            </w:r>
            <w:r>
              <w:rPr>
                <w:color w:val="000000" w:themeColor="text1"/>
              </w:rPr>
            </w:r>
          </w:p>
        </w:tc>
        <w:tc>
          <w:tcPr>
            <w:shd w:val="clear" w:color="auto" w:fill="ffffff"/>
            <w:tcBorders/>
            <w:tcMar>
              <w:left w:w="90" w:type="dxa"/>
              <w:top w:w="55" w:type="dxa"/>
              <w:right w:w="90" w:type="dxa"/>
              <w:bottom w:w="55" w:type="dxa"/>
            </w:tcMar>
            <w:tcW w:w="34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fuente describe la retrospectiva como el mecanismo que mantiene al equipo en un bucle continuo de aprendizaje. Limitarla a una acción evita la lista de propósitos que nadie ejecuta.</w:t>
            </w:r>
            <w:r>
              <w:rPr>
                <w:color w:val="000000" w:themeColor="text1"/>
              </w:rPr>
            </w:r>
          </w:p>
        </w:tc>
        <w:tc>
          <w:tcPr>
            <w:shd w:val="clear" w:color="auto" w:fill="ffffff"/>
            <w:tcBorders/>
            <w:tcMar>
              <w:left w:w="90" w:type="dxa"/>
              <w:top w:w="55" w:type="dxa"/>
              <w:right w:w="90" w:type="dxa"/>
              <w:bottom w:w="55" w:type="dxa"/>
            </w:tcMar>
            <w:tcW w:w="1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CM-08, RM-02</w:t>
            </w:r>
            <w:r>
              <w:rPr>
                <w:color w:val="000000" w:themeColor="text1"/>
              </w:rP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PR-06</w:t>
            </w:r>
            <w:r>
              <w:rPr>
                <w:color w:val="000000" w:themeColor="text1"/>
              </w:rPr>
            </w:r>
          </w:p>
        </w:tc>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Desarrollo guiado por pruebas en el núcleo de dominio de los módulos M3, M4, M6 y M8.</w:t>
            </w:r>
            <w:r>
              <w:rPr>
                <w:color w:val="000000" w:themeColor="text1"/>
              </w:rPr>
            </w:r>
          </w:p>
        </w:tc>
        <w:tc>
          <w:tcPr>
            <w:shd w:val="clear" w:color="auto" w:fill="f2f2f2"/>
            <w:tcBorders/>
            <w:tcMar>
              <w:left w:w="90" w:type="dxa"/>
              <w:top w:w="55" w:type="dxa"/>
              <w:right w:w="90" w:type="dxa"/>
              <w:bottom w:w="55" w:type="dxa"/>
            </w:tcMar>
            <w:tcW w:w="12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Extreme Programming</w:t>
            </w:r>
            <w:r>
              <w:rPr>
                <w:color w:val="000000" w:themeColor="text1"/>
              </w:rPr>
            </w:r>
          </w:p>
        </w:tc>
        <w:tc>
          <w:tcPr>
            <w:shd w:val="clear" w:color="auto" w:fill="f2f2f2"/>
            <w:tcBorders/>
            <w:tcMar>
              <w:left w:w="90" w:type="dxa"/>
              <w:top w:w="55" w:type="dxa"/>
              <w:right w:w="90" w:type="dxa"/>
              <w:bottom w:w="55" w:type="dxa"/>
            </w:tcMar>
            <w:tcW w:w="34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Se aplica solo donde hay lógica de dominio real, en coherencia con la mitigación de R-04, que restringe el patrón de puertos y adaptadores a esos mismos módulos.</w:t>
            </w:r>
            <w:r>
              <w:rPr>
                <w:color w:val="000000" w:themeColor="text1"/>
              </w:rPr>
            </w:r>
          </w:p>
        </w:tc>
        <w:tc>
          <w:tcPr>
            <w:shd w:val="clear" w:color="auto" w:fill="f2f2f2"/>
            <w:tcBorders/>
            <w:tcMar>
              <w:left w:w="90" w:type="dxa"/>
              <w:top w:w="55" w:type="dxa"/>
              <w:right w:w="90" w:type="dxa"/>
              <w:bottom w:w="55" w:type="dxa"/>
            </w:tcMar>
            <w:tcW w:w="1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RNF-04, R-04</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PR-07</w:t>
            </w:r>
            <w:r>
              <w:rPr>
                <w:color w:val="000000" w:themeColor="text1"/>
              </w:rPr>
            </w:r>
          </w:p>
        </w:tc>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Revisión cruzada de código en modo de par diferido.</w:t>
            </w:r>
            <w:r>
              <w:rPr>
                <w:color w:val="000000" w:themeColor="text1"/>
              </w:rPr>
            </w:r>
          </w:p>
        </w:tc>
        <w:tc>
          <w:tcPr>
            <w:shd w:val="clear" w:color="auto" w:fill="ffffff"/>
            <w:tcBorders/>
            <w:tcMar>
              <w:left w:w="90" w:type="dxa"/>
              <w:top w:w="55" w:type="dxa"/>
              <w:right w:w="90" w:type="dxa"/>
              <w:bottom w:w="55" w:type="dxa"/>
            </w:tcMar>
            <w:tcW w:w="12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XP adaptado</w:t>
            </w:r>
            <w:r>
              <w:rPr>
                <w:color w:val="000000" w:themeColor="text1"/>
              </w:rPr>
            </w:r>
          </w:p>
        </w:tc>
        <w:tc>
          <w:tcPr>
            <w:shd w:val="clear" w:color="auto" w:fill="ffffff"/>
            <w:tcBorders/>
            <w:tcMar>
              <w:left w:w="90" w:type="dxa"/>
              <w:top w:w="55" w:type="dxa"/>
              <w:right w:w="90" w:type="dxa"/>
              <w:bottom w:w="55" w:type="dxa"/>
            </w:tcMar>
            <w:tcW w:w="34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Conserva la función de la programación por pares —dos pares de ojos sobre cada cambio— en un equipo que no coincide en el tiempo.</w:t>
            </w:r>
            <w:r>
              <w:rPr>
                <w:color w:val="000000" w:themeColor="text1"/>
              </w:rPr>
            </w:r>
          </w:p>
        </w:tc>
        <w:tc>
          <w:tcPr>
            <w:shd w:val="clear" w:color="auto" w:fill="ffffff"/>
            <w:tcBorders/>
            <w:tcMar>
              <w:left w:w="90" w:type="dxa"/>
              <w:top w:w="55" w:type="dxa"/>
              <w:right w:w="90" w:type="dxa"/>
              <w:bottom w:w="55" w:type="dxa"/>
            </w:tcMar>
            <w:tcW w:w="1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FD-02, FD-05</w:t>
            </w:r>
            <w:r>
              <w:rPr>
                <w:color w:val="000000" w:themeColor="text1"/>
              </w:rP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PR-08</w:t>
            </w:r>
            <w:r>
              <w:rPr>
                <w:color w:val="000000" w:themeColor="text1"/>
              </w:rPr>
            </w:r>
          </w:p>
        </w:tc>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Integración continua con verificación automática de dependencias entre módulos.</w:t>
            </w:r>
            <w:r>
              <w:rPr>
                <w:color w:val="000000" w:themeColor="text1"/>
              </w:rPr>
            </w:r>
          </w:p>
        </w:tc>
        <w:tc>
          <w:tcPr>
            <w:shd w:val="clear" w:color="auto" w:fill="f2f2f2"/>
            <w:tcBorders/>
            <w:tcMar>
              <w:left w:w="90" w:type="dxa"/>
              <w:top w:w="55" w:type="dxa"/>
              <w:right w:w="90" w:type="dxa"/>
              <w:bottom w:w="55" w:type="dxa"/>
            </w:tcMar>
            <w:tcW w:w="12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DevOps · XP</w:t>
            </w:r>
            <w:r>
              <w:rPr>
                <w:color w:val="000000" w:themeColor="text1"/>
              </w:rPr>
            </w:r>
          </w:p>
        </w:tc>
        <w:tc>
          <w:tcPr>
            <w:shd w:val="clear" w:color="auto" w:fill="f2f2f2"/>
            <w:tcBorders/>
            <w:tcMar>
              <w:left w:w="90" w:type="dxa"/>
              <w:top w:w="55" w:type="dxa"/>
              <w:right w:w="90" w:type="dxa"/>
              <w:bottom w:w="55" w:type="dxa"/>
            </w:tcMar>
            <w:tcW w:w="34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Es el instrumento que hace medible MT-03 y exigible la condición 3 de la Definición de Terminado.</w:t>
            </w:r>
            <w:r>
              <w:rPr>
                <w:color w:val="000000" w:themeColor="text1"/>
              </w:rPr>
            </w:r>
          </w:p>
        </w:tc>
        <w:tc>
          <w:tcPr>
            <w:shd w:val="clear" w:color="auto" w:fill="f2f2f2"/>
            <w:tcBorders/>
            <w:tcMar>
              <w:left w:w="90" w:type="dxa"/>
              <w:top w:w="55" w:type="dxa"/>
              <w:right w:w="90" w:type="dxa"/>
              <w:bottom w:w="55" w:type="dxa"/>
            </w:tcMar>
            <w:tcW w:w="1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FD-03, FD-08</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PR-09</w:t>
            </w:r>
            <w:r>
              <w:rPr>
                <w:color w:val="000000" w:themeColor="text1"/>
              </w:rPr>
            </w:r>
          </w:p>
        </w:tc>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Publicación del contrato de interfaz antes de la implementación.</w:t>
            </w:r>
            <w:r>
              <w:rPr>
                <w:color w:val="000000" w:themeColor="text1"/>
              </w:rPr>
            </w:r>
          </w:p>
        </w:tc>
        <w:tc>
          <w:tcPr>
            <w:shd w:val="clear" w:color="auto" w:fill="ffffff"/>
            <w:tcBorders/>
            <w:tcMar>
              <w:left w:w="90" w:type="dxa"/>
              <w:top w:w="55" w:type="dxa"/>
              <w:right w:w="90" w:type="dxa"/>
              <w:bottom w:w="55" w:type="dxa"/>
            </w:tcMar>
            <w:tcW w:w="12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Principio PA-07</w:t>
            </w:r>
            <w:r>
              <w:rPr>
                <w:color w:val="000000" w:themeColor="text1"/>
              </w:rPr>
            </w:r>
          </w:p>
        </w:tc>
        <w:tc>
          <w:tcPr>
            <w:shd w:val="clear" w:color="auto" w:fill="ffffff"/>
            <w:tcBorders/>
            <w:tcMar>
              <w:left w:w="90" w:type="dxa"/>
              <w:top w:w="55" w:type="dxa"/>
              <w:right w:w="90" w:type="dxa"/>
              <w:bottom w:w="55" w:type="dxa"/>
            </w:tcMar>
            <w:tcW w:w="34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Permite que la interfaz cliente y el servidor avancen en paralelo, que es la única forma de que dos personas no se bloqueen mutuamente.</w:t>
            </w:r>
            <w:r>
              <w:rPr>
                <w:color w:val="000000" w:themeColor="text1"/>
              </w:rPr>
            </w:r>
          </w:p>
        </w:tc>
        <w:tc>
          <w:tcPr>
            <w:shd w:val="clear" w:color="auto" w:fill="ffffff"/>
            <w:tcBorders/>
            <w:tcMar>
              <w:left w:w="90" w:type="dxa"/>
              <w:top w:w="55" w:type="dxa"/>
              <w:right w:w="90" w:type="dxa"/>
              <w:bottom w:w="55" w:type="dxa"/>
            </w:tcMar>
            <w:tcW w:w="1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FD-01, FD-09</w:t>
            </w:r>
            <w:r>
              <w:rPr>
                <w:color w:val="000000" w:themeColor="text1"/>
              </w:rP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PR-10</w:t>
            </w:r>
            <w:r>
              <w:rPr>
                <w:color w:val="000000" w:themeColor="text1"/>
              </w:rPr>
            </w:r>
          </w:p>
        </w:tc>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Refactorización continua con presupuesto explícito por iteración.</w:t>
            </w:r>
            <w:r>
              <w:rPr>
                <w:color w:val="000000" w:themeColor="text1"/>
              </w:rPr>
            </w:r>
          </w:p>
        </w:tc>
        <w:tc>
          <w:tcPr>
            <w:shd w:val="clear" w:color="auto" w:fill="f2f2f2"/>
            <w:tcBorders/>
            <w:tcMar>
              <w:left w:w="90" w:type="dxa"/>
              <w:top w:w="55" w:type="dxa"/>
              <w:right w:w="90" w:type="dxa"/>
              <w:bottom w:w="55" w:type="dxa"/>
            </w:tcMar>
            <w:tcW w:w="12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Extreme Programming</w:t>
            </w:r>
            <w:r>
              <w:rPr>
                <w:color w:val="000000" w:themeColor="text1"/>
              </w:rPr>
            </w:r>
          </w:p>
        </w:tc>
        <w:tc>
          <w:tcPr>
            <w:shd w:val="clear" w:color="auto" w:fill="f2f2f2"/>
            <w:tcBorders/>
            <w:tcMar>
              <w:left w:w="90" w:type="dxa"/>
              <w:top w:w="55" w:type="dxa"/>
              <w:right w:w="90" w:type="dxa"/>
              <w:bottom w:w="55" w:type="dxa"/>
            </w:tcMar>
            <w:tcW w:w="34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Sin presupuesto declarado, la refactorización es lo primero que se sacrifica bajo presión, y su sacrificio es el mecanismo concreto por el que R-01 se materializa.</w:t>
            </w:r>
            <w:r>
              <w:rPr>
                <w:color w:val="000000" w:themeColor="text1"/>
              </w:rPr>
            </w:r>
          </w:p>
        </w:tc>
        <w:tc>
          <w:tcPr>
            <w:shd w:val="clear" w:color="auto" w:fill="f2f2f2"/>
            <w:tcBorders/>
            <w:tcMar>
              <w:left w:w="90" w:type="dxa"/>
              <w:top w:w="55" w:type="dxa"/>
              <w:right w:w="90" w:type="dxa"/>
              <w:bottom w:w="55" w:type="dxa"/>
            </w:tcMar>
            <w:tcW w:w="1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R-01, RM-04</w:t>
            </w:r>
            <w:r>
              <w:rPr>
                <w:color w:val="000000" w:themeColor="text1"/>
              </w:rP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PR-11</w:t>
            </w:r>
            <w:r>
              <w:rPr>
                <w:color w:val="000000" w:themeColor="text1"/>
              </w:rPr>
            </w:r>
          </w:p>
        </w:tc>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Registro de decisiones como artefacto vivo, con el mismo formato abreviado de los ADR del documento 3.</w:t>
            </w:r>
            <w:r>
              <w:rPr>
                <w:color w:val="000000" w:themeColor="text1"/>
              </w:rPr>
            </w:r>
          </w:p>
        </w:tc>
        <w:tc>
          <w:tcPr>
            <w:shd w:val="clear" w:color="auto" w:fill="ffffff"/>
            <w:tcBorders/>
            <w:tcMar>
              <w:left w:w="90" w:type="dxa"/>
              <w:top w:w="55" w:type="dxa"/>
              <w:right w:w="90" w:type="dxa"/>
              <w:bottom w:w="55" w:type="dxa"/>
            </w:tcMar>
            <w:tcW w:w="12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Proceso Unificado · práctica de arquitectura</w:t>
            </w:r>
            <w:r>
              <w:rPr>
                <w:color w:val="000000" w:themeColor="text1"/>
              </w:rPr>
            </w:r>
          </w:p>
        </w:tc>
        <w:tc>
          <w:tcPr>
            <w:shd w:val="clear" w:color="auto" w:fill="ffffff"/>
            <w:tcBorders/>
            <w:tcMar>
              <w:left w:w="90" w:type="dxa"/>
              <w:top w:w="55" w:type="dxa"/>
              <w:right w:w="90" w:type="dxa"/>
              <w:bottom w:w="55" w:type="dxa"/>
            </w:tcMar>
            <w:tcW w:w="34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Se toma deliberadamente de la alternativa descartada: es el elemento del Proceso Unificado cuyo costo sí está justificado, y corrige la debilidad de la opción B en CM-06.</w:t>
            </w:r>
            <w:r>
              <w:rPr>
                <w:color w:val="000000" w:themeColor="text1"/>
              </w:rPr>
            </w:r>
          </w:p>
        </w:tc>
        <w:tc>
          <w:tcPr>
            <w:shd w:val="clear" w:color="auto" w:fill="ffffff"/>
            <w:tcBorders/>
            <w:tcMar>
              <w:left w:w="90" w:type="dxa"/>
              <w:top w:w="55" w:type="dxa"/>
              <w:right w:w="90" w:type="dxa"/>
              <w:bottom w:w="55" w:type="dxa"/>
            </w:tcMar>
            <w:tcW w:w="1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CM-06, FD-08</w:t>
            </w:r>
            <w:r>
              <w:rPr>
                <w:color w:val="000000" w:themeColor="text1"/>
              </w:rP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PR-12</w:t>
            </w:r>
            <w:r>
              <w:rPr>
                <w:color w:val="000000" w:themeColor="text1"/>
              </w:rPr>
            </w:r>
          </w:p>
        </w:tc>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Gestión de la configuración con control de versiones y ramas de vida corta.</w:t>
            </w:r>
            <w:r>
              <w:rPr>
                <w:color w:val="000000" w:themeColor="text1"/>
              </w:rPr>
            </w:r>
          </w:p>
        </w:tc>
        <w:tc>
          <w:tcPr>
            <w:shd w:val="clear" w:color="auto" w:fill="f2f2f2"/>
            <w:tcBorders/>
            <w:tcMar>
              <w:left w:w="90" w:type="dxa"/>
              <w:top w:w="55" w:type="dxa"/>
              <w:right w:w="90" w:type="dxa"/>
              <w:bottom w:w="55" w:type="dxa"/>
            </w:tcMar>
            <w:tcW w:w="125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DevOps · ISO/IEC 29110</w:t>
            </w:r>
            <w:r>
              <w:rPr>
                <w:color w:val="000000" w:themeColor="text1"/>
              </w:rPr>
            </w:r>
          </w:p>
        </w:tc>
        <w:tc>
          <w:tcPr>
            <w:shd w:val="clear" w:color="auto" w:fill="f2f2f2"/>
            <w:tcBorders/>
            <w:tcMar>
              <w:left w:w="90" w:type="dxa"/>
              <w:top w:w="55" w:type="dxa"/>
              <w:right w:w="90" w:type="dxa"/>
              <w:bottom w:w="55" w:type="dxa"/>
            </w:tcMar>
            <w:tcW w:w="342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El paquete de despliegue de gestión de la configuración de la ISO/IEC 29110 se conserva íntegro, conforme al registro de adaptación de la sección 2.20.</w:t>
            </w:r>
            <w:r>
              <w:rPr>
                <w:color w:val="000000" w:themeColor="text1"/>
              </w:rPr>
            </w:r>
          </w:p>
        </w:tc>
        <w:tc>
          <w:tcPr>
            <w:shd w:val="clear" w:color="auto" w:fill="f2f2f2"/>
            <w:tcBorders/>
            <w:tcMar>
              <w:left w:w="90" w:type="dxa"/>
              <w:top w:w="55" w:type="dxa"/>
              <w:right w:w="90" w:type="dxa"/>
              <w:bottom w:w="55" w:type="dxa"/>
            </w:tcMar>
            <w:tcW w:w="1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FD-03, RO-04</w:t>
            </w:r>
            <w:r>
              <w:rPr>
                <w:color w:val="000000" w:themeColor="text1"/>
              </w:rPr>
            </w:r>
          </w:p>
        </w:tc>
      </w:tr>
    </w:tbl>
    <w:p>
      <w:pPr>
        <w:pBdr/>
        <w:spacing w:after="140"/>
        <w:ind/>
        <w:rPr>
          <w:color w:val="000000" w:themeColor="text1"/>
        </w:rPr>
      </w:pPr>
      <w:r>
        <w:rPr>
          <w:color w:val="000000" w:themeColor="text1"/>
        </w:rPr>
      </w:r>
    </w:p>
    <w:p>
      <w:pPr>
        <w:pBdr/>
        <w:spacing w:after="120" w:before="0" w:line="276" w:lineRule="auto"/>
        <w:ind/>
        <w:jc w:val="both"/>
        <w:rPr>
          <w:color w:val="000000" w:themeColor="text1"/>
        </w:rPr>
      </w:pPr>
      <w:r>
        <w:rPr>
          <w:rFonts w:ascii="Calibri" w:hAnsi="Calibri" w:eastAsia="Calibri" w:cs="Calibri"/>
          <w:b/>
          <w:bCs/>
          <w:i w:val="0"/>
          <w:iCs w:val="0"/>
          <w:color w:val="000000" w:themeColor="text1"/>
          <w:sz w:val="22"/>
          <w:szCs w:val="22"/>
        </w:rPr>
        <w:t xml:space="preserve">Prácticas examinadas y no adoptadas.</w:t>
      </w:r>
      <w:r>
        <w:rPr>
          <w:rFonts w:ascii="Calibri" w:hAnsi="Calibri" w:eastAsia="Calibri" w:cs="Calibri"/>
          <w:b w:val="0"/>
          <w:bCs w:val="0"/>
          <w:i w:val="0"/>
          <w:iCs w:val="0"/>
          <w:color w:val="000000" w:themeColor="text1"/>
          <w:sz w:val="22"/>
          <w:szCs w:val="22"/>
        </w:rPr>
        <w:t xml:space="preserve"> Registrarlas importa tanto como registrar las adoptadas, porque el apartado 2.8 exige documentar las decisiones de adaptación y su justificación.</w:t>
      </w:r>
      <w:r>
        <w:rPr>
          <w:color w:val="000000" w:themeColor="text1"/>
        </w:rPr>
      </w:r>
    </w:p>
    <w:p>
      <w:pPr>
        <w:pBdr/>
        <w:spacing w:after="4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2600"/>
        <w:gridCol w:w="6470"/>
      </w:tblGrid>
      <w:tr>
        <w:trPr>
          <w:tblHeader/>
        </w:trPr>
        <w:tc>
          <w:tcPr>
            <w:shd w:val="clear" w:color="auto" w:fill="dce6f1"/>
            <w:tcBorders/>
            <w:tcMar>
              <w:left w:w="90" w:type="dxa"/>
              <w:top w:w="60" w:type="dxa"/>
              <w:right w:w="90" w:type="dxa"/>
              <w:bottom w:w="60" w:type="dxa"/>
            </w:tcMar>
            <w:tcW w:w="26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Práctica no adoptada</w:t>
            </w:r>
            <w:r>
              <w:rPr>
                <w:color w:val="000000" w:themeColor="text1"/>
              </w:rPr>
            </w:r>
          </w:p>
        </w:tc>
        <w:tc>
          <w:tcPr>
            <w:shd w:val="clear" w:color="auto" w:fill="dce6f1"/>
            <w:tcBorders/>
            <w:tcMar>
              <w:left w:w="90" w:type="dxa"/>
              <w:top w:w="60" w:type="dxa"/>
              <w:right w:w="90" w:type="dxa"/>
              <w:bottom w:w="60" w:type="dxa"/>
            </w:tcMar>
            <w:tcW w:w="64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Motivo</w:t>
            </w:r>
            <w:r>
              <w:rPr>
                <w:color w:val="000000" w:themeColor="text1"/>
              </w:rPr>
            </w:r>
          </w:p>
        </w:tc>
      </w:tr>
      <w:tr>
        <w:trPr/>
        <w:tc>
          <w:tcPr>
            <w:shd w:val="clear" w:color="auto" w:fill="ffffff"/>
            <w:tcBorders/>
            <w:tcMar>
              <w:left w:w="90" w:type="dxa"/>
              <w:top w:w="55" w:type="dxa"/>
              <w:right w:w="90" w:type="dxa"/>
              <w:bottom w:w="55" w:type="dxa"/>
            </w:tcMar>
            <w:tcW w:w="26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Programación por pares sincrónica</w:t>
            </w:r>
            <w:r>
              <w:rPr>
                <w:color w:val="000000" w:themeColor="text1"/>
              </w:rPr>
            </w:r>
          </w:p>
        </w:tc>
        <w:tc>
          <w:tcPr>
            <w:shd w:val="clear" w:color="auto" w:fill="ffffff"/>
            <w:tcBorders/>
            <w:tcMar>
              <w:left w:w="90" w:type="dxa"/>
              <w:top w:w="55" w:type="dxa"/>
              <w:right w:w="90" w:type="dxa"/>
              <w:bottom w:w="55" w:type="dxa"/>
            </w:tcMar>
            <w:tcW w:w="6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Inviable por FD-02. Su función se conserva mediante PR-07.</w:t>
            </w:r>
            <w:r>
              <w:rPr>
                <w:color w:val="000000" w:themeColor="text1"/>
              </w:rPr>
            </w:r>
          </w:p>
        </w:tc>
      </w:tr>
      <w:tr>
        <w:trPr/>
        <w:tc>
          <w:tcPr>
            <w:shd w:val="clear" w:color="auto" w:fill="f2f2f2"/>
            <w:tcBorders/>
            <w:tcMar>
              <w:left w:w="90" w:type="dxa"/>
              <w:top w:w="55" w:type="dxa"/>
              <w:right w:w="90" w:type="dxa"/>
              <w:bottom w:w="55" w:type="dxa"/>
            </w:tcMar>
            <w:tcW w:w="26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Reunión diaria sincrónica</w:t>
            </w:r>
            <w:r>
              <w:rPr>
                <w:color w:val="000000" w:themeColor="text1"/>
              </w:rPr>
            </w:r>
          </w:p>
        </w:tc>
        <w:tc>
          <w:tcPr>
            <w:shd w:val="clear" w:color="auto" w:fill="f2f2f2"/>
            <w:tcBorders/>
            <w:tcMar>
              <w:left w:w="90" w:type="dxa"/>
              <w:top w:w="55" w:type="dxa"/>
              <w:right w:w="90" w:type="dxa"/>
              <w:bottom w:w="55" w:type="dxa"/>
            </w:tcMar>
            <w:tcW w:w="6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Inviable por FD-02. Su función se conserva mediante PR-03.</w:t>
            </w:r>
            <w:r>
              <w:rPr>
                <w:color w:val="000000" w:themeColor="text1"/>
              </w:rPr>
            </w:r>
          </w:p>
        </w:tc>
      </w:tr>
      <w:tr>
        <w:trPr/>
        <w:tc>
          <w:tcPr>
            <w:shd w:val="clear" w:color="auto" w:fill="ffffff"/>
            <w:tcBorders/>
            <w:tcMar>
              <w:left w:w="90" w:type="dxa"/>
              <w:top w:w="55" w:type="dxa"/>
              <w:right w:w="90" w:type="dxa"/>
              <w:bottom w:w="55" w:type="dxa"/>
            </w:tcMar>
            <w:tcW w:w="26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Despliegue continuo a producción</w:t>
            </w:r>
            <w:r>
              <w:rPr>
                <w:color w:val="000000" w:themeColor="text1"/>
              </w:rPr>
            </w:r>
          </w:p>
        </w:tc>
        <w:tc>
          <w:tcPr>
            <w:shd w:val="clear" w:color="auto" w:fill="ffffff"/>
            <w:tcBorders/>
            <w:tcMar>
              <w:left w:w="90" w:type="dxa"/>
              <w:top w:w="55" w:type="dxa"/>
              <w:right w:w="90" w:type="dxa"/>
              <w:bottom w:w="55" w:type="dxa"/>
            </w:tcMar>
            <w:tcW w:w="6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Descartado en 2.4: sin personal de operación por RO-02 y con transacciones comprometidas entre terceros, la ausencia de ventana de control humano sería un riesgo desproporcionado en el MVP.</w:t>
            </w:r>
            <w:r>
              <w:rPr>
                <w:color w:val="000000" w:themeColor="text1"/>
              </w:rPr>
            </w:r>
          </w:p>
        </w:tc>
      </w:tr>
      <w:tr>
        <w:trPr/>
        <w:tc>
          <w:tcPr>
            <w:shd w:val="clear" w:color="auto" w:fill="f2f2f2"/>
            <w:tcBorders/>
            <w:tcMar>
              <w:left w:w="90" w:type="dxa"/>
              <w:top w:w="55" w:type="dxa"/>
              <w:right w:w="90" w:type="dxa"/>
              <w:bottom w:w="55" w:type="dxa"/>
            </w:tcMar>
            <w:tcW w:w="26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Cliente presente en el equipo</w:t>
            </w:r>
            <w:r>
              <w:rPr>
                <w:color w:val="000000" w:themeColor="text1"/>
              </w:rPr>
            </w:r>
          </w:p>
        </w:tc>
        <w:tc>
          <w:tcPr>
            <w:shd w:val="clear" w:color="auto" w:fill="f2f2f2"/>
            <w:tcBorders/>
            <w:tcMar>
              <w:left w:w="90" w:type="dxa"/>
              <w:top w:w="55" w:type="dxa"/>
              <w:right w:w="90" w:type="dxa"/>
              <w:bottom w:w="55" w:type="dxa"/>
            </w:tcMar>
            <w:tcW w:w="6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La organización simulada no dispone de un usuario comercial incorporado al equipo. Su función se cubre parcialmente mediante la retroalimentación de campo que U-03 recoge y traslada a U-01, ya prevista en la descripción de esa unidad en el documento 1.</w:t>
            </w:r>
            <w:r>
              <w:rPr>
                <w:color w:val="000000" w:themeColor="text1"/>
              </w:rPr>
            </w:r>
          </w:p>
        </w:tc>
      </w:tr>
      <w:tr>
        <w:trPr/>
        <w:tc>
          <w:tcPr>
            <w:shd w:val="clear" w:color="auto" w:fill="ffffff"/>
            <w:tcBorders/>
            <w:tcMar>
              <w:left w:w="90" w:type="dxa"/>
              <w:top w:w="55" w:type="dxa"/>
              <w:right w:w="90" w:type="dxa"/>
              <w:bottom w:w="55" w:type="dxa"/>
            </w:tcMar>
            <w:tcW w:w="26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Evaluación formal de madurez mediante CMMI o ISO/IEC 33000</w:t>
            </w:r>
            <w:r>
              <w:rPr>
                <w:color w:val="000000" w:themeColor="text1"/>
              </w:rPr>
            </w:r>
          </w:p>
        </w:tc>
        <w:tc>
          <w:tcPr>
            <w:shd w:val="clear" w:color="auto" w:fill="ffffff"/>
            <w:tcBorders/>
            <w:tcMar>
              <w:left w:w="90" w:type="dxa"/>
              <w:top w:w="55" w:type="dxa"/>
              <w:right w:w="90" w:type="dxa"/>
              <w:bottom w:w="55" w:type="dxa"/>
            </w:tcMar>
            <w:tcW w:w="6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Son marcos de madurez organizacional. Aplicarlos a una entidad de siete personas sería desproporcionado; la ISO/IEC 29110 es el instrumento que la propia normativa prevé para esta escala. Se examinan y se descartan de forma expresa para que la omisión conste como decisión.</w:t>
            </w:r>
            <w:r>
              <w:rPr>
                <w:color w:val="000000" w:themeColor="text1"/>
              </w:rPr>
            </w:r>
          </w:p>
        </w:tc>
      </w:tr>
    </w:tbl>
    <w:p>
      <w:pPr>
        <w:pStyle w:val="918"/>
        <w:pBdr/>
        <w:spacing w:after="140" w:before="280"/>
        <w:ind/>
        <w:rPr>
          <w:color w:val="000000" w:themeColor="text1"/>
        </w:rPr>
      </w:pPr>
      <w:r>
        <w:rPr>
          <w:color w:val="000000" w:themeColor="text1"/>
        </w:rPr>
      </w:r>
      <w:bookmarkStart w:id="25" w:name="_Toc25"/>
      <w:r>
        <w:rPr>
          <w:rFonts w:ascii="Calibri" w:hAnsi="Calibri" w:eastAsia="Calibri" w:cs="Calibri"/>
          <w:b/>
          <w:bCs/>
          <w:color w:val="000000" w:themeColor="text1"/>
          <w:sz w:val="25"/>
          <w:szCs w:val="25"/>
        </w:rPr>
        <w:t xml:space="preserve">2.12 Estimación del esfuerzo y del plazo de construcción</w:t>
      </w:r>
      <w:bookmarkEnd w:id="25"/>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El apartado 2.9 del capítulo 10 del SWEBOK v4.0a es categórico: las estimaciones y las mediciones son esenciales, y las estimaciones erróneas o inciertas en el contexto de un ciclo de vida conducen al fracaso. Añade que es importante declarar el nivel de precisión y de incertidumbre. Este apartado cumple ambas exigencias: produce una estimación, declara la técnica con que se obtuvo, enuncia sus supuestos y expresa su incertidumbre como rango y no como cifra única.</w:t>
      </w:r>
      <w:r>
        <w:rPr>
          <w:color w:val="000000" w:themeColor="text1"/>
        </w:rPr>
      </w:r>
    </w:p>
    <w:p>
      <w:pPr>
        <w:pStyle w:val="919"/>
        <w:pBdr/>
        <w:spacing w:after="140" w:before="280"/>
        <w:ind/>
        <w:rPr>
          <w:color w:val="000000" w:themeColor="text1"/>
        </w:rPr>
      </w:pPr>
      <w:r>
        <w:rPr>
          <w:color w:val="000000" w:themeColor="text1"/>
        </w:rPr>
      </w:r>
      <w:bookmarkStart w:id="26" w:name="_Toc26"/>
      <w:r>
        <w:rPr>
          <w:rFonts w:ascii="Calibri" w:hAnsi="Calibri" w:eastAsia="Calibri" w:cs="Calibri"/>
          <w:b/>
          <w:bCs/>
          <w:color w:val="000000" w:themeColor="text1"/>
          <w:sz w:val="23"/>
          <w:szCs w:val="23"/>
        </w:rPr>
        <w:t xml:space="preserve">2.12.1 Técnica empleada y supuestos</w:t>
      </w:r>
      <w:bookmarkEnd w:id="26"/>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La técnica es la </w:t>
      </w:r>
      <w:r>
        <w:rPr>
          <w:rFonts w:ascii="Calibri" w:hAnsi="Calibri" w:eastAsia="Calibri" w:cs="Calibri"/>
          <w:b/>
          <w:bCs/>
          <w:i w:val="0"/>
          <w:iCs w:val="0"/>
          <w:color w:val="000000" w:themeColor="text1"/>
          <w:sz w:val="22"/>
          <w:szCs w:val="22"/>
        </w:rPr>
        <w:t xml:space="preserve">descomposición del catálogo con juicio experto calibrado por bandas de tamaño</w:t>
      </w:r>
      <w:r>
        <w:rPr>
          <w:rFonts w:ascii="Calibri" w:hAnsi="Calibri" w:eastAsia="Calibri" w:cs="Calibri"/>
          <w:b w:val="0"/>
          <w:bCs w:val="0"/>
          <w:i w:val="0"/>
          <w:iCs w:val="0"/>
          <w:color w:val="000000" w:themeColor="text1"/>
          <w:sz w:val="22"/>
          <w:szCs w:val="22"/>
        </w:rPr>
        <w:t xml:space="preserve">. Se descompone el catálogo de requisitos funcionales en tres bandas según la naturaleza del trabajo que cada uno comporta, se asigna a cada banda un esfuerzo unitario, se estima el esfuerzo transversal de los requisitos no funcionales como proporción del funcional, y se añaden los esfuerzos de línea base, preparación, transición y sobrecarga de proceso. No se emplea un método paramétrico porque la organización no dispone de datos históricos propios con que calibrarlo, y aplicarlo sobre coeficientes ajenos produciría una precisión aparente sin fundamento.</w:t>
      </w:r>
      <w:r>
        <w:rPr>
          <w:color w:val="000000" w:themeColor="text1"/>
        </w:rPr>
      </w:r>
    </w:p>
    <w:p>
      <w:pPr>
        <w:pBdr/>
        <w:spacing w:after="4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2600"/>
        <w:gridCol w:w="6470"/>
      </w:tblGrid>
      <w:tr>
        <w:trPr>
          <w:tblHeader/>
        </w:trPr>
        <w:tc>
          <w:tcPr>
            <w:shd w:val="clear" w:color="auto" w:fill="dce6f1"/>
            <w:tcBorders/>
            <w:tcMar>
              <w:left w:w="90" w:type="dxa"/>
              <w:top w:w="60" w:type="dxa"/>
              <w:right w:w="90" w:type="dxa"/>
              <w:bottom w:w="60" w:type="dxa"/>
            </w:tcMar>
            <w:tcW w:w="26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Supuesto</w:t>
            </w:r>
            <w:r>
              <w:rPr>
                <w:color w:val="000000" w:themeColor="text1"/>
              </w:rPr>
            </w:r>
          </w:p>
        </w:tc>
        <w:tc>
          <w:tcPr>
            <w:shd w:val="clear" w:color="auto" w:fill="dce6f1"/>
            <w:tcBorders/>
            <w:tcMar>
              <w:left w:w="90" w:type="dxa"/>
              <w:top w:w="60" w:type="dxa"/>
              <w:right w:w="90" w:type="dxa"/>
              <w:bottom w:w="60" w:type="dxa"/>
            </w:tcMar>
            <w:tcW w:w="64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Valor declarado</w:t>
            </w:r>
            <w:r>
              <w:rPr>
                <w:color w:val="000000" w:themeColor="text1"/>
              </w:rPr>
            </w:r>
          </w:p>
        </w:tc>
      </w:tr>
      <w:tr>
        <w:trPr/>
        <w:tc>
          <w:tcPr>
            <w:shd w:val="clear" w:color="auto" w:fill="ffffff"/>
            <w:tcBorders/>
            <w:tcMar>
              <w:left w:w="90" w:type="dxa"/>
              <w:top w:w="55" w:type="dxa"/>
              <w:right w:w="90" w:type="dxa"/>
              <w:bottom w:w="55" w:type="dxa"/>
            </w:tcMar>
            <w:tcW w:w="26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Dotación</w:t>
            </w:r>
            <w:r>
              <w:rPr>
                <w:color w:val="000000" w:themeColor="text1"/>
              </w:rPr>
            </w:r>
          </w:p>
        </w:tc>
        <w:tc>
          <w:tcPr>
            <w:shd w:val="clear" w:color="auto" w:fill="ffffff"/>
            <w:tcBorders/>
            <w:tcMar>
              <w:left w:w="90" w:type="dxa"/>
              <w:top w:w="55" w:type="dxa"/>
              <w:right w:w="90" w:type="dxa"/>
              <w:bottom w:w="55" w:type="dxa"/>
            </w:tcMar>
            <w:tcW w:w="6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Dos personas, conforme a la dotación de U-01 declarada en el documento 1.</w:t>
            </w:r>
            <w:r>
              <w:rPr>
                <w:color w:val="000000" w:themeColor="text1"/>
              </w:rPr>
            </w:r>
          </w:p>
        </w:tc>
      </w:tr>
      <w:tr>
        <w:trPr/>
        <w:tc>
          <w:tcPr>
            <w:shd w:val="clear" w:color="auto" w:fill="f2f2f2"/>
            <w:tcBorders/>
            <w:tcMar>
              <w:left w:w="90" w:type="dxa"/>
              <w:top w:w="55" w:type="dxa"/>
              <w:right w:w="90" w:type="dxa"/>
              <w:bottom w:w="55" w:type="dxa"/>
            </w:tcMar>
            <w:tcW w:w="26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Dedicación</w:t>
            </w:r>
            <w:r>
              <w:rPr>
                <w:color w:val="000000" w:themeColor="text1"/>
              </w:rPr>
            </w:r>
          </w:p>
        </w:tc>
        <w:tc>
          <w:tcPr>
            <w:shd w:val="clear" w:color="auto" w:fill="f2f2f2"/>
            <w:tcBorders/>
            <w:tcMar>
              <w:left w:w="90" w:type="dxa"/>
              <w:top w:w="55" w:type="dxa"/>
              <w:right w:w="90" w:type="dxa"/>
              <w:bottom w:w="55" w:type="dxa"/>
            </w:tcMar>
            <w:tcW w:w="6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Completa y sostenida durante el horizonte estimado. Cualquier dedicación parcial escala el plazo de forma proporcional.</w:t>
            </w:r>
            <w:r>
              <w:rPr>
                <w:color w:val="000000" w:themeColor="text1"/>
              </w:rPr>
            </w:r>
          </w:p>
        </w:tc>
      </w:tr>
      <w:tr>
        <w:trPr/>
        <w:tc>
          <w:tcPr>
            <w:shd w:val="clear" w:color="auto" w:fill="ffffff"/>
            <w:tcBorders/>
            <w:tcMar>
              <w:left w:w="90" w:type="dxa"/>
              <w:top w:w="55" w:type="dxa"/>
              <w:right w:w="90" w:type="dxa"/>
              <w:bottom w:w="55" w:type="dxa"/>
            </w:tcMar>
            <w:tcW w:w="26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Jornada de cálculo</w:t>
            </w:r>
            <w:r>
              <w:rPr>
                <w:color w:val="000000" w:themeColor="text1"/>
              </w:rPr>
            </w:r>
          </w:p>
        </w:tc>
        <w:tc>
          <w:tcPr>
            <w:shd w:val="clear" w:color="auto" w:fill="ffffff"/>
            <w:tcBorders/>
            <w:tcMar>
              <w:left w:w="90" w:type="dxa"/>
              <w:top w:w="55" w:type="dxa"/>
              <w:right w:w="90" w:type="dxa"/>
              <w:bottom w:w="55" w:type="dxa"/>
            </w:tcMar>
            <w:tcW w:w="6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Cinco días útiles por semana.</w:t>
            </w:r>
            <w:r>
              <w:rPr>
                <w:color w:val="000000" w:themeColor="text1"/>
              </w:rPr>
            </w:r>
          </w:p>
        </w:tc>
      </w:tr>
      <w:tr>
        <w:trPr/>
        <w:tc>
          <w:tcPr>
            <w:shd w:val="clear" w:color="auto" w:fill="f2f2f2"/>
            <w:tcBorders/>
            <w:tcMar>
              <w:left w:w="90" w:type="dxa"/>
              <w:top w:w="55" w:type="dxa"/>
              <w:right w:w="90" w:type="dxa"/>
              <w:bottom w:w="55" w:type="dxa"/>
            </w:tcMar>
            <w:tcW w:w="26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Alcance de la estimación</w:t>
            </w:r>
            <w:r>
              <w:rPr>
                <w:color w:val="000000" w:themeColor="text1"/>
              </w:rPr>
            </w:r>
          </w:p>
        </w:tc>
        <w:tc>
          <w:tcPr>
            <w:shd w:val="clear" w:color="auto" w:fill="f2f2f2"/>
            <w:tcBorders/>
            <w:tcMar>
              <w:left w:w="90" w:type="dxa"/>
              <w:top w:w="55" w:type="dxa"/>
              <w:right w:w="90" w:type="dxa"/>
              <w:bottom w:w="55" w:type="dxa"/>
            </w:tcMar>
            <w:tcW w:w="6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Construcción del MVP conforme al alcance incluido declarado en la sección 2.1 del documento 3. Quedan fuera la pasarela de pagos, el rastreo logístico y las aplicaciones móviles nativas, por ser alcance excluido en ese mismo documento.</w:t>
            </w:r>
            <w:r>
              <w:rPr>
                <w:color w:val="000000" w:themeColor="text1"/>
              </w:rPr>
            </w:r>
          </w:p>
        </w:tc>
      </w:tr>
      <w:tr>
        <w:trPr/>
        <w:tc>
          <w:tcPr>
            <w:shd w:val="clear" w:color="auto" w:fill="ffffff"/>
            <w:tcBorders/>
            <w:tcMar>
              <w:left w:w="90" w:type="dxa"/>
              <w:top w:w="55" w:type="dxa"/>
              <w:right w:w="90" w:type="dxa"/>
              <w:bottom w:w="55" w:type="dxa"/>
            </w:tcMar>
            <w:tcW w:w="26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Estado de partida</w:t>
            </w:r>
            <w:r>
              <w:rPr>
                <w:color w:val="000000" w:themeColor="text1"/>
              </w:rPr>
            </w:r>
          </w:p>
        </w:tc>
        <w:tc>
          <w:tcPr>
            <w:shd w:val="clear" w:color="auto" w:fill="ffffff"/>
            <w:tcBorders/>
            <w:tcMar>
              <w:left w:w="90" w:type="dxa"/>
              <w:top w:w="55" w:type="dxa"/>
              <w:right w:w="90" w:type="dxa"/>
              <w:bottom w:w="55" w:type="dxa"/>
            </w:tcMar>
            <w:tcW w:w="6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Requisitos especificados y arquitectura decidida. La estimación se emite después de ambos, lo que reduce su incertidumbre respecto de una emitida al inicio del proyecto.</w:t>
            </w:r>
            <w:r>
              <w:rPr>
                <w:color w:val="000000" w:themeColor="text1"/>
              </w:rPr>
            </w:r>
          </w:p>
        </w:tc>
      </w:tr>
    </w:tbl>
    <w:p>
      <w:pPr>
        <w:pStyle w:val="919"/>
        <w:pBdr/>
        <w:spacing w:after="140" w:before="280"/>
        <w:ind/>
        <w:rPr>
          <w:color w:val="000000" w:themeColor="text1"/>
        </w:rPr>
      </w:pPr>
      <w:r>
        <w:rPr>
          <w:color w:val="000000" w:themeColor="text1"/>
        </w:rPr>
      </w:r>
      <w:bookmarkStart w:id="27" w:name="_Toc27"/>
      <w:r>
        <w:rPr>
          <w:rFonts w:ascii="Calibri" w:hAnsi="Calibri" w:eastAsia="Calibri" w:cs="Calibri"/>
          <w:b/>
          <w:bCs/>
          <w:color w:val="000000" w:themeColor="text1"/>
          <w:sz w:val="23"/>
          <w:szCs w:val="23"/>
        </w:rPr>
        <w:t xml:space="preserve">2.12.2 Descomposición del esfuerzo</w:t>
      </w:r>
      <w:bookmarkEnd w:id="27"/>
      <w:r>
        <w:rPr>
          <w:color w:val="000000" w:themeColor="text1"/>
        </w:rPr>
      </w:r>
    </w:p>
    <w:p>
      <w:pPr>
        <w:pBdr/>
        <w:spacing w:after="4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2500"/>
        <w:gridCol w:w="3300"/>
        <w:gridCol w:w="1100"/>
        <w:gridCol w:w="1100"/>
        <w:gridCol w:w="1070"/>
      </w:tblGrid>
      <w:tr>
        <w:trPr>
          <w:tblHeader/>
        </w:trPr>
        <w:tc>
          <w:tcPr>
            <w:shd w:val="clear" w:color="auto" w:fill="dce6f1"/>
            <w:tcBorders/>
            <w:tcMar>
              <w:left w:w="90" w:type="dxa"/>
              <w:top w:w="60" w:type="dxa"/>
              <w:right w:w="90" w:type="dxa"/>
              <w:bottom w:w="60" w:type="dxa"/>
            </w:tcMar>
            <w:tcW w:w="25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Componente</w:t>
            </w:r>
            <w:r>
              <w:rPr>
                <w:color w:val="000000" w:themeColor="text1"/>
              </w:rPr>
            </w:r>
          </w:p>
        </w:tc>
        <w:tc>
          <w:tcPr>
            <w:shd w:val="clear" w:color="auto" w:fill="dce6f1"/>
            <w:tcBorders/>
            <w:tcMar>
              <w:left w:w="90" w:type="dxa"/>
              <w:top w:w="60" w:type="dxa"/>
              <w:right w:w="90" w:type="dxa"/>
              <w:bottom w:w="60" w:type="dxa"/>
            </w:tcMar>
            <w:tcW w:w="33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Criterio de clasificación o de cálculo</w:t>
            </w:r>
            <w:r>
              <w:rPr>
                <w:color w:val="000000" w:themeColor="text1"/>
              </w:rPr>
            </w:r>
          </w:p>
        </w:tc>
        <w:tc>
          <w:tcPr>
            <w:shd w:val="clear" w:color="auto" w:fill="dce6f1"/>
            <w:tcBorders/>
            <w:tcMar>
              <w:left w:w="90" w:type="dxa"/>
              <w:top w:w="60" w:type="dxa"/>
              <w:right w:w="90" w:type="dxa"/>
              <w:bottom w:w="60" w:type="dxa"/>
            </w:tcMar>
            <w:tcW w:w="11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Cantidad</w:t>
            </w:r>
            <w:r>
              <w:rPr>
                <w:color w:val="000000" w:themeColor="text1"/>
              </w:rPr>
            </w:r>
          </w:p>
        </w:tc>
        <w:tc>
          <w:tcPr>
            <w:shd w:val="clear" w:color="auto" w:fill="dce6f1"/>
            <w:tcBorders/>
            <w:tcMar>
              <w:left w:w="90" w:type="dxa"/>
              <w:top w:w="60" w:type="dxa"/>
              <w:right w:w="90" w:type="dxa"/>
              <w:bottom w:w="60" w:type="dxa"/>
            </w:tcMar>
            <w:tcW w:w="11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Esfuerzo unitario</w:t>
            </w:r>
            <w:r>
              <w:rPr>
                <w:color w:val="000000" w:themeColor="text1"/>
              </w:rPr>
            </w:r>
          </w:p>
        </w:tc>
        <w:tc>
          <w:tcPr>
            <w:shd w:val="clear" w:color="auto" w:fill="dce6f1"/>
            <w:tcBorders/>
            <w:tcMar>
              <w:left w:w="90" w:type="dxa"/>
              <w:top w:w="60" w:type="dxa"/>
              <w:right w:w="90" w:type="dxa"/>
              <w:bottom w:w="60" w:type="dxa"/>
            </w:tcMar>
            <w:tcW w:w="10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Subtotal</w:t>
            </w:r>
            <w:r>
              <w:rPr>
                <w:color w:val="000000" w:themeColor="text1"/>
              </w:rPr>
            </w:r>
          </w:p>
        </w:tc>
      </w:tr>
      <w:tr>
        <w:trPr/>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Requisitos funcionales · banda pequeña</w:t>
            </w:r>
            <w:r>
              <w:rPr>
                <w:color w:val="000000" w:themeColor="text1"/>
              </w:rPr>
            </w:r>
          </w:p>
        </w:tc>
        <w:tc>
          <w:tcPr>
            <w:shd w:val="clear" w:color="auto" w:fill="ffffff"/>
            <w:tcBorders/>
            <w:tcMar>
              <w:left w:w="90" w:type="dxa"/>
              <w:top w:w="55" w:type="dxa"/>
              <w:right w:w="90" w:type="dxa"/>
              <w:bottom w:w="55" w:type="dxa"/>
            </w:tcMar>
            <w:tcW w:w="3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Operación sobre una sola entidad, sin regla de negocio no trivial: altas, consultas y presentaciones simples.</w:t>
            </w:r>
            <w:r>
              <w:rPr>
                <w:color w:val="000000" w:themeColor="text1"/>
              </w:rPr>
            </w:r>
          </w:p>
        </w:tc>
        <w:tc>
          <w:tcPr>
            <w:shd w:val="clear" w:color="auto" w:fill="ffffff"/>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14</w:t>
            </w:r>
            <w:r>
              <w:rPr>
                <w:color w:val="000000" w:themeColor="text1"/>
              </w:rPr>
            </w:r>
          </w:p>
        </w:tc>
        <w:tc>
          <w:tcPr>
            <w:shd w:val="clear" w:color="auto" w:fill="ffffff"/>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1,5 p-d</w:t>
            </w:r>
            <w:r>
              <w:rPr>
                <w:color w:val="000000" w:themeColor="text1"/>
              </w:rPr>
            </w:r>
          </w:p>
        </w:tc>
        <w:tc>
          <w:tcPr>
            <w:shd w:val="clear" w:color="auto" w:fill="ffffff"/>
            <w:tcBorders/>
            <w:tcMar>
              <w:left w:w="90" w:type="dxa"/>
              <w:top w:w="55" w:type="dxa"/>
              <w:right w:w="90" w:type="dxa"/>
              <w:bottom w:w="55" w:type="dxa"/>
            </w:tcMar>
            <w:tcW w:w="10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21 p-d</w:t>
            </w:r>
            <w:r>
              <w:rPr>
                <w:color w:val="000000" w:themeColor="text1"/>
              </w:rPr>
            </w:r>
          </w:p>
        </w:tc>
      </w:tr>
      <w:tr>
        <w:trPr/>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Requisitos funcionales · banda media</w:t>
            </w:r>
            <w:r>
              <w:rPr>
                <w:color w:val="000000" w:themeColor="text1"/>
              </w:rPr>
            </w:r>
          </w:p>
        </w:tc>
        <w:tc>
          <w:tcPr>
            <w:shd w:val="clear" w:color="auto" w:fill="f2f2f2"/>
            <w:tcBorders/>
            <w:tcMar>
              <w:left w:w="90" w:type="dxa"/>
              <w:top w:w="55" w:type="dxa"/>
              <w:right w:w="90" w:type="dxa"/>
              <w:bottom w:w="55" w:type="dxa"/>
            </w:tcMar>
            <w:tcW w:w="3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Operación con regla de negocio, validación cruzada entre entidades o cambio de estado gobernado.</w:t>
            </w:r>
            <w:r>
              <w:rPr>
                <w:color w:val="000000" w:themeColor="text1"/>
              </w:rPr>
            </w:r>
          </w:p>
        </w:tc>
        <w:tc>
          <w:tcPr>
            <w:shd w:val="clear" w:color="auto" w:fill="f2f2f2"/>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16</w:t>
            </w:r>
            <w:r>
              <w:rPr>
                <w:color w:val="000000" w:themeColor="text1"/>
              </w:rPr>
            </w:r>
          </w:p>
        </w:tc>
        <w:tc>
          <w:tcPr>
            <w:shd w:val="clear" w:color="auto" w:fill="f2f2f2"/>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3,0 p-d</w:t>
            </w:r>
            <w:r>
              <w:rPr>
                <w:color w:val="000000" w:themeColor="text1"/>
              </w:rPr>
            </w:r>
          </w:p>
        </w:tc>
        <w:tc>
          <w:tcPr>
            <w:shd w:val="clear" w:color="auto" w:fill="f2f2f2"/>
            <w:tcBorders/>
            <w:tcMar>
              <w:left w:w="90" w:type="dxa"/>
              <w:top w:w="55" w:type="dxa"/>
              <w:right w:w="90" w:type="dxa"/>
              <w:bottom w:w="55" w:type="dxa"/>
            </w:tcMar>
            <w:tcW w:w="10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48 p-d</w:t>
            </w:r>
            <w:r>
              <w:rPr>
                <w:color w:val="000000" w:themeColor="text1"/>
              </w:rPr>
            </w:r>
          </w:p>
        </w:tc>
      </w:tr>
      <w:tr>
        <w:trPr/>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Requisitos funcionales · banda grande</w:t>
            </w:r>
            <w:r>
              <w:rPr>
                <w:color w:val="000000" w:themeColor="text1"/>
              </w:rPr>
            </w:r>
          </w:p>
        </w:tc>
        <w:tc>
          <w:tcPr>
            <w:shd w:val="clear" w:color="auto" w:fill="ffffff"/>
            <w:tcBorders/>
            <w:tcMar>
              <w:left w:w="90" w:type="dxa"/>
              <w:top w:w="55" w:type="dxa"/>
              <w:right w:w="90" w:type="dxa"/>
              <w:bottom w:w="55" w:type="dxa"/>
            </w:tcMar>
            <w:tcW w:w="3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Lógica de dominio compleja, integración con servicio externo o procesamiento asíncrono: emparejamiento, ciclo de cotización y contra-oferta, congelamiento de inventario, notificación externa, bitácora inmutable.</w:t>
            </w:r>
            <w:r>
              <w:rPr>
                <w:color w:val="000000" w:themeColor="text1"/>
              </w:rPr>
            </w:r>
          </w:p>
        </w:tc>
        <w:tc>
          <w:tcPr>
            <w:shd w:val="clear" w:color="auto" w:fill="ffffff"/>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7</w:t>
            </w:r>
            <w:r>
              <w:rPr>
                <w:color w:val="000000" w:themeColor="text1"/>
              </w:rPr>
            </w:r>
          </w:p>
        </w:tc>
        <w:tc>
          <w:tcPr>
            <w:shd w:val="clear" w:color="auto" w:fill="ffffff"/>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6,0 p-d</w:t>
            </w:r>
            <w:r>
              <w:rPr>
                <w:color w:val="000000" w:themeColor="text1"/>
              </w:rPr>
            </w:r>
          </w:p>
        </w:tc>
        <w:tc>
          <w:tcPr>
            <w:shd w:val="clear" w:color="auto" w:fill="ffffff"/>
            <w:tcBorders/>
            <w:tcMar>
              <w:left w:w="90" w:type="dxa"/>
              <w:top w:w="55" w:type="dxa"/>
              <w:right w:w="90" w:type="dxa"/>
              <w:bottom w:w="55" w:type="dxa"/>
            </w:tcMar>
            <w:tcW w:w="10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42 p-d</w:t>
            </w:r>
            <w:r>
              <w:rPr>
                <w:color w:val="000000" w:themeColor="text1"/>
              </w:rPr>
            </w:r>
          </w:p>
        </w:tc>
      </w:tr>
      <w:tr>
        <w:trPr/>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Subtotal funcional</w:t>
            </w:r>
            <w:r>
              <w:rPr>
                <w:color w:val="000000" w:themeColor="text1"/>
              </w:rPr>
            </w:r>
          </w:p>
        </w:tc>
        <w:tc>
          <w:tcPr>
            <w:shd w:val="clear" w:color="auto" w:fill="f2f2f2"/>
            <w:tcBorders/>
            <w:tcMar>
              <w:left w:w="90" w:type="dxa"/>
              <w:top w:w="55" w:type="dxa"/>
              <w:right w:w="90" w:type="dxa"/>
              <w:bottom w:w="55" w:type="dxa"/>
            </w:tcMar>
            <w:tcW w:w="3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r>
            <w:r>
              <w:rPr>
                <w:color w:val="000000" w:themeColor="text1"/>
              </w:rPr>
            </w:r>
          </w:p>
        </w:tc>
        <w:tc>
          <w:tcPr>
            <w:shd w:val="clear" w:color="auto" w:fill="f2f2f2"/>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37</w:t>
            </w:r>
            <w:r>
              <w:rPr>
                <w:color w:val="000000" w:themeColor="text1"/>
              </w:rPr>
            </w:r>
          </w:p>
        </w:tc>
        <w:tc>
          <w:tcPr>
            <w:shd w:val="clear" w:color="auto" w:fill="f2f2f2"/>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r>
            <w:r>
              <w:rPr>
                <w:color w:val="000000" w:themeColor="text1"/>
              </w:rPr>
            </w:r>
          </w:p>
        </w:tc>
        <w:tc>
          <w:tcPr>
            <w:shd w:val="clear" w:color="auto" w:fill="f2f2f2"/>
            <w:tcBorders/>
            <w:tcMar>
              <w:left w:w="90" w:type="dxa"/>
              <w:top w:w="55" w:type="dxa"/>
              <w:right w:w="90" w:type="dxa"/>
              <w:bottom w:w="55" w:type="dxa"/>
            </w:tcMar>
            <w:tcW w:w="107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111 p-d</w:t>
            </w:r>
            <w:r>
              <w:rPr>
                <w:color w:val="000000" w:themeColor="text1"/>
              </w:rPr>
            </w:r>
          </w:p>
        </w:tc>
      </w:tr>
      <w:tr>
        <w:trPr/>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Requisitos no funcionales</w:t>
            </w:r>
            <w:r>
              <w:rPr>
                <w:color w:val="000000" w:themeColor="text1"/>
              </w:rPr>
            </w:r>
          </w:p>
        </w:tc>
        <w:tc>
          <w:tcPr>
            <w:shd w:val="clear" w:color="auto" w:fill="ffffff"/>
            <w:tcBorders/>
            <w:tcMar>
              <w:left w:w="90" w:type="dxa"/>
              <w:top w:w="55" w:type="dxa"/>
              <w:right w:w="90" w:type="dxa"/>
              <w:bottom w:w="55" w:type="dxa"/>
            </w:tcMar>
            <w:tcW w:w="3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Esfuerzo transversal estimado en el 35 % del funcional: seguridad y cumplimiento, rendimiento sobre redes degradadas, accesibilidad, fiabilidad y respaldo, observabilidad.</w:t>
            </w:r>
            <w:r>
              <w:rPr>
                <w:color w:val="000000" w:themeColor="text1"/>
              </w:rPr>
            </w:r>
          </w:p>
        </w:tc>
        <w:tc>
          <w:tcPr>
            <w:shd w:val="clear" w:color="auto" w:fill="ffffff"/>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16</w:t>
            </w:r>
            <w:r>
              <w:rPr>
                <w:color w:val="000000" w:themeColor="text1"/>
              </w:rPr>
            </w:r>
          </w:p>
        </w:tc>
        <w:tc>
          <w:tcPr>
            <w:shd w:val="clear" w:color="auto" w:fill="ffffff"/>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w:t>
            </w:r>
            <w:r>
              <w:rPr>
                <w:color w:val="000000" w:themeColor="text1"/>
              </w:rPr>
            </w:r>
          </w:p>
        </w:tc>
        <w:tc>
          <w:tcPr>
            <w:shd w:val="clear" w:color="auto" w:fill="ffffff"/>
            <w:tcBorders/>
            <w:tcMar>
              <w:left w:w="90" w:type="dxa"/>
              <w:top w:w="55" w:type="dxa"/>
              <w:right w:w="90" w:type="dxa"/>
              <w:bottom w:w="55" w:type="dxa"/>
            </w:tcMar>
            <w:tcW w:w="10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39 p-d</w:t>
            </w:r>
            <w:r>
              <w:rPr>
                <w:color w:val="000000" w:themeColor="text1"/>
              </w:rPr>
            </w:r>
          </w:p>
        </w:tc>
      </w:tr>
      <w:tr>
        <w:trPr/>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Línea base arquitectónica</w:t>
            </w:r>
            <w:r/>
          </w:p>
        </w:tc>
        <w:tc>
          <w:tcPr>
            <w:shd w:val="clear" w:color="auto" w:fill="f2f2f2"/>
            <w:tcBorders/>
            <w:tcMar>
              <w:left w:w="90" w:type="dxa"/>
              <w:top w:w="55" w:type="dxa"/>
              <w:right w:w="90" w:type="dxa"/>
              <w:bottom w:w="55" w:type="dxa"/>
            </w:tcMar>
            <w:tcW w:w="3300" w:type="dxa"/>
            <w:vAlign w:val="top"/>
          </w:tcPr>
          <w:p>
            <w:pPr>
              <w:pBdr/>
              <w:spacing w:after="30" w:before="30" w:line="240" w:lineRule="auto"/>
              <w:ind/>
              <w:jc w:val="left"/>
              <w:rPr/>
            </w:pPr>
            <w:r>
              <w:rPr>
                <w:rFonts w:ascii="Calibri" w:hAnsi="Calibri" w:eastAsia="Calibri" w:cs="Calibri"/>
                <w:b w:val="0"/>
                <w:bCs w:val="0"/>
                <w:sz w:val="17"/>
                <w:szCs w:val="17"/>
              </w:rPr>
              <w:t xml:space="preserve">Iteración IT-01 completa, conforme a DM-08.</w:t>
            </w:r>
            <w:r/>
          </w:p>
        </w:tc>
        <w:tc>
          <w:tcPr>
            <w:shd w:val="clear" w:color="auto" w:fill="f2f2f2"/>
            <w:tcBorders/>
            <w:tcMar>
              <w:left w:w="90" w:type="dxa"/>
              <w:top w:w="55" w:type="dxa"/>
              <w:right w:w="90" w:type="dxa"/>
              <w:bottom w:w="55" w:type="dxa"/>
            </w:tcMar>
            <w:tcW w:w="1100" w:type="dxa"/>
            <w:vAlign w:val="top"/>
          </w:tcPr>
          <w:p>
            <w:pPr>
              <w:pBdr/>
              <w:spacing w:after="30" w:before="30" w:line="240" w:lineRule="auto"/>
              <w:ind/>
              <w:jc w:val="left"/>
              <w:rPr/>
            </w:pPr>
            <w:r>
              <w:rPr>
                <w:rFonts w:ascii="Calibri" w:hAnsi="Calibri" w:eastAsia="Calibri" w:cs="Calibri"/>
                <w:b w:val="0"/>
                <w:bCs w:val="0"/>
                <w:sz w:val="17"/>
                <w:szCs w:val="17"/>
              </w:rPr>
              <w:t xml:space="preserve">1 iteración</w:t>
            </w:r>
            <w:r/>
          </w:p>
        </w:tc>
        <w:tc>
          <w:tcPr>
            <w:shd w:val="clear" w:color="auto" w:fill="f2f2f2"/>
            <w:tcBorders/>
            <w:tcMar>
              <w:left w:w="90" w:type="dxa"/>
              <w:top w:w="55" w:type="dxa"/>
              <w:right w:w="90" w:type="dxa"/>
              <w:bottom w:w="55" w:type="dxa"/>
            </w:tcMar>
            <w:tcW w:w="1100" w:type="dxa"/>
            <w:vAlign w:val="top"/>
          </w:tcPr>
          <w:p>
            <w:pPr>
              <w:pBdr/>
              <w:spacing w:after="30" w:before="30" w:line="240" w:lineRule="auto"/>
              <w:ind/>
              <w:jc w:val="left"/>
              <w:rPr/>
            </w:pPr>
            <w:r>
              <w:rPr>
                <w:rFonts w:ascii="Calibri" w:hAnsi="Calibri" w:eastAsia="Calibri" w:cs="Calibri"/>
                <w:b w:val="0"/>
                <w:bCs w:val="0"/>
                <w:sz w:val="17"/>
                <w:szCs w:val="17"/>
              </w:rPr>
              <w:t xml:space="preserve">—</w:t>
            </w:r>
            <w:r/>
          </w:p>
        </w:tc>
        <w:tc>
          <w:tcPr>
            <w:shd w:val="clear" w:color="auto" w:fill="f2f2f2"/>
            <w:tcBorders/>
            <w:tcMar>
              <w:left w:w="90" w:type="dxa"/>
              <w:top w:w="55" w:type="dxa"/>
              <w:right w:w="90" w:type="dxa"/>
              <w:bottom w:w="55" w:type="dxa"/>
            </w:tcMar>
            <w:tcW w:w="1070" w:type="dxa"/>
            <w:vAlign w:val="top"/>
          </w:tcPr>
          <w:p>
            <w:pPr>
              <w:pBdr/>
              <w:spacing w:after="30" w:before="30" w:line="240" w:lineRule="auto"/>
              <w:ind/>
              <w:jc w:val="left"/>
              <w:rPr/>
            </w:pPr>
            <w:r>
              <w:rPr>
                <w:rFonts w:ascii="Calibri" w:hAnsi="Calibri" w:eastAsia="Calibri" w:cs="Calibri"/>
                <w:b w:val="0"/>
                <w:bCs w:val="0"/>
                <w:sz w:val="17"/>
                <w:szCs w:val="17"/>
              </w:rPr>
              <w:t xml:space="preserve">20 p-d</w:t>
            </w:r>
            <w:r/>
          </w:p>
        </w:tc>
      </w:tr>
      <w:tr>
        <w:trPr/>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Preparación del entorno</w:t>
            </w:r>
            <w:r/>
          </w:p>
        </w:tc>
        <w:tc>
          <w:tcPr>
            <w:shd w:val="clear" w:color="auto" w:fill="ffffff"/>
            <w:tcBorders/>
            <w:tcMar>
              <w:left w:w="90" w:type="dxa"/>
              <w:top w:w="55" w:type="dxa"/>
              <w:right w:w="90" w:type="dxa"/>
              <w:bottom w:w="55" w:type="dxa"/>
            </w:tcMar>
            <w:tcW w:w="3300" w:type="dxa"/>
            <w:vAlign w:val="top"/>
          </w:tcPr>
          <w:p>
            <w:pPr>
              <w:pBdr/>
              <w:spacing w:after="30" w:before="30" w:line="240" w:lineRule="auto"/>
              <w:ind/>
              <w:jc w:val="left"/>
              <w:rPr/>
            </w:pPr>
            <w:r>
              <w:rPr>
                <w:rFonts w:ascii="Calibri" w:hAnsi="Calibri" w:eastAsia="Calibri" w:cs="Calibri"/>
                <w:b w:val="0"/>
                <w:bCs w:val="0"/>
                <w:sz w:val="17"/>
                <w:szCs w:val="17"/>
              </w:rPr>
              <w:t xml:space="preserve">Iteración IT-00: repositorio, integración continua, esqueleto de capas, contrato inicial.</w:t>
            </w:r>
            <w:r/>
          </w:p>
        </w:tc>
        <w:tc>
          <w:tcPr>
            <w:shd w:val="clear" w:color="auto" w:fill="ffffff"/>
            <w:tcBorders/>
            <w:tcMar>
              <w:left w:w="90" w:type="dxa"/>
              <w:top w:w="55" w:type="dxa"/>
              <w:right w:w="90" w:type="dxa"/>
              <w:bottom w:w="55" w:type="dxa"/>
            </w:tcMar>
            <w:tcW w:w="1100" w:type="dxa"/>
            <w:vAlign w:val="top"/>
          </w:tcPr>
          <w:p>
            <w:pPr>
              <w:pBdr/>
              <w:spacing w:after="30" w:before="30" w:line="240" w:lineRule="auto"/>
              <w:ind/>
              <w:jc w:val="left"/>
              <w:rPr/>
            </w:pPr>
            <w:r>
              <w:rPr>
                <w:rFonts w:ascii="Calibri" w:hAnsi="Calibri" w:eastAsia="Calibri" w:cs="Calibri"/>
                <w:b w:val="0"/>
                <w:bCs w:val="0"/>
                <w:sz w:val="17"/>
                <w:szCs w:val="17"/>
              </w:rPr>
              <w:t xml:space="preserve">1 semana</w:t>
            </w:r>
            <w:r/>
          </w:p>
        </w:tc>
        <w:tc>
          <w:tcPr>
            <w:shd w:val="clear" w:color="auto" w:fill="ffffff"/>
            <w:tcBorders/>
            <w:tcMar>
              <w:left w:w="90" w:type="dxa"/>
              <w:top w:w="55" w:type="dxa"/>
              <w:right w:w="90" w:type="dxa"/>
              <w:bottom w:w="55" w:type="dxa"/>
            </w:tcMar>
            <w:tcW w:w="1100" w:type="dxa"/>
            <w:vAlign w:val="top"/>
          </w:tcPr>
          <w:p>
            <w:pPr>
              <w:pBdr/>
              <w:spacing w:after="30" w:before="30" w:line="240" w:lineRule="auto"/>
              <w:ind/>
              <w:jc w:val="left"/>
              <w:rPr/>
            </w:pPr>
            <w:r>
              <w:rPr>
                <w:rFonts w:ascii="Calibri" w:hAnsi="Calibri" w:eastAsia="Calibri" w:cs="Calibri"/>
                <w:b w:val="0"/>
                <w:bCs w:val="0"/>
                <w:sz w:val="17"/>
                <w:szCs w:val="17"/>
              </w:rPr>
              <w:t xml:space="preserve">—</w:t>
            </w:r>
            <w:r/>
          </w:p>
        </w:tc>
        <w:tc>
          <w:tcPr>
            <w:shd w:val="clear" w:color="auto" w:fill="ffffff"/>
            <w:tcBorders/>
            <w:tcMar>
              <w:left w:w="90" w:type="dxa"/>
              <w:top w:w="55" w:type="dxa"/>
              <w:right w:w="90" w:type="dxa"/>
              <w:bottom w:w="55" w:type="dxa"/>
            </w:tcMar>
            <w:tcW w:w="1070" w:type="dxa"/>
            <w:vAlign w:val="top"/>
          </w:tcPr>
          <w:p>
            <w:pPr>
              <w:pBdr/>
              <w:spacing w:after="30" w:before="30" w:line="240" w:lineRule="auto"/>
              <w:ind/>
              <w:jc w:val="left"/>
              <w:rPr/>
            </w:pPr>
            <w:r>
              <w:rPr>
                <w:rFonts w:ascii="Calibri" w:hAnsi="Calibri" w:eastAsia="Calibri" w:cs="Calibri"/>
                <w:b w:val="0"/>
                <w:bCs w:val="0"/>
                <w:sz w:val="17"/>
                <w:szCs w:val="17"/>
              </w:rPr>
              <w:t xml:space="preserve">10 p-d</w:t>
            </w:r>
            <w:r/>
          </w:p>
        </w:tc>
      </w:tr>
      <w:tr>
        <w:trPr/>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Estabilización y transición</w:t>
            </w:r>
            <w:r/>
          </w:p>
        </w:tc>
        <w:tc>
          <w:tcPr>
            <w:shd w:val="clear" w:color="auto" w:fill="f2f2f2"/>
            <w:tcBorders/>
            <w:tcMar>
              <w:left w:w="90" w:type="dxa"/>
              <w:top w:w="55" w:type="dxa"/>
              <w:right w:w="90" w:type="dxa"/>
              <w:bottom w:w="55" w:type="dxa"/>
            </w:tcMar>
            <w:tcW w:w="3300" w:type="dxa"/>
            <w:vAlign w:val="top"/>
          </w:tcPr>
          <w:p>
            <w:pPr>
              <w:pBdr/>
              <w:spacing w:after="30" w:before="30" w:line="240" w:lineRule="auto"/>
              <w:ind/>
              <w:jc w:val="left"/>
              <w:rPr/>
            </w:pPr>
            <w:r>
              <w:rPr>
                <w:rFonts w:ascii="Calibri" w:hAnsi="Calibri" w:eastAsia="Calibri" w:cs="Calibri"/>
                <w:b w:val="0"/>
                <w:bCs w:val="0"/>
                <w:sz w:val="17"/>
                <w:szCs w:val="17"/>
              </w:rPr>
              <w:t xml:space="preserve">Iteración IT-10: pruebas de aceptación del conjunto, verificación de accesibilidad y seguridad, despliegue.</w:t>
            </w:r>
            <w:r/>
          </w:p>
        </w:tc>
        <w:tc>
          <w:tcPr>
            <w:shd w:val="clear" w:color="auto" w:fill="f2f2f2"/>
            <w:tcBorders/>
            <w:tcMar>
              <w:left w:w="90" w:type="dxa"/>
              <w:top w:w="55" w:type="dxa"/>
              <w:right w:w="90" w:type="dxa"/>
              <w:bottom w:w="55" w:type="dxa"/>
            </w:tcMar>
            <w:tcW w:w="1100" w:type="dxa"/>
            <w:vAlign w:val="top"/>
          </w:tcPr>
          <w:p>
            <w:pPr>
              <w:pBdr/>
              <w:spacing w:after="30" w:before="30" w:line="240" w:lineRule="auto"/>
              <w:ind/>
              <w:jc w:val="left"/>
              <w:rPr/>
            </w:pPr>
            <w:r>
              <w:rPr>
                <w:rFonts w:ascii="Calibri" w:hAnsi="Calibri" w:eastAsia="Calibri" w:cs="Calibri"/>
                <w:b w:val="0"/>
                <w:bCs w:val="0"/>
                <w:sz w:val="17"/>
                <w:szCs w:val="17"/>
              </w:rPr>
              <w:t xml:space="preserve">1 semana</w:t>
            </w:r>
            <w:r/>
          </w:p>
        </w:tc>
        <w:tc>
          <w:tcPr>
            <w:shd w:val="clear" w:color="auto" w:fill="f2f2f2"/>
            <w:tcBorders/>
            <w:tcMar>
              <w:left w:w="90" w:type="dxa"/>
              <w:top w:w="55" w:type="dxa"/>
              <w:right w:w="90" w:type="dxa"/>
              <w:bottom w:w="55" w:type="dxa"/>
            </w:tcMar>
            <w:tcW w:w="1100" w:type="dxa"/>
            <w:vAlign w:val="top"/>
          </w:tcPr>
          <w:p>
            <w:pPr>
              <w:pBdr/>
              <w:spacing w:after="30" w:before="30" w:line="240" w:lineRule="auto"/>
              <w:ind/>
              <w:jc w:val="left"/>
              <w:rPr/>
            </w:pPr>
            <w:r>
              <w:rPr>
                <w:rFonts w:ascii="Calibri" w:hAnsi="Calibri" w:eastAsia="Calibri" w:cs="Calibri"/>
                <w:b w:val="0"/>
                <w:bCs w:val="0"/>
                <w:sz w:val="17"/>
                <w:szCs w:val="17"/>
              </w:rPr>
              <w:t xml:space="preserve">—</w:t>
            </w:r>
            <w:r/>
          </w:p>
        </w:tc>
        <w:tc>
          <w:tcPr>
            <w:shd w:val="clear" w:color="auto" w:fill="f2f2f2"/>
            <w:tcBorders/>
            <w:tcMar>
              <w:left w:w="90" w:type="dxa"/>
              <w:top w:w="55" w:type="dxa"/>
              <w:right w:w="90" w:type="dxa"/>
              <w:bottom w:w="55" w:type="dxa"/>
            </w:tcMar>
            <w:tcW w:w="1070" w:type="dxa"/>
            <w:vAlign w:val="top"/>
          </w:tcPr>
          <w:p>
            <w:pPr>
              <w:pBdr/>
              <w:spacing w:after="30" w:before="30" w:line="240" w:lineRule="auto"/>
              <w:ind/>
              <w:jc w:val="left"/>
              <w:rPr/>
            </w:pPr>
            <w:r>
              <w:rPr>
                <w:rFonts w:ascii="Calibri" w:hAnsi="Calibri" w:eastAsia="Calibri" w:cs="Calibri"/>
                <w:b w:val="0"/>
                <w:bCs w:val="0"/>
                <w:sz w:val="17"/>
                <w:szCs w:val="17"/>
              </w:rPr>
              <w:t xml:space="preserve">10 p-d</w:t>
            </w:r>
            <w:r/>
          </w:p>
        </w:tc>
      </w:tr>
      <w:tr>
        <w:trPr/>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Sobrecarga de proceso</w:t>
            </w:r>
            <w:r/>
          </w:p>
        </w:tc>
        <w:tc>
          <w:tcPr>
            <w:shd w:val="clear" w:color="auto" w:fill="ffffff"/>
            <w:tcBorders/>
            <w:tcMar>
              <w:left w:w="90" w:type="dxa"/>
              <w:top w:w="55" w:type="dxa"/>
              <w:right w:w="90" w:type="dxa"/>
              <w:bottom w:w="55" w:type="dxa"/>
            </w:tcMar>
            <w:tcW w:w="3300" w:type="dxa"/>
            <w:vAlign w:val="top"/>
          </w:tcPr>
          <w:p>
            <w:pPr>
              <w:pBdr/>
              <w:spacing w:after="30" w:before="30" w:line="240" w:lineRule="auto"/>
              <w:ind/>
              <w:jc w:val="left"/>
              <w:rPr/>
            </w:pPr>
            <w:r>
              <w:rPr>
                <w:rFonts w:ascii="Calibri" w:hAnsi="Calibri" w:eastAsia="Calibri" w:cs="Calibri"/>
                <w:b w:val="0"/>
                <w:bCs w:val="0"/>
                <w:sz w:val="17"/>
                <w:szCs w:val="17"/>
              </w:rPr>
              <w:t xml:space="preserve">Planificación, revisión del incremento, retrospectiva y revisión cruzada: 12 % sobre los componentes anteriores.</w:t>
            </w:r>
            <w:r/>
          </w:p>
        </w:tc>
        <w:tc>
          <w:tcPr>
            <w:shd w:val="clear" w:color="auto" w:fill="ffffff"/>
            <w:tcBorders/>
            <w:tcMar>
              <w:left w:w="90" w:type="dxa"/>
              <w:top w:w="55" w:type="dxa"/>
              <w:right w:w="90" w:type="dxa"/>
              <w:bottom w:w="55" w:type="dxa"/>
            </w:tcMar>
            <w:tcW w:w="1100" w:type="dxa"/>
            <w:vAlign w:val="top"/>
          </w:tcPr>
          <w:p>
            <w:pPr>
              <w:pBdr/>
              <w:spacing w:after="30" w:before="30" w:line="240" w:lineRule="auto"/>
              <w:ind/>
              <w:jc w:val="left"/>
              <w:rPr/>
            </w:pPr>
            <w:r>
              <w:rPr>
                <w:rFonts w:ascii="Calibri" w:hAnsi="Calibri" w:eastAsia="Calibri" w:cs="Calibri"/>
                <w:b w:val="0"/>
                <w:bCs w:val="0"/>
                <w:sz w:val="17"/>
                <w:szCs w:val="17"/>
              </w:rPr>
              <w:t xml:space="preserve">—</w:t>
            </w:r>
            <w:r/>
          </w:p>
        </w:tc>
        <w:tc>
          <w:tcPr>
            <w:shd w:val="clear" w:color="auto" w:fill="ffffff"/>
            <w:tcBorders/>
            <w:tcMar>
              <w:left w:w="90" w:type="dxa"/>
              <w:top w:w="55" w:type="dxa"/>
              <w:right w:w="90" w:type="dxa"/>
              <w:bottom w:w="55" w:type="dxa"/>
            </w:tcMar>
            <w:tcW w:w="1100" w:type="dxa"/>
            <w:vAlign w:val="top"/>
          </w:tcPr>
          <w:p>
            <w:pPr>
              <w:pBdr/>
              <w:spacing w:after="30" w:before="30" w:line="240" w:lineRule="auto"/>
              <w:ind/>
              <w:jc w:val="left"/>
              <w:rPr/>
            </w:pPr>
            <w:r>
              <w:rPr>
                <w:rFonts w:ascii="Calibri" w:hAnsi="Calibri" w:eastAsia="Calibri" w:cs="Calibri"/>
                <w:b w:val="0"/>
                <w:bCs w:val="0"/>
                <w:sz w:val="17"/>
                <w:szCs w:val="17"/>
              </w:rPr>
              <w:t xml:space="preserve">—</w:t>
            </w:r>
            <w:r/>
          </w:p>
        </w:tc>
        <w:tc>
          <w:tcPr>
            <w:shd w:val="clear" w:color="auto" w:fill="ffffff"/>
            <w:tcBorders/>
            <w:tcMar>
              <w:left w:w="90" w:type="dxa"/>
              <w:top w:w="55" w:type="dxa"/>
              <w:right w:w="90" w:type="dxa"/>
              <w:bottom w:w="55" w:type="dxa"/>
            </w:tcMar>
            <w:tcW w:w="1070" w:type="dxa"/>
            <w:vAlign w:val="top"/>
          </w:tcPr>
          <w:p>
            <w:pPr>
              <w:pBdr/>
              <w:spacing w:after="30" w:before="30" w:line="240" w:lineRule="auto"/>
              <w:ind/>
              <w:jc w:val="left"/>
              <w:rPr/>
            </w:pPr>
            <w:r>
              <w:rPr>
                <w:rFonts w:ascii="Calibri" w:hAnsi="Calibri" w:eastAsia="Calibri" w:cs="Calibri"/>
                <w:b w:val="0"/>
                <w:bCs w:val="0"/>
                <w:sz w:val="17"/>
                <w:szCs w:val="17"/>
              </w:rPr>
              <w:t xml:space="preserve">23 p-d</w:t>
            </w:r>
            <w:r/>
          </w:p>
        </w:tc>
      </w:tr>
      <w:tr>
        <w:trPr/>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bCs/>
                <w:sz w:val="17"/>
                <w:szCs w:val="17"/>
              </w:rPr>
              <w:t xml:space="preserve">Total del catálogo completo</w:t>
            </w:r>
            <w:r/>
          </w:p>
        </w:tc>
        <w:tc>
          <w:tcPr>
            <w:shd w:val="clear" w:color="auto" w:fill="f2f2f2"/>
            <w:tcBorders/>
            <w:tcMar>
              <w:left w:w="90" w:type="dxa"/>
              <w:top w:w="55" w:type="dxa"/>
              <w:right w:w="90" w:type="dxa"/>
              <w:bottom w:w="55" w:type="dxa"/>
            </w:tcMar>
            <w:tcW w:w="3300" w:type="dxa"/>
            <w:vAlign w:val="top"/>
          </w:tcPr>
          <w:p>
            <w:pPr>
              <w:pBdr/>
              <w:spacing w:after="30" w:before="30" w:line="240" w:lineRule="auto"/>
              <w:ind/>
              <w:jc w:val="left"/>
              <w:rPr/>
            </w:pPr>
            <w:r>
              <w:rPr>
                <w:rFonts w:ascii="Calibri" w:hAnsi="Calibri" w:eastAsia="Calibri" w:cs="Calibri"/>
                <w:b w:val="0"/>
                <w:bCs w:val="0"/>
                <w:sz w:val="17"/>
                <w:szCs w:val="17"/>
              </w:rPr>
            </w:r>
            <w:r/>
          </w:p>
        </w:tc>
        <w:tc>
          <w:tcPr>
            <w:shd w:val="clear" w:color="auto" w:fill="f2f2f2"/>
            <w:tcBorders/>
            <w:tcMar>
              <w:left w:w="90" w:type="dxa"/>
              <w:top w:w="55" w:type="dxa"/>
              <w:right w:w="90" w:type="dxa"/>
              <w:bottom w:w="55" w:type="dxa"/>
            </w:tcMar>
            <w:tcW w:w="1100" w:type="dxa"/>
            <w:vAlign w:val="top"/>
          </w:tcPr>
          <w:p>
            <w:pPr>
              <w:pBdr/>
              <w:spacing w:after="30" w:before="30" w:line="240" w:lineRule="auto"/>
              <w:ind/>
              <w:jc w:val="left"/>
              <w:rPr/>
            </w:pPr>
            <w:r>
              <w:rPr>
                <w:rFonts w:ascii="Calibri" w:hAnsi="Calibri" w:eastAsia="Calibri" w:cs="Calibri"/>
                <w:b/>
                <w:bCs/>
                <w:sz w:val="17"/>
                <w:szCs w:val="17"/>
              </w:rPr>
              <w:t xml:space="preserve">53 requisitos</w:t>
            </w:r>
            <w:r/>
          </w:p>
        </w:tc>
        <w:tc>
          <w:tcPr>
            <w:shd w:val="clear" w:color="auto" w:fill="f2f2f2"/>
            <w:tcBorders/>
            <w:tcMar>
              <w:left w:w="90" w:type="dxa"/>
              <w:top w:w="55" w:type="dxa"/>
              <w:right w:w="90" w:type="dxa"/>
              <w:bottom w:w="55" w:type="dxa"/>
            </w:tcMar>
            <w:tcW w:w="1100" w:type="dxa"/>
            <w:vAlign w:val="top"/>
          </w:tcPr>
          <w:p>
            <w:pPr>
              <w:pBdr/>
              <w:spacing w:after="30" w:before="30" w:line="240" w:lineRule="auto"/>
              <w:ind/>
              <w:jc w:val="left"/>
              <w:rPr/>
            </w:pPr>
            <w:r>
              <w:rPr>
                <w:rFonts w:ascii="Calibri" w:hAnsi="Calibri" w:eastAsia="Calibri" w:cs="Calibri"/>
                <w:b w:val="0"/>
                <w:bCs w:val="0"/>
                <w:sz w:val="17"/>
                <w:szCs w:val="17"/>
              </w:rPr>
            </w:r>
            <w:r/>
          </w:p>
        </w:tc>
        <w:tc>
          <w:tcPr>
            <w:shd w:val="clear" w:color="auto" w:fill="f2f2f2"/>
            <w:tcBorders/>
            <w:tcMar>
              <w:left w:w="90" w:type="dxa"/>
              <w:top w:w="55" w:type="dxa"/>
              <w:right w:w="90" w:type="dxa"/>
              <w:bottom w:w="55" w:type="dxa"/>
            </w:tcMar>
            <w:tcW w:w="1070" w:type="dxa"/>
            <w:vAlign w:val="top"/>
          </w:tcPr>
          <w:p>
            <w:pPr>
              <w:pBdr/>
              <w:spacing w:after="30" w:before="30" w:line="240" w:lineRule="auto"/>
              <w:ind/>
              <w:jc w:val="left"/>
              <w:rPr/>
            </w:pPr>
            <w:r>
              <w:rPr>
                <w:rFonts w:ascii="Calibri" w:hAnsi="Calibri" w:eastAsia="Calibri" w:cs="Calibri"/>
                <w:b/>
                <w:bCs/>
                <w:sz w:val="17"/>
                <w:szCs w:val="17"/>
              </w:rPr>
              <w:t xml:space="preserve">213 p-d</w:t>
            </w:r>
            <w:r/>
          </w:p>
        </w:tc>
      </w:tr>
    </w:tbl>
    <w:p>
      <w:pPr>
        <w:pBdr/>
        <w:spacing w:after="120"/>
        <w:ind/>
        <w:rPr/>
      </w:pPr>
      <w:r/>
    </w:p>
    <w:p w14:paraId="0E7DD6C2">
      <w:pPr>
        <w:pStyle w:val="919"/>
        <w:pBdr/>
        <w:spacing w:after="140" w:before="280"/>
        <w:ind/>
        <w:rPr/>
      </w:pPr>
      <w:r>
        <w:rPr>
          <w:highlight w:val="none"/>
        </w:rPr>
      </w:r>
      <w:r/>
    </w:p>
    <w:p w14:paraId="3CA7DB25">
      <w:pPr>
        <w:pStyle w:val="919"/>
        <w:pBdr/>
        <w:spacing w:after="140" w:before="280"/>
        <w:ind/>
        <w:rPr>
          <w:highlight w:val="none"/>
        </w:rPr>
      </w:pPr>
      <w:r>
        <w:rPr>
          <w:highlight w:val="none"/>
        </w:rPr>
      </w:r>
    </w:p>
    <w:p>
      <w:pPr>
        <w:pStyle w:val="919"/>
        <w:pBdr/>
        <w:spacing w:after="140" w:before="280"/>
        <w:ind/>
        <w:rPr>
          <w:color w:val="000000" w:themeColor="text1"/>
          <w:highlight w:val="none"/>
        </w:rPr>
      </w:pPr>
      <w:r>
        <w:rPr>
          <w:color w:val="000000" w:themeColor="text1"/>
        </w:rPr>
      </w:r>
      <w:bookmarkStart w:id="28" w:name="_Toc28"/>
      <w:r>
        <w:rPr>
          <w:rFonts w:ascii="Calibri" w:hAnsi="Calibri" w:eastAsia="Calibri" w:cs="Calibri"/>
          <w:b/>
          <w:bCs/>
          <w:color w:val="000000" w:themeColor="text1"/>
          <w:sz w:val="23"/>
          <w:szCs w:val="23"/>
        </w:rPr>
        <w:t xml:space="preserve">2.12.3 Resultado, holgura y rango de incertidumbre</w:t>
      </w:r>
      <w:bookmarkEnd w:id="28"/>
      <w:r>
        <w:rPr>
          <w:color w:val="000000" w:themeColor="text1"/>
        </w:rPr>
      </w:r>
      <w:r>
        <w:rPr>
          <w:color w:val="000000" w:themeColor="text1"/>
          <w:highlight w:val="none"/>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Doscientos trece persona-día repartidos entre dos personas equivalen a ciento seis días útiles y medio por persona, es decir, a algo más de </w:t>
      </w:r>
      <w:r>
        <w:rPr>
          <w:rFonts w:ascii="Calibri" w:hAnsi="Calibri" w:eastAsia="Calibri" w:cs="Calibri"/>
          <w:b/>
          <w:bCs/>
          <w:i w:val="0"/>
          <w:iCs w:val="0"/>
          <w:color w:val="000000" w:themeColor="text1"/>
          <w:sz w:val="22"/>
          <w:szCs w:val="22"/>
        </w:rPr>
        <w:t xml:space="preserve">veintiuna semanas (21,3)</w:t>
      </w:r>
      <w:r>
        <w:rPr>
          <w:rFonts w:ascii="Calibri" w:hAnsi="Calibri" w:eastAsia="Calibri" w:cs="Calibri"/>
          <w:b w:val="0"/>
          <w:bCs w:val="0"/>
          <w:i w:val="0"/>
          <w:iCs w:val="0"/>
          <w:color w:val="000000" w:themeColor="text1"/>
          <w:sz w:val="22"/>
          <w:szCs w:val="22"/>
        </w:rPr>
        <w:t xml:space="preserve"> de construcción si se comprometiera la totalidad del catálogo.</w:t>
      </w:r>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Ese no es el alcance comprometido. Conforme a FD-07, y en coherencia con el tratamiento que el documento 3 ya dio a SYS-NFN-12 al excluirlo del compromiso del MVP por tener prioridad «Podría», el compromiso comprende las clases «Debe» y «Debería» —cuarenta y siete requisitos— y deja los seis requisitos «Podría» como holgura declarada del alcance. Descontando esos seis y su parte proporcional de esfuerzo transversal y de sobrecarga, la estimación del alcance comprometido desciende a aproximadamente </w:t>
      </w:r>
      <w:r>
        <w:rPr>
          <w:rFonts w:ascii="Calibri" w:hAnsi="Calibri" w:eastAsia="Calibri" w:cs="Calibri"/>
          <w:b/>
          <w:bCs/>
          <w:i w:val="0"/>
          <w:iCs w:val="0"/>
          <w:color w:val="000000" w:themeColor="text1"/>
          <w:sz w:val="22"/>
          <w:szCs w:val="22"/>
        </w:rPr>
        <w:t xml:space="preserve">189 persona-día</w:t>
      </w:r>
      <w:r>
        <w:rPr>
          <w:rFonts w:ascii="Calibri" w:hAnsi="Calibri" w:eastAsia="Calibri" w:cs="Calibri"/>
          <w:b w:val="0"/>
          <w:bCs w:val="0"/>
          <w:i w:val="0"/>
          <w:iCs w:val="0"/>
          <w:color w:val="000000" w:themeColor="text1"/>
          <w:sz w:val="22"/>
          <w:szCs w:val="22"/>
        </w:rPr>
        <w:t xml:space="preserve">, equivalentes a algo menos de diecinueve semanas.</w:t>
      </w:r>
      <w:r>
        <w:rPr>
          <w:color w:val="000000" w:themeColor="text1"/>
        </w:rPr>
      </w:r>
    </w:p>
    <w:p>
      <w:pPr>
        <w:pBdr/>
        <w:spacing w:after="40"/>
        <w:ind/>
        <w:rPr>
          <w:color w:val="000000" w:themeColor="text1"/>
        </w:rPr>
      </w:pPr>
      <w:r>
        <w:rPr>
          <w:color w:val="000000" w:themeColor="text1"/>
        </w:r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3300"/>
        <w:gridCol w:w="1900"/>
        <w:gridCol w:w="3870"/>
      </w:tblGrid>
      <w:tr>
        <w:trPr>
          <w:tblHeader/>
        </w:trPr>
        <w:tc>
          <w:tcPr>
            <w:shd w:val="clear" w:color="auto" w:fill="dce6f1"/>
            <w:tcBorders/>
            <w:tcMar>
              <w:left w:w="90" w:type="dxa"/>
              <w:top w:w="60" w:type="dxa"/>
              <w:right w:w="90" w:type="dxa"/>
              <w:bottom w:w="60" w:type="dxa"/>
            </w:tcMar>
            <w:tcW w:w="33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Magnitud</w:t>
            </w:r>
            <w:r>
              <w:rPr>
                <w:color w:val="000000" w:themeColor="text1"/>
              </w:rPr>
            </w:r>
          </w:p>
        </w:tc>
        <w:tc>
          <w:tcPr>
            <w:shd w:val="clear" w:color="auto" w:fill="dce6f1"/>
            <w:tcBorders/>
            <w:tcMar>
              <w:left w:w="90" w:type="dxa"/>
              <w:top w:w="60" w:type="dxa"/>
              <w:right w:w="90" w:type="dxa"/>
              <w:bottom w:w="60" w:type="dxa"/>
            </w:tcMar>
            <w:tcW w:w="19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Valor</w:t>
            </w:r>
            <w:r>
              <w:rPr>
                <w:color w:val="000000" w:themeColor="text1"/>
              </w:rPr>
            </w:r>
          </w:p>
        </w:tc>
        <w:tc>
          <w:tcPr>
            <w:shd w:val="clear" w:color="auto" w:fill="dce6f1"/>
            <w:tcBorders/>
            <w:tcMar>
              <w:left w:w="90" w:type="dxa"/>
              <w:top w:w="60" w:type="dxa"/>
              <w:right w:w="90" w:type="dxa"/>
              <w:bottom w:w="60" w:type="dxa"/>
            </w:tcMar>
            <w:tcW w:w="38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Lectura</w:t>
            </w:r>
            <w:r>
              <w:rPr>
                <w:color w:val="000000" w:themeColor="text1"/>
              </w:rPr>
            </w:r>
          </w:p>
        </w:tc>
      </w:tr>
      <w:tr>
        <w:trPr/>
        <w:tc>
          <w:tcPr>
            <w:shd w:val="clear" w:color="auto" w:fill="ffffff"/>
            <w:tcBorders/>
            <w:tcMar>
              <w:left w:w="90" w:type="dxa"/>
              <w:top w:w="55" w:type="dxa"/>
              <w:right w:w="90" w:type="dxa"/>
              <w:bottom w:w="55" w:type="dxa"/>
            </w:tcMar>
            <w:tcW w:w="3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Estimación del catálogo completo</w:t>
            </w:r>
            <w:r>
              <w:rPr>
                <w:color w:val="000000" w:themeColor="text1"/>
              </w:rPr>
            </w:r>
          </w:p>
        </w:tc>
        <w:tc>
          <w:tcPr>
            <w:shd w:val="clear" w:color="auto" w:fill="ffffff"/>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213 p-d · 21,3 semanas</w:t>
            </w:r>
            <w:r>
              <w:rPr>
                <w:color w:val="000000" w:themeColor="text1"/>
              </w:rPr>
            </w:r>
          </w:p>
        </w:tc>
        <w:tc>
          <w:tcPr>
            <w:shd w:val="clear" w:color="auto" w:fill="ffffff"/>
            <w:tcBorders/>
            <w:tcMar>
              <w:left w:w="90" w:type="dxa"/>
              <w:top w:w="55" w:type="dxa"/>
              <w:right w:w="90" w:type="dxa"/>
              <w:bottom w:w="55" w:type="dxa"/>
            </w:tcMar>
            <w:tcW w:w="3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Excede la capacidad nominal del plan. Comprometer los cincuenta y tres requisitos sería comprometer un incumplimiento.</w:t>
            </w:r>
            <w:r>
              <w:rPr>
                <w:color w:val="000000" w:themeColor="text1"/>
              </w:rPr>
            </w:r>
          </w:p>
        </w:tc>
      </w:tr>
      <w:tr>
        <w:trPr/>
        <w:tc>
          <w:tcPr>
            <w:shd w:val="clear" w:color="auto" w:fill="f2f2f2"/>
            <w:tcBorders/>
            <w:tcMar>
              <w:left w:w="90" w:type="dxa"/>
              <w:top w:w="55" w:type="dxa"/>
              <w:right w:w="90" w:type="dxa"/>
              <w:bottom w:w="55" w:type="dxa"/>
            </w:tcMar>
            <w:tcW w:w="3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Estimación del alcance comprometido (47 requisitos)</w:t>
            </w:r>
            <w:r>
              <w:rPr>
                <w:color w:val="000000" w:themeColor="text1"/>
              </w:rPr>
            </w:r>
          </w:p>
        </w:tc>
        <w:tc>
          <w:tcPr>
            <w:shd w:val="clear" w:color="auto" w:fill="f2f2f2"/>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189 p-d · 18,9 semanas</w:t>
            </w:r>
            <w:r>
              <w:rPr>
                <w:color w:val="000000" w:themeColor="text1"/>
              </w:rPr>
            </w:r>
          </w:p>
        </w:tc>
        <w:tc>
          <w:tcPr>
            <w:shd w:val="clear" w:color="auto" w:fill="f2f2f2"/>
            <w:tcBorders/>
            <w:tcMar>
              <w:left w:w="90" w:type="dxa"/>
              <w:top w:w="55" w:type="dxa"/>
              <w:right w:w="90" w:type="dxa"/>
              <w:bottom w:w="55" w:type="dxa"/>
            </w:tcMar>
            <w:tcW w:w="3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Es el compromiso real del MVP.</w:t>
            </w:r>
            <w:r>
              <w:rPr>
                <w:color w:val="000000" w:themeColor="text1"/>
              </w:rPr>
            </w:r>
          </w:p>
        </w:tc>
      </w:tr>
      <w:tr>
        <w:trPr/>
        <w:tc>
          <w:tcPr>
            <w:shd w:val="clear" w:color="auto" w:fill="ffffff"/>
            <w:tcBorders/>
            <w:tcMar>
              <w:left w:w="90" w:type="dxa"/>
              <w:top w:w="55" w:type="dxa"/>
              <w:right w:w="90" w:type="dxa"/>
              <w:bottom w:w="55" w:type="dxa"/>
            </w:tcMar>
            <w:tcW w:w="3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Capacidad nominal del plan (20 semanas · 2 personas)</w:t>
            </w:r>
            <w:r>
              <w:rPr>
                <w:color w:val="000000" w:themeColor="text1"/>
              </w:rPr>
            </w:r>
          </w:p>
        </w:tc>
        <w:tc>
          <w:tcPr>
            <w:shd w:val="clear" w:color="auto" w:fill="ffffff"/>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200 p-d</w:t>
            </w:r>
            <w:r>
              <w:rPr>
                <w:color w:val="000000" w:themeColor="text1"/>
              </w:rPr>
            </w:r>
          </w:p>
        </w:tc>
        <w:tc>
          <w:tcPr>
            <w:shd w:val="clear" w:color="auto" w:fill="ffffff"/>
            <w:tcBorders/>
            <w:tcMar>
              <w:left w:w="90" w:type="dxa"/>
              <w:top w:w="55" w:type="dxa"/>
              <w:right w:w="90" w:type="dxa"/>
              <w:bottom w:w="55" w:type="dxa"/>
            </w:tcMar>
            <w:tcW w:w="3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Deja una holgura de 11 p-d, un 5,5 %, sobre el alcance comprometido.</w:t>
            </w:r>
            <w:r>
              <w:rPr>
                <w:color w:val="000000" w:themeColor="text1"/>
              </w:rPr>
            </w:r>
          </w:p>
        </w:tc>
      </w:tr>
      <w:tr>
        <w:trPr/>
        <w:tc>
          <w:tcPr>
            <w:shd w:val="clear" w:color="auto" w:fill="f2f2f2"/>
            <w:tcBorders/>
            <w:tcMar>
              <w:left w:w="90" w:type="dxa"/>
              <w:top w:w="55" w:type="dxa"/>
              <w:right w:w="90" w:type="dxa"/>
              <w:bottom w:w="55" w:type="dxa"/>
            </w:tcMar>
            <w:tcW w:w="33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Rango de incertidumbre declarado</w:t>
            </w:r>
            <w:r>
              <w:rPr>
                <w:color w:val="000000" w:themeColor="text1"/>
              </w:rPr>
            </w:r>
          </w:p>
        </w:tc>
        <w:tc>
          <w:tcPr>
            <w:shd w:val="clear" w:color="auto" w:fill="f2f2f2"/>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 25 %</w:t>
            </w:r>
            <w:r>
              <w:rPr>
                <w:color w:val="000000" w:themeColor="text1"/>
              </w:rPr>
            </w:r>
          </w:p>
        </w:tc>
        <w:tc>
          <w:tcPr>
            <w:shd w:val="clear" w:color="auto" w:fill="f2f2f2"/>
            <w:tcBorders/>
            <w:tcMar>
              <w:left w:w="90" w:type="dxa"/>
              <w:top w:w="55" w:type="dxa"/>
              <w:right w:w="90" w:type="dxa"/>
              <w:bottom w:w="55" w:type="dxa"/>
            </w:tcMar>
            <w:tcW w:w="3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Entre 14 y 24 semanas para el alcance comprometido. El rango es más estrecho que el que correspondería al inicio del proyecto porque los requisitos están especificados y la arquitectura decidida.</w:t>
            </w:r>
            <w:r>
              <w:rPr>
                <w:color w:val="000000" w:themeColor="text1"/>
              </w:rPr>
            </w:r>
          </w:p>
        </w:tc>
      </w:tr>
      <w:tr>
        <w:trPr/>
        <w:tc>
          <w:tcPr>
            <w:shd w:val="clear" w:color="auto" w:fill="ffffff"/>
            <w:tcBorders/>
            <w:tcMar>
              <w:left w:w="90" w:type="dxa"/>
              <w:top w:w="55" w:type="dxa"/>
              <w:right w:w="90" w:type="dxa"/>
              <w:bottom w:w="55" w:type="dxa"/>
            </w:tcMar>
            <w:tcW w:w="330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Plazo adoptado para la planificación</w:t>
            </w:r>
            <w:r>
              <w:rPr>
                <w:color w:val="000000" w:themeColor="text1"/>
              </w:rPr>
            </w:r>
          </w:p>
        </w:tc>
        <w:tc>
          <w:tcPr>
            <w:shd w:val="clear" w:color="auto" w:fill="ffffff"/>
            <w:tcBorders/>
            <w:tcMar>
              <w:left w:w="90" w:type="dxa"/>
              <w:top w:w="55" w:type="dxa"/>
              <w:right w:w="90" w:type="dxa"/>
              <w:bottom w:w="55" w:type="dxa"/>
            </w:tcMar>
            <w:tcW w:w="1900" w:type="dxa"/>
            <w:vAlign w:val="top"/>
          </w:tcPr>
          <w:p>
            <w:pPr>
              <w:pBdr/>
              <w:spacing w:after="30" w:before="30" w:line="240" w:lineRule="auto"/>
              <w:ind/>
              <w:jc w:val="left"/>
              <w:rPr>
                <w:color w:val="000000" w:themeColor="text1"/>
              </w:rPr>
            </w:pPr>
            <w:r>
              <w:rPr>
                <w:rFonts w:ascii="Calibri" w:hAnsi="Calibri" w:eastAsia="Calibri" w:cs="Calibri"/>
                <w:b/>
                <w:bCs/>
                <w:color w:val="000000" w:themeColor="text1"/>
                <w:sz w:val="17"/>
                <w:szCs w:val="17"/>
              </w:rPr>
              <w:t xml:space="preserve">20 semanas</w:t>
            </w:r>
            <w:r>
              <w:rPr>
                <w:color w:val="000000" w:themeColor="text1"/>
              </w:rPr>
            </w:r>
          </w:p>
        </w:tc>
        <w:tc>
          <w:tcPr>
            <w:shd w:val="clear" w:color="auto" w:fill="ffffff"/>
            <w:tcBorders/>
            <w:tcMar>
              <w:left w:w="90" w:type="dxa"/>
              <w:top w:w="55" w:type="dxa"/>
              <w:right w:w="90" w:type="dxa"/>
              <w:bottom w:w="55" w:type="dxa"/>
            </w:tcMar>
            <w:tcW w:w="38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7"/>
                <w:szCs w:val="17"/>
              </w:rPr>
              <w:t xml:space="preserve">Once iteraciones, conforme a la sección 2.13.</w:t>
            </w:r>
            <w:r>
              <w:rPr>
                <w:color w:val="000000" w:themeColor="text1"/>
              </w:rPr>
            </w:r>
          </w:p>
        </w:tc>
      </w:tr>
    </w:tbl>
    <w:p>
      <w:pPr>
        <w:pBdr/>
        <w:spacing w:after="120"/>
        <w:ind/>
        <w:rPr>
          <w:color w:val="000000" w:themeColor="text1"/>
        </w:rPr>
      </w:pPr>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Se declara con claridad lo que este cálculo significa y lo que no. Una holgura del 5,5 % no es una holgura cómoda: es el margen mínimo con el que el plan cierra, y depende de que la clase «Podría» permanezca efectivamente fuera del compromiso. Si el esfuerzo real se situara en el extremo superior del rango, el plan no cerraría, y el mecanismo previsto no es prolongar el plazo sino reducir el alcance comprometido mediante la regla de intercambio de DM-09. Esta situación se registra como el riesgo RM-01, que es el riesgo de mayor probabilidad del proceso.</w:t>
      </w:r>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2"/>
          <w:szCs w:val="22"/>
        </w:rPr>
        <w:t xml:space="preserve">La estimación no se considera cerrada. Conforme a la exigencia de la fuente, se </w:t>
      </w:r>
      <w:r>
        <w:rPr>
          <w:rFonts w:ascii="Calibri" w:hAnsi="Calibri" w:eastAsia="Calibri" w:cs="Calibri"/>
          <w:b/>
          <w:bCs/>
          <w:i w:val="0"/>
          <w:iCs w:val="0"/>
          <w:color w:val="000000" w:themeColor="text1"/>
          <w:sz w:val="22"/>
          <w:szCs w:val="22"/>
        </w:rPr>
        <w:t xml:space="preserve">recalibra empíricamente</w:t>
      </w:r>
      <w:r>
        <w:rPr>
          <w:rFonts w:ascii="Calibri" w:hAnsi="Calibri" w:eastAsia="Calibri" w:cs="Calibri"/>
          <w:b w:val="0"/>
          <w:bCs w:val="0"/>
          <w:i w:val="0"/>
          <w:iCs w:val="0"/>
          <w:color w:val="000000" w:themeColor="text1"/>
          <w:sz w:val="22"/>
          <w:szCs w:val="22"/>
        </w:rPr>
        <w:t xml:space="preserve"> a partir del cierre de IT-03, cuando existan tres iteraciones medidas con velocidad comparable en el sentido de DM-01. La métrica MT-01 es el instrumento de esa recalibración, y la primera retrospectiva posterior a IT-03 tiene como punto obligado de agenda la confrontación de la velocidad observada con la aquí supuesta.</w:t>
      </w:r>
      <w:r>
        <w:rPr>
          <w:color w:val="000000" w:themeColor="text1"/>
        </w:rPr>
      </w:r>
    </w:p>
    <w:p>
      <w:pPr>
        <w:pBdr/>
        <w:spacing/>
        <w:ind/>
        <w:rPr/>
        <w:sectPr>
          <w:footerReference w:type="default" r:id="rId9"/>
          <w:footnotePr/>
          <w:endnotePr/>
          <w:type w:val="nextPage"/>
          <w:pgSz w:h="16838" w:orient="portrait" w:w="11906"/>
          <w:pgMar w:top="1418" w:right="1418" w:bottom="1418" w:left="1418" w:header="708" w:footer="708" w:gutter="0"/>
          <w:cols w:num="1" w:sep="0" w:space="1701" w:equalWidth="1"/>
        </w:sectPr>
      </w:pPr>
      <w:r/>
    </w:p>
    <w:p>
      <w:pPr>
        <w:pStyle w:val="918"/>
        <w:pBdr/>
        <w:spacing w:after="140" w:before="280"/>
        <w:ind/>
        <w:rPr>
          <w:color w:val="000000" w:themeColor="text1"/>
        </w:rPr>
      </w:pPr>
      <w:r>
        <w:rPr>
          <w:color w:val="000000" w:themeColor="text1"/>
        </w:rPr>
      </w:r>
      <w:bookmarkStart w:id="29" w:name="_Toc29"/>
      <w:r>
        <w:rPr>
          <w:rFonts w:ascii="Calibri" w:hAnsi="Calibri" w:eastAsia="Calibri" w:cs="Calibri"/>
          <w:b/>
          <w:bCs/>
          <w:color w:val="000000" w:themeColor="text1"/>
          <w:sz w:val="25"/>
          <w:szCs w:val="25"/>
        </w:rPr>
        <w:t xml:space="preserve">2.13 Instanciación del ciclo de vida: fases e iteraciones</w:t>
      </w:r>
      <w:bookmarkEnd w:id="29"/>
      <w:r>
        <w:rPr>
          <w:color w:val="000000" w:themeColor="text1"/>
        </w:rPr>
      </w:r>
    </w:p>
    <w:p>
      <w:pPr>
        <w:pBdr/>
        <w:spacing w:after="120" w:before="0" w:line="276" w:lineRule="auto"/>
        <w:ind/>
        <w:jc w:val="both"/>
        <w:rPr/>
      </w:pPr>
      <w:r>
        <w:rPr>
          <w:rFonts w:ascii="Calibri" w:hAnsi="Calibri" w:eastAsia="Calibri" w:cs="Calibri"/>
          <w:b w:val="0"/>
          <w:bCs w:val="0"/>
          <w:i w:val="0"/>
          <w:iCs w:val="0"/>
          <w:color w:val="000000"/>
          <w:sz w:val="22"/>
          <w:szCs w:val="22"/>
        </w:rPr>
        <w:t xml:space="preserve">El ciclo de vida concreto resulta de mapear las actividades de los procesos técnicos y de gestión técnica sobre el modelo elegido, que es la operación que el apartado 2.3 del capítulo 10 describe. Se organiza en tres fases y once iteraciones sobre el horizonte de veinte semanas establecido en 2.12.</w:t>
      </w:r>
      <w:r/>
    </w:p>
    <w:p>
      <w:pPr>
        <w:pBdr/>
        <w:spacing w:after="60" w:before="160"/>
        <w:ind/>
        <w:jc w:val="center"/>
        <w:rPr/>
      </w:pPr>
      <w:r>
        <mc:AlternateContent>
          <mc:Choice Requires="wpg">
            <w:drawing>
              <wp:inline xmlns:wp="http://schemas.openxmlformats.org/drawingml/2006/wordprocessingDrawing" distT="0" distB="0" distL="0" distR="0">
                <wp:extent cx="8763000" cy="458152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8763000" cy="4581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690.00pt;height:360.75pt;mso-wrap-distance-left:0.00pt;mso-wrap-distance-top:0.00pt;mso-wrap-distance-right:0.00pt;mso-wrap-distance-bottom:0.00pt;z-index:1;" stroked="false">
                <v:imagedata r:id="rId12" o:title=""/>
                <o:lock v:ext="edit" rotation="t"/>
              </v:shape>
            </w:pict>
          </mc:Fallback>
        </mc:AlternateContent>
      </w:r>
    </w:p>
    <w:p>
      <w:pPr>
        <w:pBdr/>
        <w:spacing w:after="240" w:before="100"/>
        <w:ind/>
        <w:jc w:val="center"/>
        <w:rPr/>
      </w:pPr>
      <w:r>
        <w:rPr>
          <w:rFonts w:ascii="Calibri" w:hAnsi="Calibri" w:eastAsia="Calibri" w:cs="Calibri"/>
          <w:b w:val="0"/>
          <w:bCs w:val="0"/>
          <w:i/>
          <w:iCs/>
          <w:color w:val="404040"/>
          <w:sz w:val="18"/>
          <w:szCs w:val="18"/>
        </w:rPr>
        <w:t xml:space="preserve">Figura 1 — Instanciación del ciclo de vida de AbasteceNi: etapas de ISO/IEC/IEEE 12207:2017, fases del modelo iterativo-incremental, iteraciones e incremento demostrable al cierre de cada una.</w:t>
      </w:r>
      <w:r/>
    </w:p>
    <w:p>
      <w:pPr>
        <w:pBdr/>
        <w:spacing w:after="120" w:before="0" w:line="276" w:lineRule="auto"/>
        <w:ind/>
        <w:jc w:val="both"/>
        <w:rPr/>
      </w:pPr>
      <w:r>
        <w:rPr>
          <w:rFonts w:ascii="Calibri" w:hAnsi="Calibri" w:eastAsia="Calibri" w:cs="Calibri"/>
          <w:b w:val="0"/>
          <w:bCs w:val="0"/>
          <w:i w:val="0"/>
          <w:iCs w:val="0"/>
          <w:color w:val="000000"/>
          <w:sz w:val="22"/>
          <w:szCs w:val="22"/>
        </w:rPr>
        <w:t xml:space="preserve">El orden de las iteraciones obedece a tres criterios aplicados en este orden de precedencia: primero la reducción del riesgo, que sitúa la línea base arquitectónica en IT-01 conforme a DM-08; después la dependencia arquitectónica, que impone que M2 preceda a todo y que M6 no pueda construirse antes que M3 y M4; y por último la prioridad de negocio, que ordena lo que los dos criterios anteriores dejan libre. Cuando los criterios entran en conflicto prevalece el anterior, y el Anexo B registra los casos en que ese conflicto se produjo.</w:t>
      </w:r>
      <w:r/>
    </w:p>
    <w:p>
      <w:pPr>
        <w:pBdr/>
        <w:spacing w:after="120"/>
        <w:ind/>
        <w:rPr/>
      </w:pPr>
      <w:r/>
    </w:p>
    <w:tbl>
      <w:tblPr>
        <w:tblW w:w="145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900"/>
        <w:gridCol w:w="1100"/>
        <w:gridCol w:w="2900"/>
        <w:gridCol w:w="1500"/>
        <w:gridCol w:w="1500"/>
        <w:gridCol w:w="3200"/>
        <w:gridCol w:w="3470"/>
      </w:tblGrid>
      <w:tr>
        <w:trPr>
          <w:tblHeader/>
        </w:trPr>
        <w:tc>
          <w:tcPr>
            <w:shd w:val="clear" w:color="auto" w:fill="dce6f1"/>
            <w:tcBorders/>
            <w:tcMar>
              <w:left w:w="90" w:type="dxa"/>
              <w:top w:w="60" w:type="dxa"/>
              <w:right w:w="90" w:type="dxa"/>
              <w:bottom w:w="60" w:type="dxa"/>
            </w:tcMar>
            <w:tcW w:w="9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6"/>
                <w:szCs w:val="16"/>
              </w:rPr>
              <w:t xml:space="preserve">ID</w:t>
            </w:r>
            <w:r>
              <w:rPr>
                <w:color w:val="000000" w:themeColor="text1"/>
              </w:rPr>
            </w:r>
          </w:p>
        </w:tc>
        <w:tc>
          <w:tcPr>
            <w:shd w:val="clear" w:color="auto" w:fill="dce6f1"/>
            <w:tcBorders/>
            <w:tcMar>
              <w:left w:w="90" w:type="dxa"/>
              <w:top w:w="60" w:type="dxa"/>
              <w:right w:w="90" w:type="dxa"/>
              <w:bottom w:w="60" w:type="dxa"/>
            </w:tcMar>
            <w:tcW w:w="11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6"/>
                <w:szCs w:val="16"/>
              </w:rPr>
              <w:t xml:space="preserve">Semanas</w:t>
            </w:r>
            <w:r>
              <w:rPr>
                <w:color w:val="000000" w:themeColor="text1"/>
              </w:rPr>
            </w:r>
          </w:p>
        </w:tc>
        <w:tc>
          <w:tcPr>
            <w:shd w:val="clear" w:color="auto" w:fill="dce6f1"/>
            <w:tcBorders/>
            <w:tcMar>
              <w:left w:w="90" w:type="dxa"/>
              <w:top w:w="60" w:type="dxa"/>
              <w:right w:w="90" w:type="dxa"/>
              <w:bottom w:w="60" w:type="dxa"/>
            </w:tcMar>
            <w:tcW w:w="29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6"/>
                <w:szCs w:val="16"/>
              </w:rPr>
              <w:t xml:space="preserve">Objetivo de la iteración</w:t>
            </w:r>
            <w:r>
              <w:rPr>
                <w:color w:val="000000" w:themeColor="text1"/>
              </w:rPr>
            </w:r>
          </w:p>
        </w:tc>
        <w:tc>
          <w:tcPr>
            <w:shd w:val="clear" w:color="auto" w:fill="dce6f1"/>
            <w:tcBorders/>
            <w:tcMar>
              <w:left w:w="90" w:type="dxa"/>
              <w:top w:w="60" w:type="dxa"/>
              <w:right w:w="90" w:type="dxa"/>
              <w:bottom w:w="60" w:type="dxa"/>
            </w:tcMar>
            <w:tcW w:w="15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6"/>
                <w:szCs w:val="16"/>
              </w:rPr>
              <w:t xml:space="preserve">Módulos</w:t>
            </w:r>
            <w:r>
              <w:rPr>
                <w:color w:val="000000" w:themeColor="text1"/>
              </w:rPr>
            </w:r>
          </w:p>
        </w:tc>
        <w:tc>
          <w:tcPr>
            <w:shd w:val="clear" w:color="auto" w:fill="dce6f1"/>
            <w:tcBorders/>
            <w:tcMar>
              <w:left w:w="90" w:type="dxa"/>
              <w:top w:w="60" w:type="dxa"/>
              <w:right w:w="90" w:type="dxa"/>
              <w:bottom w:w="60" w:type="dxa"/>
            </w:tcMar>
            <w:tcW w:w="15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6"/>
                <w:szCs w:val="16"/>
              </w:rPr>
              <w:t xml:space="preserve">Procesos de negocio</w:t>
            </w:r>
            <w:r>
              <w:rPr>
                <w:color w:val="000000" w:themeColor="text1"/>
              </w:rPr>
            </w:r>
          </w:p>
        </w:tc>
        <w:tc>
          <w:tcPr>
            <w:shd w:val="clear" w:color="auto" w:fill="dce6f1"/>
            <w:tcBorders/>
            <w:tcMar>
              <w:left w:w="90" w:type="dxa"/>
              <w:top w:w="60" w:type="dxa"/>
              <w:right w:w="90" w:type="dxa"/>
              <w:bottom w:w="60" w:type="dxa"/>
            </w:tcMar>
            <w:tcW w:w="320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6"/>
                <w:szCs w:val="16"/>
              </w:rPr>
              <w:t xml:space="preserve">Criterio de salida</w:t>
            </w:r>
            <w:r>
              <w:rPr>
                <w:color w:val="000000" w:themeColor="text1"/>
              </w:rPr>
            </w:r>
          </w:p>
        </w:tc>
        <w:tc>
          <w:tcPr>
            <w:shd w:val="clear" w:color="auto" w:fill="dce6f1"/>
            <w:tcBorders/>
            <w:tcMar>
              <w:left w:w="90" w:type="dxa"/>
              <w:top w:w="60" w:type="dxa"/>
              <w:right w:w="90" w:type="dxa"/>
              <w:bottom w:w="60" w:type="dxa"/>
            </w:tcMar>
            <w:tcW w:w="3470" w:type="dxa"/>
            <w:vAlign w:val="center"/>
          </w:tcPr>
          <w:p>
            <w:pPr>
              <w:pBdr/>
              <w:spacing w:after="30" w:before="30" w:line="240" w:lineRule="auto"/>
              <w:ind/>
              <w:jc w:val="left"/>
              <w:rPr>
                <w:color w:val="000000" w:themeColor="text1"/>
              </w:rPr>
            </w:pPr>
            <w:r>
              <w:rPr>
                <w:rFonts w:ascii="Calibri" w:hAnsi="Calibri" w:eastAsia="Calibri" w:cs="Calibri"/>
                <w:b/>
                <w:bCs/>
                <w:color w:val="000000" w:themeColor="text1"/>
                <w:sz w:val="16"/>
                <w:szCs w:val="16"/>
              </w:rPr>
              <w:t xml:space="preserve">Riesgo que reduce</w:t>
            </w:r>
            <w:r>
              <w:rPr>
                <w:color w:val="000000" w:themeColor="text1"/>
              </w:rP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IT-00</w:t>
            </w:r>
            <w:r>
              <w:rPr>
                <w:color w:val="000000" w:themeColor="text1"/>
              </w:rPr>
            </w:r>
          </w:p>
        </w:tc>
        <w:tc>
          <w:tcPr>
            <w:shd w:val="clear" w:color="auto" w:fill="ffffff"/>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1</w:t>
            </w:r>
            <w:r>
              <w:rPr>
                <w:color w:val="000000" w:themeColor="text1"/>
              </w:rPr>
            </w:r>
          </w:p>
        </w:tc>
        <w:tc>
          <w:tcPr>
            <w:shd w:val="clear" w:color="auto" w:fill="ffffff"/>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Habilitar el entorno de construcción: repositorio, integración continua con verificación de dependencias, esqueleto de las cuatro capas y contrato de interfaz inicial.</w:t>
            </w:r>
            <w:r>
              <w:rPr>
                <w:color w:val="000000" w:themeColor="text1"/>
              </w:rP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w:t>
            </w:r>
            <w:r>
              <w:rPr>
                <w:color w:val="000000" w:themeColor="text1"/>
              </w:rP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w:t>
            </w:r>
            <w:r>
              <w:rPr>
                <w:color w:val="000000" w:themeColor="text1"/>
              </w:rPr>
            </w:r>
          </w:p>
        </w:tc>
        <w:tc>
          <w:tcPr>
            <w:shd w:val="clear" w:color="auto" w:fill="ffffff"/>
            <w:tcBorders/>
            <w:tcMar>
              <w:left w:w="90" w:type="dxa"/>
              <w:top w:w="55" w:type="dxa"/>
              <w:right w:w="90" w:type="dxa"/>
              <w:bottom w:w="55" w:type="dxa"/>
            </w:tcMar>
            <w:tcW w:w="3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La batería de pruebas vacía se ejecuta automáticamente en cada cambio y la verificación de dependencias falla deliberadamente ante un acceso cruzado de prueba.</w:t>
            </w:r>
            <w:r>
              <w:rPr>
                <w:color w:val="000000" w:themeColor="text1"/>
              </w:rPr>
            </w:r>
          </w:p>
        </w:tc>
        <w:tc>
          <w:tcPr>
            <w:shd w:val="clear" w:color="auto" w:fill="ffffff"/>
            <w:tcBorders/>
            <w:tcMar>
              <w:left w:w="90" w:type="dxa"/>
              <w:top w:w="55" w:type="dxa"/>
              <w:right w:w="90" w:type="dxa"/>
              <w:bottom w:w="55" w:type="dxa"/>
            </w:tcMar>
            <w:tcW w:w="3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Riesgo de que la automatización exigida por DM-06 se posponga indefinidamente una vez comenzada la construcción funcional.</w:t>
            </w:r>
            <w:r>
              <w:rPr>
                <w:color w:val="000000" w:themeColor="text1"/>
              </w:rP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IT-01</w:t>
            </w:r>
            <w:r>
              <w:rPr>
                <w:color w:val="000000" w:themeColor="text1"/>
              </w:rPr>
            </w:r>
          </w:p>
        </w:tc>
        <w:tc>
          <w:tcPr>
            <w:shd w:val="clear" w:color="auto" w:fill="f2f2f2"/>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2-3</w:t>
            </w:r>
            <w:r>
              <w:rPr>
                <w:color w:val="000000" w:themeColor="text1"/>
              </w:rPr>
            </w:r>
          </w:p>
        </w:tc>
        <w:tc>
          <w:tcPr>
            <w:shd w:val="clear" w:color="auto" w:fill="f2f2f2"/>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Producir la línea base arquitectónica ejecutable: una rebanada vertical que atraviese las cuatro capas y ejercite la bandeja de salida transaccional, el interruptor de circuito, la autenticación sin estado y la entrega de la interfaz cliente desacoplada.</w:t>
            </w:r>
            <w:r>
              <w:rPr>
                <w:color w:val="000000" w:themeColor="text1"/>
              </w:rP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Transversal</w:t>
            </w:r>
            <w:r>
              <w:rPr>
                <w:color w:val="000000" w:themeColor="text1"/>
              </w:rP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w:t>
            </w:r>
            <w:r>
              <w:rPr>
                <w:color w:val="000000" w:themeColor="text1"/>
              </w:rPr>
            </w:r>
          </w:p>
        </w:tc>
        <w:tc>
          <w:tcPr>
            <w:shd w:val="clear" w:color="auto" w:fill="f2f2f2"/>
            <w:tcBorders/>
            <w:tcMar>
              <w:left w:w="90" w:type="dxa"/>
              <w:top w:w="55" w:type="dxa"/>
              <w:right w:w="90" w:type="dxa"/>
              <w:bottom w:w="55" w:type="dxa"/>
            </w:tcMar>
            <w:tcW w:w="3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Un evento de dominio se persiste en la misma transacción que su cambio de estado, se publica de forma asíncrona y alcanza un adaptador de notificación; el circuito abre ante un fallo simulado del proveedor.</w:t>
            </w:r>
            <w:r>
              <w:rPr>
                <w:color w:val="000000" w:themeColor="text1"/>
              </w:rPr>
            </w:r>
          </w:p>
        </w:tc>
        <w:tc>
          <w:tcPr>
            <w:shd w:val="clear" w:color="auto" w:fill="f2f2f2"/>
            <w:tcBorders/>
            <w:tcMar>
              <w:left w:w="90" w:type="dxa"/>
              <w:top w:w="55" w:type="dxa"/>
              <w:right w:w="90" w:type="dxa"/>
              <w:bottom w:w="55" w:type="dxa"/>
            </w:tcMar>
            <w:tcW w:w="3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R-02 consistencia eventual y R-05 dependencia del proveedor externo. Verifica ADR-01, ADR-02, ADR-04 y ADR-06.</w:t>
            </w:r>
            <w:r>
              <w:rPr>
                <w:color w:val="000000" w:themeColor="text1"/>
              </w:rP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IT-02</w:t>
            </w:r>
            <w:r>
              <w:rPr>
                <w:color w:val="000000" w:themeColor="text1"/>
              </w:rPr>
            </w:r>
          </w:p>
        </w:tc>
        <w:tc>
          <w:tcPr>
            <w:shd w:val="clear" w:color="auto" w:fill="ffffff"/>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4-5</w:t>
            </w:r>
            <w:r>
              <w:rPr>
                <w:color w:val="000000" w:themeColor="text1"/>
              </w:rPr>
            </w:r>
          </w:p>
        </w:tc>
        <w:tc>
          <w:tcPr>
            <w:shd w:val="clear" w:color="auto" w:fill="ffffff"/>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Construir la afiliación y la validación de cuentas comerciales de extremo a extremo, incluida la bitácora inmutable.</w:t>
            </w:r>
            <w:r>
              <w:rPr>
                <w:color w:val="000000" w:themeColor="text1"/>
              </w:rP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M1 · M2 · M9 en su núcleo de auditoría</w:t>
            </w:r>
            <w:r>
              <w:rPr>
                <w:color w:val="000000" w:themeColor="text1"/>
              </w:rP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PM-01</w:t>
            </w:r>
            <w:r>
              <w:rPr>
                <w:color w:val="000000" w:themeColor="text1"/>
              </w:rPr>
            </w:r>
          </w:p>
        </w:tc>
        <w:tc>
          <w:tcPr>
            <w:shd w:val="clear" w:color="auto" w:fill="ffffff"/>
            <w:tcBorders/>
            <w:tcMar>
              <w:left w:w="90" w:type="dxa"/>
              <w:top w:w="55" w:type="dxa"/>
              <w:right w:w="90" w:type="dxa"/>
              <w:bottom w:w="55" w:type="dxa"/>
            </w:tcMar>
            <w:tcW w:w="3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Una cuenta se registra, carga su registro legal, es aprobada o rechazada por el rol administrativo y la decisión consta en la bitácora sin posibilidad de modificación.</w:t>
            </w:r>
            <w:r>
              <w:rPr>
                <w:color w:val="000000" w:themeColor="text1"/>
              </w:rPr>
            </w:r>
          </w:p>
        </w:tc>
        <w:tc>
          <w:tcPr>
            <w:shd w:val="clear" w:color="auto" w:fill="ffffff"/>
            <w:tcBorders/>
            <w:tcMar>
              <w:left w:w="90" w:type="dxa"/>
              <w:top w:w="55" w:type="dxa"/>
              <w:right w:w="90" w:type="dxa"/>
              <w:bottom w:w="55" w:type="dxa"/>
            </w:tcMar>
            <w:tcW w:w="3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R-01, porque establece desde el inicio la frontera entre M1, M2 y M9, que es la más transitada. Verifica ADR-05.</w:t>
            </w:r>
            <w:r>
              <w:rPr>
                <w:color w:val="000000" w:themeColor="text1"/>
              </w:rP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IT-03</w:t>
            </w:r>
            <w:r>
              <w:rPr>
                <w:color w:val="000000" w:themeColor="text1"/>
              </w:rPr>
            </w:r>
          </w:p>
        </w:tc>
        <w:tc>
          <w:tcPr>
            <w:shd w:val="clear" w:color="auto" w:fill="f2f2f2"/>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6-7</w:t>
            </w:r>
            <w:r>
              <w:rPr>
                <w:color w:val="000000" w:themeColor="text1"/>
              </w:rPr>
            </w:r>
          </w:p>
        </w:tc>
        <w:tc>
          <w:tcPr>
            <w:shd w:val="clear" w:color="auto" w:fill="f2f2f2"/>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Construir la captación y consolidación de bloques de demanda.</w:t>
            </w:r>
            <w:r>
              <w:rPr>
                <w:color w:val="000000" w:themeColor="text1"/>
              </w:rP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M3</w:t>
            </w:r>
            <w:r>
              <w:rPr>
                <w:color w:val="000000" w:themeColor="text1"/>
              </w:rP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PM-02</w:t>
            </w:r>
            <w:r>
              <w:rPr>
                <w:color w:val="000000" w:themeColor="text1"/>
              </w:rPr>
            </w:r>
          </w:p>
        </w:tc>
        <w:tc>
          <w:tcPr>
            <w:shd w:val="clear" w:color="auto" w:fill="f2f2f2"/>
            <w:tcBorders/>
            <w:tcMar>
              <w:left w:w="90" w:type="dxa"/>
              <w:top w:w="55" w:type="dxa"/>
              <w:right w:w="90" w:type="dxa"/>
              <w:bottom w:w="55" w:type="dxa"/>
            </w:tcMar>
            <w:tcW w:w="3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Varias solicitudes de un mismo departamento se consolidan en un bloque regional con volumen agregado correcto.</w:t>
            </w:r>
            <w:r>
              <w:rPr>
                <w:color w:val="000000" w:themeColor="text1"/>
              </w:rPr>
            </w:r>
          </w:p>
        </w:tc>
        <w:tc>
          <w:tcPr>
            <w:shd w:val="clear" w:color="auto" w:fill="f2f2f2"/>
            <w:tcBorders/>
            <w:tcMar>
              <w:left w:w="90" w:type="dxa"/>
              <w:top w:w="55" w:type="dxa"/>
              <w:right w:w="90" w:type="dxa"/>
              <w:bottom w:w="55" w:type="dxa"/>
            </w:tcMar>
            <w:tcW w:w="3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Riesgo de negocio: es el primer punto en que la hipótesis «Demand-First» de O-NEG-01 puede confrontarse con uso real.</w:t>
            </w:r>
            <w:r>
              <w:rPr>
                <w:color w:val="000000" w:themeColor="text1"/>
              </w:rP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IT-04</w:t>
            </w:r>
            <w:r>
              <w:rPr>
                <w:color w:val="000000" w:themeColor="text1"/>
              </w:rPr>
            </w:r>
          </w:p>
        </w:tc>
        <w:tc>
          <w:tcPr>
            <w:shd w:val="clear" w:color="auto" w:fill="ffffff"/>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8-9</w:t>
            </w:r>
            <w:r>
              <w:rPr>
                <w:color w:val="000000" w:themeColor="text1"/>
              </w:rPr>
            </w:r>
          </w:p>
        </w:tc>
        <w:tc>
          <w:tcPr>
            <w:shd w:val="clear" w:color="auto" w:fill="ffffff"/>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Construir la publicación y el control de excedentes agrícolas, con congelamiento y liberación de inventario.</w:t>
            </w:r>
            <w:r>
              <w:rPr>
                <w:color w:val="000000" w:themeColor="text1"/>
              </w:rP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M4</w:t>
            </w:r>
            <w:r>
              <w:rPr>
                <w:color w:val="000000" w:themeColor="text1"/>
              </w:rP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PM-03</w:t>
            </w:r>
            <w:r>
              <w:rPr>
                <w:color w:val="000000" w:themeColor="text1"/>
              </w:rPr>
            </w:r>
          </w:p>
        </w:tc>
        <w:tc>
          <w:tcPr>
            <w:shd w:val="clear" w:color="auto" w:fill="ffffff"/>
            <w:tcBorders/>
            <w:tcMar>
              <w:left w:w="90" w:type="dxa"/>
              <w:top w:w="55" w:type="dxa"/>
              <w:right w:w="90" w:type="dxa"/>
              <w:bottom w:w="55" w:type="dxa"/>
            </w:tcMar>
            <w:tcW w:w="3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Un excedente publicado admite congelamiento parcial y su liberación automática transcurrido el plazo sin confirmación.</w:t>
            </w:r>
            <w:r>
              <w:rPr>
                <w:color w:val="000000" w:themeColor="text1"/>
              </w:rPr>
            </w:r>
          </w:p>
        </w:tc>
        <w:tc>
          <w:tcPr>
            <w:shd w:val="clear" w:color="auto" w:fill="ffffff"/>
            <w:tcBorders/>
            <w:tcMar>
              <w:left w:w="90" w:type="dxa"/>
              <w:top w:w="55" w:type="dxa"/>
              <w:right w:w="90" w:type="dxa"/>
              <w:bottom w:w="55" w:type="dxa"/>
            </w:tcMar>
            <w:tcW w:w="3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Riesgo de sobreventa, que es el temor explícito del productor recogido en el escenario B del concepto operacional.</w:t>
            </w:r>
            <w:r>
              <w:rPr>
                <w:color w:val="000000" w:themeColor="text1"/>
              </w:rP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IT-05</w:t>
            </w:r>
            <w:r>
              <w:rPr>
                <w:color w:val="000000" w:themeColor="text1"/>
              </w:rPr>
            </w:r>
          </w:p>
        </w:tc>
        <w:tc>
          <w:tcPr>
            <w:shd w:val="clear" w:color="auto" w:fill="f2f2f2"/>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10-11</w:t>
            </w:r>
            <w:r>
              <w:rPr>
                <w:color w:val="000000" w:themeColor="text1"/>
              </w:rPr>
            </w:r>
          </w:p>
        </w:tc>
        <w:tc>
          <w:tcPr>
            <w:shd w:val="clear" w:color="auto" w:fill="f2f2f2"/>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Construir el motor de búsqueda y filtrado multicriterio sobre la réplica de lectura.</w:t>
            </w:r>
            <w:r>
              <w:rPr>
                <w:color w:val="000000" w:themeColor="text1"/>
              </w:rP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M5</w:t>
            </w:r>
            <w:r>
              <w:rPr>
                <w:color w:val="000000" w:themeColor="text1"/>
              </w:rP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PM-04</w:t>
            </w:r>
            <w:r>
              <w:rPr>
                <w:color w:val="000000" w:themeColor="text1"/>
              </w:rPr>
            </w:r>
          </w:p>
        </w:tc>
        <w:tc>
          <w:tcPr>
            <w:shd w:val="clear" w:color="auto" w:fill="f2f2f2"/>
            <w:tcBorders/>
            <w:tcMar>
              <w:left w:w="90" w:type="dxa"/>
              <w:top w:w="55" w:type="dxa"/>
              <w:right w:w="90" w:type="dxa"/>
              <w:bottom w:w="55" w:type="dxa"/>
            </w:tcMar>
            <w:tcW w:w="3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Las consultas de filtrado se resuelven contra la réplica y los umbrales de rendimiento se miden bajo condiciones de red degradada.</w:t>
            </w:r>
            <w:r>
              <w:rPr>
                <w:color w:val="000000" w:themeColor="text1"/>
              </w:rPr>
            </w:r>
          </w:p>
        </w:tc>
        <w:tc>
          <w:tcPr>
            <w:shd w:val="clear" w:color="auto" w:fill="f2f2f2"/>
            <w:tcBorders/>
            <w:tcMar>
              <w:left w:w="90" w:type="dxa"/>
              <w:top w:w="55" w:type="dxa"/>
              <w:right w:w="90" w:type="dxa"/>
              <w:bottom w:w="55" w:type="dxa"/>
            </w:tcMar>
            <w:tcW w:w="3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Riesgo de rendimiento de la preocupación P-01. Verifica ADR-03.</w:t>
            </w:r>
            <w:r>
              <w:rPr>
                <w:color w:val="000000" w:themeColor="text1"/>
              </w:rP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IT-06</w:t>
            </w:r>
            <w:r>
              <w:rPr>
                <w:color w:val="000000" w:themeColor="text1"/>
              </w:rPr>
            </w:r>
          </w:p>
        </w:tc>
        <w:tc>
          <w:tcPr>
            <w:shd w:val="clear" w:color="auto" w:fill="ffffff"/>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12-13</w:t>
            </w:r>
            <w:r>
              <w:rPr>
                <w:color w:val="000000" w:themeColor="text1"/>
              </w:rPr>
            </w:r>
          </w:p>
        </w:tc>
        <w:tc>
          <w:tcPr>
            <w:shd w:val="clear" w:color="auto" w:fill="ffffff"/>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Construir el ciclo de cotización, contra-oferta y adjudicación, con su máquina de estados.</w:t>
            </w:r>
            <w:r>
              <w:rPr>
                <w:color w:val="000000" w:themeColor="text1"/>
              </w:rP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M6</w:t>
            </w:r>
            <w:r>
              <w:rPr>
                <w:color w:val="000000" w:themeColor="text1"/>
              </w:rP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PM-05 parcial</w:t>
            </w:r>
            <w:r>
              <w:rPr>
                <w:color w:val="000000" w:themeColor="text1"/>
              </w:rPr>
            </w:r>
          </w:p>
        </w:tc>
        <w:tc>
          <w:tcPr>
            <w:shd w:val="clear" w:color="auto" w:fill="ffffff"/>
            <w:tcBorders/>
            <w:tcMar>
              <w:left w:w="90" w:type="dxa"/>
              <w:top w:w="55" w:type="dxa"/>
              <w:right w:w="90" w:type="dxa"/>
              <w:bottom w:w="55" w:type="dxa"/>
            </w:tcMar>
            <w:tcW w:w="3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Una cotización recorre el ciclo completo hasta la adjudicación y ningún estado admite transiciones no previstas.</w:t>
            </w:r>
            <w:r>
              <w:rPr>
                <w:color w:val="000000" w:themeColor="text1"/>
              </w:rPr>
            </w:r>
          </w:p>
        </w:tc>
        <w:tc>
          <w:tcPr>
            <w:shd w:val="clear" w:color="auto" w:fill="ffffff"/>
            <w:tcBorders/>
            <w:tcMar>
              <w:left w:w="90" w:type="dxa"/>
              <w:top w:w="55" w:type="dxa"/>
              <w:right w:w="90" w:type="dxa"/>
              <w:bottom w:w="55" w:type="dxa"/>
            </w:tcMar>
            <w:tcW w:w="3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Riesgo funcional mayor: es el proceso misional sin ejecutante humano viable que justifica la existencia del sistema.</w:t>
            </w:r>
            <w:r>
              <w:rPr>
                <w:color w:val="000000" w:themeColor="text1"/>
              </w:rP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IT-07</w:t>
            </w:r>
            <w:r>
              <w:rPr>
                <w:color w:val="000000" w:themeColor="text1"/>
              </w:rPr>
            </w:r>
          </w:p>
        </w:tc>
        <w:tc>
          <w:tcPr>
            <w:shd w:val="clear" w:color="auto" w:fill="f2f2f2"/>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14-15</w:t>
            </w:r>
            <w:r>
              <w:rPr>
                <w:color w:val="000000" w:themeColor="text1"/>
              </w:rPr>
            </w:r>
          </w:p>
        </w:tc>
        <w:tc>
          <w:tcPr>
            <w:shd w:val="clear" w:color="auto" w:fill="f2f2f2"/>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Construir la mensajería interna y el sistema de alertas con su canal de reserva.</w:t>
            </w:r>
            <w:r>
              <w:rPr>
                <w:color w:val="000000" w:themeColor="text1"/>
              </w:rP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M7</w:t>
            </w:r>
            <w:r>
              <w:rPr>
                <w:color w:val="000000" w:themeColor="text1"/>
              </w:rP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PM-05 pleno</w:t>
            </w:r>
            <w:r>
              <w:rPr>
                <w:color w:val="000000" w:themeColor="text1"/>
              </w:rPr>
            </w:r>
          </w:p>
        </w:tc>
        <w:tc>
          <w:tcPr>
            <w:shd w:val="clear" w:color="auto" w:fill="f2f2f2"/>
            <w:tcBorders/>
            <w:tcMar>
              <w:left w:w="90" w:type="dxa"/>
              <w:top w:w="55" w:type="dxa"/>
              <w:right w:w="90" w:type="dxa"/>
              <w:bottom w:w="55" w:type="dxa"/>
            </w:tcMar>
            <w:tcW w:w="3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La adjudicación habilita el canal privado y dispara la notificación por el canal externo, con degradación al canal de reserva ante fallo.</w:t>
            </w:r>
            <w:r>
              <w:rPr>
                <w:color w:val="000000" w:themeColor="text1"/>
              </w:rPr>
            </w:r>
          </w:p>
        </w:tc>
        <w:tc>
          <w:tcPr>
            <w:shd w:val="clear" w:color="auto" w:fill="f2f2f2"/>
            <w:tcBorders/>
            <w:tcMar>
              <w:left w:w="90" w:type="dxa"/>
              <w:top w:w="55" w:type="dxa"/>
              <w:right w:w="90" w:type="dxa"/>
              <w:bottom w:w="55" w:type="dxa"/>
            </w:tcMar>
            <w:tcW w:w="3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R-05, ahora sobre el flujo real y no sobre la rebanada de prueba.</w:t>
            </w:r>
            <w:r>
              <w:rPr>
                <w:color w:val="000000" w:themeColor="text1"/>
              </w:rP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IT-08</w:t>
            </w:r>
            <w:r>
              <w:rPr>
                <w:color w:val="000000" w:themeColor="text1"/>
              </w:rPr>
            </w:r>
          </w:p>
        </w:tc>
        <w:tc>
          <w:tcPr>
            <w:shd w:val="clear" w:color="auto" w:fill="ffffff"/>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16-17</w:t>
            </w:r>
            <w:r>
              <w:rPr>
                <w:color w:val="000000" w:themeColor="text1"/>
              </w:rPr>
            </w:r>
          </w:p>
        </w:tc>
        <w:tc>
          <w:tcPr>
            <w:shd w:val="clear" w:color="auto" w:fill="ffffff"/>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Construir la confirmación de entrega y la evaluación de reputación bidireccional.</w:t>
            </w:r>
            <w:r>
              <w:rPr>
                <w:color w:val="000000" w:themeColor="text1"/>
              </w:rP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M8</w:t>
            </w:r>
            <w:r>
              <w:rPr>
                <w:color w:val="000000" w:themeColor="text1"/>
              </w:rP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PM-06</w:t>
            </w:r>
            <w:r>
              <w:rPr>
                <w:color w:val="000000" w:themeColor="text1"/>
              </w:rPr>
            </w:r>
          </w:p>
        </w:tc>
        <w:tc>
          <w:tcPr>
            <w:shd w:val="clear" w:color="auto" w:fill="ffffff"/>
            <w:tcBorders/>
            <w:tcMar>
              <w:left w:w="90" w:type="dxa"/>
              <w:top w:w="55" w:type="dxa"/>
              <w:right w:w="90" w:type="dxa"/>
              <w:bottom w:w="55" w:type="dxa"/>
            </w:tcMar>
            <w:tcW w:w="3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Una transacción se confirma como entregada y ambas partes emiten su evaluación, que se refleja en la reputación visible.</w:t>
            </w:r>
            <w:r>
              <w:rPr>
                <w:color w:val="000000" w:themeColor="text1"/>
              </w:rPr>
            </w:r>
          </w:p>
        </w:tc>
        <w:tc>
          <w:tcPr>
            <w:shd w:val="clear" w:color="auto" w:fill="ffffff"/>
            <w:tcBorders/>
            <w:tcMar>
              <w:left w:w="90" w:type="dxa"/>
              <w:top w:w="55" w:type="dxa"/>
              <w:right w:w="90" w:type="dxa"/>
              <w:bottom w:w="55" w:type="dxa"/>
            </w:tcMar>
            <w:tcW w:w="3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Riesgo de confianza: O-NEG-04 depende de que este mecanismo exista.</w:t>
            </w:r>
            <w:r>
              <w:rPr>
                <w:color w:val="000000" w:themeColor="text1"/>
              </w:rP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IT-09</w:t>
            </w:r>
            <w:r>
              <w:rPr>
                <w:color w:val="000000" w:themeColor="text1"/>
              </w:rPr>
            </w:r>
          </w:p>
        </w:tc>
        <w:tc>
          <w:tcPr>
            <w:shd w:val="clear" w:color="auto" w:fill="f2f2f2"/>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18-19</w:t>
            </w:r>
            <w:r>
              <w:rPr>
                <w:color w:val="000000" w:themeColor="text1"/>
              </w:rPr>
            </w:r>
          </w:p>
        </w:tc>
        <w:tc>
          <w:tcPr>
            <w:shd w:val="clear" w:color="auto" w:fill="f2f2f2"/>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Completar el módulo de administración, soporte, auditoría y privacidad.</w:t>
            </w:r>
            <w:r>
              <w:rPr>
                <w:color w:val="000000" w:themeColor="text1"/>
              </w:rP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M9 completo</w:t>
            </w:r>
            <w:r>
              <w:rPr>
                <w:color w:val="000000" w:themeColor="text1"/>
              </w:rP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PS-01 · PS-02 · PE-02 · PM-07 parcial</w:t>
            </w:r>
            <w:r>
              <w:rPr>
                <w:color w:val="000000" w:themeColor="text1"/>
              </w:rPr>
            </w:r>
          </w:p>
        </w:tc>
        <w:tc>
          <w:tcPr>
            <w:shd w:val="clear" w:color="auto" w:fill="f2f2f2"/>
            <w:tcBorders/>
            <w:tcMar>
              <w:left w:w="90" w:type="dxa"/>
              <w:top w:w="55" w:type="dxa"/>
              <w:right w:w="90" w:type="dxa"/>
              <w:bottom w:w="55" w:type="dxa"/>
            </w:tcMar>
            <w:tcW w:w="3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El soporte gestiona tickets con escalada, las disputas se instruyen y resuelven, y el consentimiento y la supresión de datos operan conforme a lo comprometido.</w:t>
            </w:r>
            <w:r>
              <w:rPr>
                <w:color w:val="000000" w:themeColor="text1"/>
              </w:rPr>
            </w:r>
          </w:p>
        </w:tc>
        <w:tc>
          <w:tcPr>
            <w:shd w:val="clear" w:color="auto" w:fill="f2f2f2"/>
            <w:tcBorders/>
            <w:tcMar>
              <w:left w:w="90" w:type="dxa"/>
              <w:top w:w="55" w:type="dxa"/>
              <w:right w:w="90" w:type="dxa"/>
              <w:bottom w:w="55" w:type="dxa"/>
            </w:tcMar>
            <w:tcW w:w="3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Riesgo de cumplimiento normativo, que si se descubriera tarde no admitiría solución rápida.</w:t>
            </w:r>
            <w:r>
              <w:rPr>
                <w:color w:val="000000" w:themeColor="text1"/>
              </w:rP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IT-10</w:t>
            </w:r>
            <w:r>
              <w:rPr>
                <w:color w:val="000000" w:themeColor="text1"/>
              </w:rPr>
            </w:r>
          </w:p>
        </w:tc>
        <w:tc>
          <w:tcPr>
            <w:shd w:val="clear" w:color="auto" w:fill="ffffff"/>
            <w:tcBorders/>
            <w:tcMar>
              <w:left w:w="90" w:type="dxa"/>
              <w:top w:w="55" w:type="dxa"/>
              <w:right w:w="90" w:type="dxa"/>
              <w:bottom w:w="55" w:type="dxa"/>
            </w:tcMar>
            <w:tcW w:w="11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20</w:t>
            </w:r>
            <w:r>
              <w:rPr>
                <w:color w:val="000000" w:themeColor="text1"/>
              </w:rPr>
            </w:r>
          </w:p>
        </w:tc>
        <w:tc>
          <w:tcPr>
            <w:shd w:val="clear" w:color="auto" w:fill="ffffff"/>
            <w:tcBorders/>
            <w:tcMar>
              <w:left w:w="90" w:type="dxa"/>
              <w:top w:w="55" w:type="dxa"/>
              <w:right w:w="90" w:type="dxa"/>
              <w:bottom w:w="55" w:type="dxa"/>
            </w:tcMar>
            <w:tcW w:w="29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Estabilizar y desplegar la versión candidata.</w:t>
            </w:r>
            <w:r>
              <w:rPr>
                <w:color w:val="000000" w:themeColor="text1"/>
              </w:rP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Todos</w:t>
            </w:r>
            <w:r>
              <w:rPr>
                <w:color w:val="000000" w:themeColor="text1"/>
              </w:rP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w:t>
            </w:r>
            <w:r>
              <w:rPr>
                <w:color w:val="000000" w:themeColor="text1"/>
              </w:rPr>
            </w:r>
          </w:p>
        </w:tc>
        <w:tc>
          <w:tcPr>
            <w:shd w:val="clear" w:color="auto" w:fill="ffffff"/>
            <w:tcBorders/>
            <w:tcMar>
              <w:left w:w="90" w:type="dxa"/>
              <w:top w:w="55" w:type="dxa"/>
              <w:right w:w="90" w:type="dxa"/>
              <w:bottom w:w="55" w:type="dxa"/>
            </w:tcMar>
            <w:tcW w:w="320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Los criterios de aceptación del conjunto del alcance comprometido se ejecutan con resultado favorable y el sistema queda desplegado y operativo.</w:t>
            </w:r>
            <w:r>
              <w:rPr>
                <w:color w:val="000000" w:themeColor="text1"/>
              </w:rPr>
            </w:r>
          </w:p>
        </w:tc>
        <w:tc>
          <w:tcPr>
            <w:shd w:val="clear" w:color="auto" w:fill="ffffff"/>
            <w:tcBorders/>
            <w:tcMar>
              <w:left w:w="90" w:type="dxa"/>
              <w:top w:w="55" w:type="dxa"/>
              <w:right w:w="90" w:type="dxa"/>
              <w:bottom w:w="55" w:type="dxa"/>
            </w:tcMar>
            <w:tcW w:w="3470" w:type="dxa"/>
            <w:vAlign w:val="top"/>
          </w:tcPr>
          <w:p>
            <w:pPr>
              <w:pBdr/>
              <w:spacing w:after="30" w:before="30" w:line="240" w:lineRule="auto"/>
              <w:ind/>
              <w:jc w:val="left"/>
              <w:rPr>
                <w:color w:val="000000" w:themeColor="text1"/>
              </w:rPr>
            </w:pPr>
            <w:r>
              <w:rPr>
                <w:rFonts w:ascii="Calibri" w:hAnsi="Calibri" w:eastAsia="Calibri" w:cs="Calibri"/>
                <w:b w:val="0"/>
                <w:bCs w:val="0"/>
                <w:color w:val="000000" w:themeColor="text1"/>
                <w:sz w:val="15"/>
                <w:szCs w:val="15"/>
              </w:rPr>
              <w:t xml:space="preserve">Riesgo de integración residual y de incumplimiento de los umbrales transversales de accesibilidad y seguridad.</w:t>
            </w:r>
            <w:r>
              <w:rPr>
                <w:color w:val="000000" w:themeColor="text1"/>
              </w:rPr>
            </w:r>
          </w:p>
        </w:tc>
      </w:tr>
    </w:tbl>
    <w:p>
      <w:pPr>
        <w:pBdr/>
        <w:spacing w:after="140"/>
        <w:ind/>
        <w:rPr>
          <w:color w:val="000000" w:themeColor="text1"/>
        </w:rPr>
      </w:pPr>
      <w:r>
        <w:rPr>
          <w:color w:val="000000" w:themeColor="text1"/>
        </w:rPr>
      </w:r>
    </w:p>
    <w:p>
      <w:pPr>
        <w:pBdr/>
        <w:spacing w:after="120" w:before="0" w:line="276" w:lineRule="auto"/>
        <w:ind/>
        <w:jc w:val="both"/>
        <w:rPr>
          <w:color w:val="000000" w:themeColor="text1"/>
        </w:rPr>
      </w:pPr>
      <w:r>
        <w:rPr>
          <w:rFonts w:ascii="Calibri" w:hAnsi="Calibri" w:eastAsia="Calibri" w:cs="Calibri"/>
          <w:b w:val="0"/>
          <w:bCs w:val="0"/>
          <w:i w:val="0"/>
          <w:iCs w:val="0"/>
          <w:color w:val="000000" w:themeColor="text1"/>
          <w:sz w:val="20"/>
          <w:szCs w:val="20"/>
        </w:rPr>
        <w:t xml:space="preserve">Dos observaciones sobre este plan. La primera es que IT-09 sitúa el cumplimiento normativo en penúltimo lugar, lo que es discutible: si la supresión programada del dato personal exigiera un cambio estructural, descubrirlo en la semana dieciocho sería tardío. Se acepta el orden porque el principio PA-06 y la decisión ADR-05 fijan la inmutabilidad de la bitácora desde IT-02, y porque el consentimiento se recoge en el registro construido en esa misma iteración; lo que IT-09 añade es la gestión y la exportación, no la estructura. La segunda es que PM-07, la liquidación y cobro de la comisión, queda cubierto solo parcialmente y por medio de la exportación de datos, en coherencia con la decisión de negocio ya declarada en el documento 1 de que el tramo de liquidación es externo al sistema.</w:t>
      </w:r>
      <w:r>
        <w:rPr>
          <w:color w:val="000000" w:themeColor="text1"/>
        </w:rPr>
      </w:r>
    </w:p>
    <w:p>
      <w:pPr>
        <w:pStyle w:val="918"/>
        <w:pBdr/>
        <w:spacing w:after="140" w:before="280"/>
        <w:ind/>
        <w:rPr>
          <w:color w:val="000000" w:themeColor="text1"/>
        </w:rPr>
      </w:pPr>
      <w:r>
        <w:rPr>
          <w:color w:val="000000" w:themeColor="text1"/>
        </w:rPr>
      </w:r>
      <w:bookmarkStart w:id="30" w:name="_Toc30"/>
      <w:r>
        <w:rPr>
          <w:rFonts w:ascii="Calibri" w:hAnsi="Calibri" w:eastAsia="Calibri" w:cs="Calibri"/>
          <w:b/>
          <w:bCs/>
          <w:color w:val="000000" w:themeColor="text1"/>
          <w:sz w:val="25"/>
          <w:szCs w:val="25"/>
        </w:rPr>
        <w:t xml:space="preserve">2.14 Anatomía de una iteración</w:t>
      </w:r>
      <w:bookmarkEnd w:id="30"/>
      <w:r>
        <w:rPr>
          <w:color w:val="000000" w:themeColor="text1"/>
        </w:rPr>
      </w:r>
    </w:p>
    <w:p>
      <w:pPr>
        <w:pBdr/>
        <w:spacing w:after="120" w:before="0" w:line="276" w:lineRule="auto"/>
        <w:ind/>
        <w:jc w:val="both"/>
        <w:rPr/>
      </w:pPr>
      <w:r>
        <w:rPr>
          <w:rFonts w:ascii="Calibri" w:hAnsi="Calibri" w:eastAsia="Calibri" w:cs="Calibri"/>
          <w:b w:val="0"/>
          <w:bCs w:val="0"/>
          <w:i w:val="0"/>
          <w:iCs w:val="0"/>
          <w:color w:val="000000" w:themeColor="text1"/>
          <w:sz w:val="22"/>
          <w:szCs w:val="22"/>
        </w:rPr>
        <w:t xml:space="preserve">Lo que ocurre dentro de una iteración no es una cascada en miniatura. La definición que el apartado 2.4 del capítulo 10 ofrece del desarrollo incremental es explícita: la definición de requisitos, el diseño, la implementación y las pruebas ocurren de forma solapada e iterativa y no secuencial, lo que da lugar a la terminación incremental del producto de software. La figura siguiente representa esa estructura y la relaciona con los procesos del ciclo de v</w:t>
      </w:r>
      <w:r>
        <w:rPr>
          <w:rFonts w:ascii="Calibri" w:hAnsi="Calibri" w:eastAsia="Calibri" w:cs="Calibri"/>
          <w:b w:val="0"/>
          <w:bCs w:val="0"/>
          <w:i w:val="0"/>
          <w:iCs w:val="0"/>
          <w:color w:val="000000"/>
          <w:sz w:val="22"/>
          <w:szCs w:val="22"/>
        </w:rPr>
        <w:t xml:space="preserve">ida que cubre.</w:t>
      </w:r>
      <w:r/>
    </w:p>
    <w:p>
      <w:pPr>
        <w:pBdr/>
        <w:spacing w:after="60" w:before="160"/>
        <w:ind/>
        <w:jc w:val="center"/>
        <w:rPr/>
      </w:pPr>
      <w:r>
        <mc:AlternateContent>
          <mc:Choice Requires="wpg">
            <w:drawing>
              <wp:inline xmlns:wp="http://schemas.openxmlformats.org/drawingml/2006/wordprocessingDrawing" distT="0" distB="0" distL="0" distR="0">
                <wp:extent cx="8572500" cy="480060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8572500" cy="4800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75.00pt;height:378.00pt;mso-wrap-distance-left:0.00pt;mso-wrap-distance-top:0.00pt;mso-wrap-distance-right:0.00pt;mso-wrap-distance-bottom:0.00pt;z-index:1;" stroked="false">
                <v:imagedata r:id="rId13" o:title=""/>
                <o:lock v:ext="edit" rotation="t"/>
              </v:shape>
            </w:pict>
          </mc:Fallback>
        </mc:AlternateContent>
      </w:r>
    </w:p>
    <w:p>
      <w:pPr>
        <w:pBdr/>
        <w:spacing w:after="240" w:before="100"/>
        <w:ind/>
        <w:jc w:val="center"/>
        <w:rPr/>
      </w:pPr>
      <w:r>
        <w:rPr>
          <w:rFonts w:ascii="Calibri" w:hAnsi="Calibri" w:eastAsia="Calibri" w:cs="Calibri"/>
          <w:b w:val="0"/>
          <w:bCs w:val="0"/>
          <w:i/>
          <w:iCs/>
          <w:color w:val="404040"/>
          <w:sz w:val="18"/>
          <w:szCs w:val="18"/>
        </w:rPr>
        <w:t xml:space="preserve">Figura 2 — Anatomía de una iteración: actividades técnicas solapadas, bucles de producto y de proceso, y procesos de ISO/IEC/IEEE 12207:2017 cubiertos en cada tramo.</w:t>
      </w:r>
      <w:r/>
    </w:p>
    <w:p>
      <w:pPr>
        <w:pBdr/>
        <w:spacing w:after="120" w:before="0" w:line="276" w:lineRule="auto"/>
        <w:ind/>
        <w:jc w:val="both"/>
        <w:rPr/>
      </w:pPr>
      <w:r>
        <w:rPr>
          <w:rFonts w:ascii="Calibri" w:hAnsi="Calibri" w:eastAsia="Calibri" w:cs="Calibri"/>
          <w:b w:val="0"/>
          <w:bCs w:val="0"/>
          <w:i w:val="0"/>
          <w:iCs w:val="0"/>
          <w:color w:val="000000"/>
          <w:sz w:val="22"/>
          <w:szCs w:val="22"/>
        </w:rPr>
        <w:t xml:space="preserve">La figura distingue dos bucles de retroalimentación que conviene no confundir, porque operan sobre objetos distintos y con consecuencias distintas.</w:t>
      </w:r>
      <w:r/>
    </w:p>
    <w:p>
      <w:pPr>
        <w:pBdr/>
        <w:spacing w:after="120" w:before="0" w:line="276" w:lineRule="auto"/>
        <w:ind/>
        <w:jc w:val="both"/>
        <w:rPr/>
      </w:pPr>
      <w:r>
        <w:rPr>
          <w:rFonts w:ascii="Calibri" w:hAnsi="Calibri" w:eastAsia="Calibri" w:cs="Calibri"/>
          <w:b w:val="0"/>
          <w:bCs w:val="0"/>
          <w:i w:val="0"/>
          <w:iCs w:val="0"/>
          <w:color w:val="000000"/>
          <w:sz w:val="22"/>
          <w:szCs w:val="22"/>
        </w:rPr>
        <w:t xml:space="preserve">El </w:t>
      </w:r>
      <w:r>
        <w:rPr>
          <w:rFonts w:ascii="Calibri" w:hAnsi="Calibri" w:eastAsia="Calibri" w:cs="Calibri"/>
          <w:b/>
          <w:bCs/>
          <w:i w:val="0"/>
          <w:iCs w:val="0"/>
          <w:color w:val="000000"/>
          <w:sz w:val="22"/>
          <w:szCs w:val="22"/>
        </w:rPr>
        <w:t xml:space="preserve">bucle de producto</w:t>
      </w:r>
      <w:r>
        <w:rPr>
          <w:rFonts w:ascii="Calibri" w:hAnsi="Calibri" w:eastAsia="Calibri" w:cs="Calibri"/>
          <w:b w:val="0"/>
          <w:bCs w:val="0"/>
          <w:i w:val="0"/>
          <w:iCs w:val="0"/>
          <w:color w:val="000000"/>
          <w:sz w:val="22"/>
          <w:szCs w:val="22"/>
        </w:rPr>
        <w:t xml:space="preserve"> parte de la revisión del incremento y regresa a la pila. Lo que circula por él son hechos sobre el producto: qué funciona, qué no se entendió bien, qué resultó más caro de lo previsto y qué necesidad nueva apareció al ver el software en ejecución. Su consecuencia es la reordenación de la pila y, cuando procede, la admisión de un cambio de requisitos gobernada por DM-09.</w:t>
      </w:r>
      <w:r/>
    </w:p>
    <w:p>
      <w:pPr>
        <w:pBdr/>
        <w:spacing w:after="120" w:before="0" w:line="276" w:lineRule="auto"/>
        <w:ind/>
        <w:jc w:val="both"/>
        <w:rPr/>
      </w:pPr>
      <w:r>
        <w:rPr>
          <w:rFonts w:ascii="Calibri" w:hAnsi="Calibri" w:eastAsia="Calibri" w:cs="Calibri"/>
          <w:b w:val="0"/>
          <w:bCs w:val="0"/>
          <w:i w:val="0"/>
          <w:iCs w:val="0"/>
          <w:color w:val="000000"/>
          <w:sz w:val="22"/>
          <w:szCs w:val="22"/>
        </w:rPr>
        <w:t xml:space="preserve">El </w:t>
      </w:r>
      <w:r>
        <w:rPr>
          <w:rFonts w:ascii="Calibri" w:hAnsi="Calibri" w:eastAsia="Calibri" w:cs="Calibri"/>
          <w:b/>
          <w:bCs/>
          <w:i w:val="0"/>
          <w:iCs w:val="0"/>
          <w:color w:val="000000"/>
          <w:sz w:val="22"/>
          <w:szCs w:val="22"/>
        </w:rPr>
        <w:t xml:space="preserve">bucle de proceso</w:t>
      </w:r>
      <w:r>
        <w:rPr>
          <w:rFonts w:ascii="Calibri" w:hAnsi="Calibri" w:eastAsia="Calibri" w:cs="Calibri"/>
          <w:b w:val="0"/>
          <w:bCs w:val="0"/>
          <w:i w:val="0"/>
          <w:iCs w:val="0"/>
          <w:color w:val="000000"/>
          <w:sz w:val="22"/>
          <w:szCs w:val="22"/>
        </w:rPr>
        <w:t xml:space="preserve"> parte de la retrospectiva y regresa a la planificación. Lo que circula por él no son hechos sobre el producto sino sobre la forma de trabajar, y su consecuencia es una modificación del propio ciclo de vida. Corresponde exactamente al proceso organizacional habilitador que la ISO/IEC/IEEE 12207:2017 denomina gestión del modelo de ciclo de vida, y es lo que impide que este documento se convierta en una declaración inmutable: el modelo aquí elegido puede y debe ajustarse, siempre que el ajuste se acuerde por escrito y quede registrado conforme a PR-05.</w:t>
      </w:r>
      <w:r/>
    </w:p>
    <w:p>
      <w:pPr>
        <w:pBdr/>
        <w:spacing/>
        <w:ind/>
        <w:rPr/>
        <w:sectPr>
          <w:footerReference w:type="default" r:id="rId10"/>
          <w:footnotePr/>
          <w:endnotePr/>
          <w:type w:val="nextPage"/>
          <w:pgSz w:h="11906" w:orient="landscape" w:w="16838"/>
          <w:pgMar w:top="1134" w:right="1134" w:bottom="1134" w:left="1134" w:header="708" w:footer="708" w:gutter="0"/>
          <w:cols w:num="1" w:sep="0" w:space="1701" w:equalWidth="1"/>
        </w:sectPr>
      </w:pPr>
      <w:r/>
    </w:p>
    <w:p>
      <w:pPr>
        <w:pStyle w:val="918"/>
        <w:pBdr/>
        <w:spacing w:after="140" w:before="280"/>
        <w:ind/>
        <w:rPr>
          <w:color w:val="000000" w:themeColor="text1"/>
        </w:rPr>
      </w:pPr>
      <w:r>
        <w:rPr>
          <w:color w:val="000000" w:themeColor="text1"/>
        </w:rPr>
      </w:r>
      <w:bookmarkStart w:id="31" w:name="_Toc31"/>
      <w:r>
        <w:rPr>
          <w:rFonts w:ascii="Calibri" w:hAnsi="Calibri" w:eastAsia="Calibri" w:cs="Calibri"/>
          <w:b/>
          <w:bCs/>
          <w:color w:val="000000" w:themeColor="text1"/>
          <w:sz w:val="25"/>
          <w:szCs w:val="25"/>
        </w:rPr>
        <w:t xml:space="preserve">2.15 Lugar del modelado en el ciclo de vida</w:t>
      </w:r>
      <w:bookmarkEnd w:id="31"/>
      <w:r>
        <w:rPr>
          <w:color w:val="000000" w:themeColor="text1"/>
        </w:rPr>
      </w:r>
    </w:p>
    <w:p>
      <w:pPr>
        <w:pBdr/>
        <w:spacing w:after="120" w:before="0" w:line="276" w:lineRule="auto"/>
        <w:ind/>
        <w:jc w:val="both"/>
        <w:rPr/>
      </w:pPr>
      <w:r>
        <w:rPr>
          <w:rFonts w:ascii="Calibri" w:hAnsi="Calibri" w:eastAsia="Calibri" w:cs="Calibri"/>
          <w:b w:val="0"/>
          <w:bCs w:val="0"/>
          <w:i w:val="0"/>
          <w:iCs w:val="0"/>
          <w:color w:val="000000"/>
          <w:sz w:val="22"/>
          <w:szCs w:val="22"/>
        </w:rPr>
        <w:t xml:space="preserve">El apartado 2.5 del documento 2 recogió un principio del SWEBOK que conviene reiterar aquí porque ahora opera en sentido inverso: la forma de especificar depende de la naturaleza del software y no del ciclo de vida utilizado, y el ciclo de vida solo determina </w:t>
      </w:r>
      <w:r>
        <w:rPr>
          <w:rFonts w:ascii="Calibri" w:hAnsi="Calibri" w:eastAsia="Calibri" w:cs="Calibri"/>
          <w:b/>
          <w:bCs/>
          <w:i w:val="0"/>
          <w:iCs w:val="0"/>
          <w:color w:val="000000"/>
          <w:sz w:val="22"/>
          <w:szCs w:val="22"/>
        </w:rPr>
        <w:t xml:space="preserve">cuándo</w:t>
      </w:r>
      <w:r>
        <w:rPr>
          <w:rFonts w:ascii="Calibri" w:hAnsi="Calibri" w:eastAsia="Calibri" w:cs="Calibri"/>
          <w:b w:val="0"/>
          <w:bCs w:val="0"/>
          <w:i w:val="0"/>
          <w:iCs w:val="0"/>
          <w:color w:val="000000"/>
          <w:sz w:val="22"/>
          <w:szCs w:val="22"/>
        </w:rPr>
        <w:t xml:space="preserve"> se completa la especificación, no cómo se escribe. Lo mismo vale para el modelado. Este documento no decide qué notación es mejor —eso corresponde al entregable siguiente, que debe justificarlo con sus propios criterios— sino cuándo se produce el modelo y con qué granularidad, que sí es una consecuencia directa del modelo de ciclo de vida elegido.</w:t>
      </w:r>
      <w:r/>
    </w:p>
    <w:p>
      <w:pPr>
        <w:pBdr/>
        <w:spacing w:after="60"/>
        <w:ind/>
        <w:rPr/>
      </w:p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2500"/>
        <w:gridCol w:w="6570"/>
      </w:tblGrid>
      <w:tr>
        <w:trPr>
          <w:tblHeader/>
        </w:trPr>
        <w:tc>
          <w:tcPr>
            <w:shd w:val="clear" w:color="auto" w:fill="dce6f1"/>
            <w:tcBorders>
              <w:top w:val="single" w:color="000000" w:sz="4" w:space="0"/>
              <w:left w:val="single" w:color="000000" w:sz="4" w:space="0"/>
              <w:bottom w:val="single" w:color="000000" w:sz="4" w:space="0"/>
              <w:right w:val="single" w:color="000000" w:sz="4" w:space="0"/>
            </w:tcBorders>
            <w:tcMar>
              <w:left w:w="90" w:type="dxa"/>
              <w:top w:w="60" w:type="dxa"/>
              <w:right w:w="90" w:type="dxa"/>
              <w:bottom w:w="60" w:type="dxa"/>
            </w:tcMar>
            <w:tcW w:w="2500" w:type="dxa"/>
            <w:vAlign w:val="center"/>
          </w:tcPr>
          <w:p>
            <w:pPr>
              <w:pBdr/>
              <w:spacing w:after="30" w:before="30" w:line="240" w:lineRule="auto"/>
              <w:ind/>
              <w:jc w:val="left"/>
              <w:rPr/>
            </w:pPr>
            <w:r>
              <w:rPr>
                <w:rFonts w:ascii="Calibri" w:hAnsi="Calibri" w:eastAsia="Calibri" w:cs="Calibri"/>
                <w:b/>
                <w:bCs/>
                <w:sz w:val="17"/>
                <w:szCs w:val="17"/>
              </w:rPr>
              <w:t xml:space="preserve">Cuestión</w:t>
            </w:r>
            <w:r/>
          </w:p>
        </w:tc>
        <w:tc>
          <w:tcPr>
            <w:shd w:val="clear" w:color="auto" w:fill="dce6f1"/>
            <w:tcBorders>
              <w:top w:val="single" w:color="000000" w:sz="4" w:space="0"/>
              <w:left w:val="single" w:color="000000" w:sz="4" w:space="0"/>
              <w:bottom w:val="single" w:color="000000" w:sz="4" w:space="0"/>
              <w:right w:val="single" w:color="000000" w:sz="4" w:space="0"/>
            </w:tcBorders>
            <w:tcMar>
              <w:left w:w="90" w:type="dxa"/>
              <w:top w:w="60" w:type="dxa"/>
              <w:right w:w="90" w:type="dxa"/>
              <w:bottom w:w="60" w:type="dxa"/>
            </w:tcMar>
            <w:tcW w:w="6570" w:type="dxa"/>
            <w:vAlign w:val="center"/>
          </w:tcPr>
          <w:p>
            <w:pPr>
              <w:pBdr/>
              <w:spacing w:after="30" w:before="30" w:line="240" w:lineRule="auto"/>
              <w:ind/>
              <w:jc w:val="left"/>
              <w:rPr/>
            </w:pPr>
            <w:r>
              <w:rPr>
                <w:rFonts w:ascii="Calibri" w:hAnsi="Calibri" w:eastAsia="Calibri" w:cs="Calibri"/>
                <w:b/>
                <w:bCs/>
                <w:sz w:val="17"/>
                <w:szCs w:val="17"/>
              </w:rPr>
              <w:t xml:space="preserve">Determinación que este documento emite</w:t>
            </w:r>
            <w:r/>
          </w:p>
        </w:tc>
      </w:tr>
      <w:tr>
        <w:trPr/>
        <w:tc>
          <w:tcPr>
            <w:shd w:val="clear" w:color="auto" w:fill="ffffff"/>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Familia de métodos</w:t>
            </w:r>
            <w:r/>
          </w:p>
        </w:tc>
        <w:tc>
          <w:tcPr>
            <w:shd w:val="clear" w:color="auto" w:fill="ffffff"/>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6570" w:type="dxa"/>
            <w:vAlign w:val="top"/>
          </w:tcPr>
          <w:p>
            <w:pPr>
              <w:pBdr/>
              <w:spacing w:after="30" w:before="30" w:line="240" w:lineRule="auto"/>
              <w:ind/>
              <w:jc w:val="left"/>
              <w:rPr/>
            </w:pPr>
            <w:r>
              <w:rPr>
                <w:rFonts w:ascii="Calibri" w:hAnsi="Calibri" w:eastAsia="Calibri" w:cs="Calibri"/>
                <w:b/>
                <w:bCs/>
                <w:sz w:val="17"/>
                <w:szCs w:val="17"/>
              </w:rPr>
              <w:t xml:space="preserve">Heurística</w:t>
            </w:r>
            <w:r>
              <w:rPr>
                <w:rFonts w:ascii="Calibri" w:hAnsi="Calibri" w:eastAsia="Calibri" w:cs="Calibri"/>
                <w:b w:val="0"/>
                <w:bCs w:val="0"/>
                <w:sz w:val="17"/>
                <w:szCs w:val="17"/>
              </w:rPr>
              <w:t xml:space="preserve">, en la clasificación del apartado 4 del capítulo 11 del SWEBOK, y dentro de ella los métodos de análisis y diseño orientado a objetos. Se descartan los métodos formales conforme al factor 3 de los trece factores de decisión ya aplicados en el documento 2: no hay riesgo para la vida humana y el riesgo económico es acotado, de modo que el costo de una notación formal no se justifica.</w:t>
            </w:r>
            <w:r/>
          </w:p>
        </w:tc>
      </w:tr>
      <w:tr>
        <w:trPr/>
        <w:tc>
          <w:tcPr>
            <w:shd w:val="clear" w:color="auto" w:fill="f2f2f2"/>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Granularidad temporal</w:t>
            </w:r>
            <w:r/>
          </w:p>
        </w:tc>
        <w:tc>
          <w:tcPr>
            <w:shd w:val="clear" w:color="auto" w:fill="f2f2f2"/>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6570" w:type="dxa"/>
            <w:vAlign w:val="top"/>
          </w:tcPr>
          <w:p>
            <w:pPr>
              <w:pBdr/>
              <w:spacing w:after="30" w:before="30" w:line="240" w:lineRule="auto"/>
              <w:ind/>
              <w:jc w:val="left"/>
              <w:rPr/>
            </w:pPr>
            <w:r>
              <w:rPr>
                <w:rFonts w:ascii="Calibri" w:hAnsi="Calibri" w:eastAsia="Calibri" w:cs="Calibri"/>
                <w:b w:val="0"/>
                <w:bCs w:val="0"/>
                <w:sz w:val="17"/>
                <w:szCs w:val="17"/>
              </w:rPr>
              <w:t xml:space="preserve">Los modelos se producen </w:t>
            </w:r>
            <w:r>
              <w:rPr>
                <w:rFonts w:ascii="Calibri" w:hAnsi="Calibri" w:eastAsia="Calibri" w:cs="Calibri"/>
                <w:b/>
                <w:bCs/>
                <w:sz w:val="17"/>
                <w:szCs w:val="17"/>
              </w:rPr>
              <w:t xml:space="preserve">por incremento y no en su totalidad por adelantado</w:t>
            </w:r>
            <w:r>
              <w:rPr>
                <w:rFonts w:ascii="Calibri" w:hAnsi="Calibri" w:eastAsia="Calibri" w:cs="Calibri"/>
                <w:b w:val="0"/>
                <w:bCs w:val="0"/>
                <w:sz w:val="17"/>
                <w:szCs w:val="17"/>
              </w:rPr>
              <w:t xml:space="preserve">. Es la consecuencia directa del paradigma incremental: si el diseño se solapa con la construcción y con la verificación, un cuerpo de modelos completo previo a toda construcción sería un artefacto que envejecería antes de usarse.</w:t>
            </w:r>
            <w:r/>
          </w:p>
        </w:tc>
      </w:tr>
      <w:tr>
        <w:trPr/>
        <w:tc>
          <w:tcPr>
            <w:shd w:val="clear" w:color="auto" w:fill="ffffff"/>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Orden interno</w:t>
            </w:r>
            <w:r/>
          </w:p>
        </w:tc>
        <w:tc>
          <w:tcPr>
            <w:shd w:val="clear" w:color="auto" w:fill="ffffff"/>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6570" w:type="dxa"/>
            <w:vAlign w:val="top"/>
          </w:tcPr>
          <w:p>
            <w:pPr>
              <w:pBdr/>
              <w:spacing w:after="30" w:before="30" w:line="240" w:lineRule="auto"/>
              <w:ind/>
              <w:jc w:val="left"/>
              <w:rPr/>
            </w:pPr>
            <w:r>
              <w:rPr>
                <w:rFonts w:ascii="Calibri" w:hAnsi="Calibri" w:eastAsia="Calibri" w:cs="Calibri"/>
                <w:b w:val="0"/>
                <w:bCs w:val="0"/>
                <w:sz w:val="17"/>
                <w:szCs w:val="17"/>
              </w:rPr>
              <w:t xml:space="preserve">Dentro de cada iteración, los modelos de análisis preceden a los de diseño, en el sentido de que describen el problema antes de comprometer la solución. La precedencia es lógica y no cronológica: ambos se refinan mutuamente, como representa la figura 2.</w:t>
            </w:r>
            <w:r/>
          </w:p>
        </w:tc>
      </w:tr>
      <w:tr>
        <w:trPr/>
        <w:tc>
          <w:tcPr>
            <w:shd w:val="clear" w:color="auto" w:fill="f2f2f2"/>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Alcance acumulado</w:t>
            </w:r>
            <w:r/>
          </w:p>
        </w:tc>
        <w:tc>
          <w:tcPr>
            <w:shd w:val="clear" w:color="auto" w:fill="f2f2f2"/>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6570" w:type="dxa"/>
            <w:vAlign w:val="top"/>
          </w:tcPr>
          <w:p>
            <w:pPr>
              <w:pBdr/>
              <w:spacing w:after="30" w:before="30" w:line="240" w:lineRule="auto"/>
              <w:ind/>
              <w:jc w:val="left"/>
              <w:rPr/>
            </w:pPr>
            <w:r>
              <w:rPr>
                <w:rFonts w:ascii="Calibri" w:hAnsi="Calibri" w:eastAsia="Calibri" w:cs="Calibri"/>
                <w:b w:val="0"/>
                <w:bCs w:val="0"/>
                <w:sz w:val="17"/>
                <w:szCs w:val="17"/>
              </w:rPr>
              <w:t xml:space="preserve">Al término de IT-09 el conjunto de modelos debe cubrir los nueve módulos. Cada iteración añade los correspondientes a su alcance y revisa los previos que su construcción haya desmentido.</w:t>
            </w:r>
            <w:r/>
          </w:p>
        </w:tc>
      </w:tr>
      <w:tr>
        <w:trPr/>
        <w:tc>
          <w:tcPr>
            <w:shd w:val="clear" w:color="auto" w:fill="ffffff"/>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Prototipado</w:t>
            </w:r>
            <w:r/>
          </w:p>
        </w:tc>
        <w:tc>
          <w:tcPr>
            <w:shd w:val="clear" w:color="auto" w:fill="ffffff"/>
            <w:tcBorders>
              <w:top w:val="single" w:color="000000" w:sz="4" w:space="0"/>
              <w:left w:val="single" w:color="000000" w:sz="4" w:space="0"/>
              <w:bottom w:val="single" w:color="000000" w:sz="4" w:space="0"/>
              <w:right w:val="single" w:color="000000" w:sz="4" w:space="0"/>
            </w:tcBorders>
            <w:tcMar>
              <w:left w:w="90" w:type="dxa"/>
              <w:top w:w="55" w:type="dxa"/>
              <w:right w:w="90" w:type="dxa"/>
              <w:bottom w:w="55" w:type="dxa"/>
            </w:tcMar>
            <w:tcW w:w="6570" w:type="dxa"/>
            <w:vAlign w:val="top"/>
          </w:tcPr>
          <w:p>
            <w:pPr>
              <w:pBdr/>
              <w:spacing w:after="30" w:before="30" w:line="240" w:lineRule="auto"/>
              <w:ind/>
              <w:jc w:val="left"/>
              <w:rPr/>
            </w:pPr>
            <w:r>
              <w:rPr>
                <w:rFonts w:ascii="Calibri" w:hAnsi="Calibri" w:eastAsia="Calibri" w:cs="Calibri"/>
                <w:b w:val="0"/>
                <w:bCs w:val="0"/>
                <w:sz w:val="17"/>
                <w:szCs w:val="17"/>
              </w:rPr>
              <w:t xml:space="preserve">Se emplea como </w:t>
            </w:r>
            <w:r>
              <w:rPr>
                <w:rFonts w:ascii="Calibri" w:hAnsi="Calibri" w:eastAsia="Calibri" w:cs="Calibri"/>
                <w:b/>
                <w:bCs/>
                <w:sz w:val="17"/>
                <w:szCs w:val="17"/>
              </w:rPr>
              <w:t xml:space="preserve">técnica local y no como modelo de ciclo de vida</w:t>
            </w:r>
            <w:r>
              <w:rPr>
                <w:rFonts w:ascii="Calibri" w:hAnsi="Calibri" w:eastAsia="Calibri" w:cs="Calibri"/>
                <w:b w:val="0"/>
                <w:bCs w:val="0"/>
                <w:sz w:val="17"/>
                <w:szCs w:val="17"/>
              </w:rPr>
              <w:t xml:space="preserve">, en los términos del apartado 4.3 del capítulo 11. Su objetivo son los flujos de registro y de publicación, por exigencia de RO-06, que declara alfabetización digital baja en parte del público objetivo. Los prototipos son </w:t>
            </w:r>
            <w:r>
              <w:rPr>
                <w:rFonts w:ascii="Calibri" w:hAnsi="Calibri" w:eastAsia="Calibri" w:cs="Calibri"/>
                <w:b/>
                <w:bCs/>
                <w:sz w:val="17"/>
                <w:szCs w:val="17"/>
              </w:rPr>
              <w:t xml:space="preserve">desechables</w:t>
            </w:r>
            <w:r>
              <w:rPr>
                <w:rFonts w:ascii="Calibri" w:hAnsi="Calibri" w:eastAsia="Calibri" w:cs="Calibri"/>
                <w:b w:val="0"/>
                <w:bCs w:val="0"/>
                <w:sz w:val="17"/>
                <w:szCs w:val="17"/>
              </w:rPr>
              <w:t xml:space="preserve"> y así se declaran de antemano, precisamente por la advertencia de la fuente de que el prototipo no suele llegar a producto final sin una reelaboración considerable.</w:t>
            </w:r>
            <w:r/>
          </w:p>
        </w:tc>
      </w:tr>
    </w:tbl>
    <w:p>
      <w:pPr>
        <w:pBdr/>
        <w:spacing w:after="120" w:before="0" w:line="276" w:lineRule="auto"/>
        <w:ind/>
        <w:jc w:val="both"/>
        <w:rPr/>
      </w:pPr>
      <w:r>
        <w:rPr>
          <w:rFonts w:ascii="Calibri" w:hAnsi="Calibri" w:eastAsia="Calibri" w:cs="Calibri"/>
          <w:b w:val="0"/>
          <w:bCs w:val="0"/>
          <w:i w:val="0"/>
          <w:iCs w:val="0"/>
          <w:color w:val="000000"/>
          <w:sz w:val="22"/>
          <w:szCs w:val="22"/>
        </w:rPr>
        <w:t xml:space="preserve">De esta sección se desprende una obligación para el entregable siguiente, que este documento emite y aquel debe honrar: los modelos que produzca han de ser trazables a los requisitos del catálogo y asignables a alguna de las iteraciones de la sección 2.13. Un modelo que no pueda situarse en ninguna iteración describiría un sistema que este ciclo de vida no construye.</w:t>
      </w:r>
      <w:r/>
    </w:p>
    <w:p>
      <w:pPr>
        <w:pStyle w:val="918"/>
        <w:pBdr/>
        <w:spacing w:after="140" w:before="280"/>
        <w:ind/>
        <w:rPr>
          <w:color w:val="000000" w:themeColor="text1"/>
        </w:rPr>
      </w:pPr>
      <w:r>
        <w:rPr>
          <w:color w:val="000000" w:themeColor="text1"/>
        </w:rPr>
      </w:r>
      <w:bookmarkStart w:id="32" w:name="_Toc32"/>
      <w:r>
        <w:rPr>
          <w:rFonts w:ascii="Calibri" w:hAnsi="Calibri" w:eastAsia="Calibri" w:cs="Calibri"/>
          <w:b/>
          <w:bCs/>
          <w:color w:val="000000" w:themeColor="text1"/>
          <w:sz w:val="25"/>
          <w:szCs w:val="25"/>
        </w:rPr>
        <w:t xml:space="preserve">2.16 Gestión de la configuración y del cambio</w:t>
      </w:r>
      <w:bookmarkEnd w:id="32"/>
      <w:r>
        <w:rPr>
          <w:color w:val="000000" w:themeColor="text1"/>
        </w:rPr>
      </w:r>
    </w:p>
    <w:p>
      <w:pPr>
        <w:pBdr/>
        <w:spacing w:after="120" w:before="0" w:line="276" w:lineRule="auto"/>
        <w:ind/>
        <w:jc w:val="both"/>
        <w:rPr/>
      </w:pPr>
      <w:r>
        <w:rPr>
          <w:rFonts w:ascii="Calibri" w:hAnsi="Calibri" w:eastAsia="Calibri" w:cs="Calibri"/>
          <w:b w:val="0"/>
          <w:bCs w:val="0"/>
          <w:i w:val="0"/>
          <w:iCs w:val="0"/>
          <w:color w:val="000000"/>
          <w:sz w:val="22"/>
          <w:szCs w:val="22"/>
        </w:rPr>
        <w:t xml:space="preserve">La gestión de la configuración es, en la clasificación de la ISO/IEC/IEEE 12207:2017, un proceso de gestión técnica, y el apartado 2.10 del capítulo 10 del SWEBOK la sitúa entre las automatizaciones que hoy se consideran esenciales para un ciclo de vida exitoso. En un equipo de dos personas que trabaja de forma asíncrona, su función no es ceremonial: es el único mecanismo que garantiza que ambas personas operan sobre el mismo estado del sistema.</w:t>
      </w:r>
      <w:r/>
    </w:p>
    <w:p>
      <w:pPr>
        <w:pBdr/>
        <w:spacing w:after="60"/>
        <w:ind/>
        <w:rPr/>
      </w:p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2300"/>
        <w:gridCol w:w="6770"/>
      </w:tblGrid>
      <w:tr>
        <w:trPr>
          <w:tblHeader/>
        </w:trPr>
        <w:tc>
          <w:tcPr>
            <w:shd w:val="clear" w:color="auto" w:fill="dce6f1"/>
            <w:tcBorders/>
            <w:tcMar>
              <w:left w:w="90" w:type="dxa"/>
              <w:top w:w="60" w:type="dxa"/>
              <w:right w:w="90" w:type="dxa"/>
              <w:bottom w:w="60" w:type="dxa"/>
            </w:tcMar>
            <w:tcW w:w="2300" w:type="dxa"/>
            <w:vAlign w:val="center"/>
          </w:tcPr>
          <w:p>
            <w:pPr>
              <w:pBdr/>
              <w:spacing w:after="30" w:before="30" w:line="240" w:lineRule="auto"/>
              <w:ind/>
              <w:jc w:val="left"/>
              <w:rPr/>
            </w:pPr>
            <w:r>
              <w:rPr>
                <w:rFonts w:ascii="Calibri" w:hAnsi="Calibri" w:eastAsia="Calibri" w:cs="Calibri"/>
                <w:b/>
                <w:bCs/>
                <w:sz w:val="17"/>
                <w:szCs w:val="17"/>
              </w:rPr>
              <w:t xml:space="preserve">Elemento</w:t>
            </w:r>
            <w:r/>
          </w:p>
        </w:tc>
        <w:tc>
          <w:tcPr>
            <w:shd w:val="clear" w:color="auto" w:fill="dce6f1"/>
            <w:tcBorders/>
            <w:tcMar>
              <w:left w:w="90" w:type="dxa"/>
              <w:top w:w="60" w:type="dxa"/>
              <w:right w:w="90" w:type="dxa"/>
              <w:bottom w:w="60" w:type="dxa"/>
            </w:tcMar>
            <w:tcW w:w="6770" w:type="dxa"/>
            <w:vAlign w:val="center"/>
          </w:tcPr>
          <w:p>
            <w:pPr>
              <w:pBdr/>
              <w:spacing w:after="30" w:before="30" w:line="240" w:lineRule="auto"/>
              <w:ind/>
              <w:jc w:val="left"/>
              <w:rPr/>
            </w:pPr>
            <w:r>
              <w:rPr>
                <w:rFonts w:ascii="Calibri" w:hAnsi="Calibri" w:eastAsia="Calibri" w:cs="Calibri"/>
                <w:b/>
                <w:bCs/>
                <w:sz w:val="17"/>
                <w:szCs w:val="17"/>
              </w:rPr>
              <w:t xml:space="preserve">Determinación</w:t>
            </w:r>
            <w:r/>
          </w:p>
        </w:tc>
      </w:tr>
      <w:tr>
        <w:trPr/>
        <w:tc>
          <w:tcPr>
            <w:shd w:val="clear" w:color="auto" w:fill="ffffff"/>
            <w:tcBorders/>
            <w:tcMar>
              <w:left w:w="90" w:type="dxa"/>
              <w:top w:w="55" w:type="dxa"/>
              <w:right w:w="90" w:type="dxa"/>
              <w:bottom w:w="55" w:type="dxa"/>
            </w:tcMar>
            <w:tcW w:w="2300" w:type="dxa"/>
            <w:vAlign w:val="top"/>
          </w:tcPr>
          <w:p>
            <w:pPr>
              <w:pBdr/>
              <w:spacing w:after="30" w:before="30" w:line="240" w:lineRule="auto"/>
              <w:ind/>
              <w:jc w:val="left"/>
              <w:rPr/>
            </w:pPr>
            <w:r>
              <w:rPr>
                <w:rFonts w:ascii="Calibri" w:hAnsi="Calibri" w:eastAsia="Calibri" w:cs="Calibri"/>
                <w:b w:val="0"/>
                <w:bCs w:val="0"/>
                <w:sz w:val="17"/>
                <w:szCs w:val="17"/>
              </w:rPr>
              <w:t xml:space="preserve">Elementos bajo control</w:t>
            </w:r>
            <w:r/>
          </w:p>
        </w:tc>
        <w:tc>
          <w:tcPr>
            <w:shd w:val="clear" w:color="auto" w:fill="ffffff"/>
            <w:tcBorders/>
            <w:tcMar>
              <w:left w:w="90" w:type="dxa"/>
              <w:top w:w="55" w:type="dxa"/>
              <w:right w:w="90" w:type="dxa"/>
              <w:bottom w:w="55" w:type="dxa"/>
            </w:tcMar>
            <w:tcW w:w="6770" w:type="dxa"/>
            <w:vAlign w:val="top"/>
          </w:tcPr>
          <w:p>
            <w:pPr>
              <w:pBdr/>
              <w:spacing w:after="30" w:before="30" w:line="240" w:lineRule="auto"/>
              <w:ind/>
              <w:jc w:val="left"/>
              <w:rPr/>
            </w:pPr>
            <w:r>
              <w:rPr>
                <w:rFonts w:ascii="Calibri" w:hAnsi="Calibri" w:eastAsia="Calibri" w:cs="Calibri"/>
                <w:b w:val="0"/>
                <w:bCs w:val="0"/>
                <w:sz w:val="17"/>
                <w:szCs w:val="17"/>
              </w:rPr>
              <w:t xml:space="preserve">Código fuente, contratos de interfaz, guiones de migración del esquema de datos, configuración de la integración continua, los modelos del entregable 5 y el registro de decisiones de PR-11. Los documentos 1 a 4 se incorporan al mismo control al iniciarse IT-00.</w:t>
            </w:r>
            <w:r/>
          </w:p>
        </w:tc>
      </w:tr>
      <w:tr>
        <w:trPr/>
        <w:tc>
          <w:tcPr>
            <w:shd w:val="clear" w:color="auto" w:fill="f2f2f2"/>
            <w:tcBorders/>
            <w:tcMar>
              <w:left w:w="90" w:type="dxa"/>
              <w:top w:w="55" w:type="dxa"/>
              <w:right w:w="90" w:type="dxa"/>
              <w:bottom w:w="55" w:type="dxa"/>
            </w:tcMar>
            <w:tcW w:w="2300" w:type="dxa"/>
            <w:vAlign w:val="top"/>
          </w:tcPr>
          <w:p>
            <w:pPr>
              <w:pBdr/>
              <w:spacing w:after="30" w:before="30" w:line="240" w:lineRule="auto"/>
              <w:ind/>
              <w:jc w:val="left"/>
              <w:rPr/>
            </w:pPr>
            <w:r>
              <w:rPr>
                <w:rFonts w:ascii="Calibri" w:hAnsi="Calibri" w:eastAsia="Calibri" w:cs="Calibri"/>
                <w:b w:val="0"/>
                <w:bCs w:val="0"/>
                <w:sz w:val="17"/>
                <w:szCs w:val="17"/>
              </w:rPr>
              <w:t xml:space="preserve">Estrategia de ramas</w:t>
            </w:r>
            <w:r/>
          </w:p>
        </w:tc>
        <w:tc>
          <w:tcPr>
            <w:shd w:val="clear" w:color="auto" w:fill="f2f2f2"/>
            <w:tcBorders/>
            <w:tcMar>
              <w:left w:w="90" w:type="dxa"/>
              <w:top w:w="55" w:type="dxa"/>
              <w:right w:w="90" w:type="dxa"/>
              <w:bottom w:w="55" w:type="dxa"/>
            </w:tcMar>
            <w:tcW w:w="6770" w:type="dxa"/>
            <w:vAlign w:val="top"/>
          </w:tcPr>
          <w:p>
            <w:pPr>
              <w:pBdr/>
              <w:spacing w:after="30" w:before="30" w:line="240" w:lineRule="auto"/>
              <w:ind/>
              <w:jc w:val="left"/>
              <w:rPr/>
            </w:pPr>
            <w:r>
              <w:rPr>
                <w:rFonts w:ascii="Calibri" w:hAnsi="Calibri" w:eastAsia="Calibri" w:cs="Calibri"/>
                <w:b w:val="0"/>
                <w:bCs w:val="0"/>
                <w:sz w:val="17"/>
                <w:szCs w:val="17"/>
              </w:rPr>
              <w:t xml:space="preserve">Ramas de vida corta, integradas en la rama principal en plazo no superior a dos días. Una rama longeva reintroduce, dentro del equipo, el problema de integración tardía que el modelo incremental existe para evitar.</w:t>
            </w:r>
            <w:r/>
          </w:p>
        </w:tc>
      </w:tr>
      <w:tr>
        <w:trPr/>
        <w:tc>
          <w:tcPr>
            <w:shd w:val="clear" w:color="auto" w:fill="ffffff"/>
            <w:tcBorders/>
            <w:tcMar>
              <w:left w:w="90" w:type="dxa"/>
              <w:top w:w="55" w:type="dxa"/>
              <w:right w:w="90" w:type="dxa"/>
              <w:bottom w:w="55" w:type="dxa"/>
            </w:tcMar>
            <w:tcW w:w="2300" w:type="dxa"/>
            <w:vAlign w:val="top"/>
          </w:tcPr>
          <w:p>
            <w:pPr>
              <w:pBdr/>
              <w:spacing w:after="30" w:before="30" w:line="240" w:lineRule="auto"/>
              <w:ind/>
              <w:jc w:val="left"/>
              <w:rPr/>
            </w:pPr>
            <w:r>
              <w:rPr>
                <w:rFonts w:ascii="Calibri" w:hAnsi="Calibri" w:eastAsia="Calibri" w:cs="Calibri"/>
                <w:b w:val="0"/>
                <w:bCs w:val="0"/>
                <w:sz w:val="17"/>
                <w:szCs w:val="17"/>
              </w:rPr>
              <w:t xml:space="preserve">Identificación de versiones</w:t>
            </w:r>
            <w:r/>
          </w:p>
        </w:tc>
        <w:tc>
          <w:tcPr>
            <w:shd w:val="clear" w:color="auto" w:fill="ffffff"/>
            <w:tcBorders/>
            <w:tcMar>
              <w:left w:w="90" w:type="dxa"/>
              <w:top w:w="55" w:type="dxa"/>
              <w:right w:w="90" w:type="dxa"/>
              <w:bottom w:w="55" w:type="dxa"/>
            </w:tcMar>
            <w:tcW w:w="6770" w:type="dxa"/>
            <w:vAlign w:val="top"/>
          </w:tcPr>
          <w:p>
            <w:pPr>
              <w:pBdr/>
              <w:spacing w:after="30" w:before="30" w:line="240" w:lineRule="auto"/>
              <w:ind/>
              <w:jc w:val="left"/>
              <w:rPr/>
            </w:pPr>
            <w:r>
              <w:rPr>
                <w:rFonts w:ascii="Calibri" w:hAnsi="Calibri" w:eastAsia="Calibri" w:cs="Calibri"/>
                <w:b w:val="0"/>
                <w:bCs w:val="0"/>
                <w:sz w:val="17"/>
                <w:szCs w:val="17"/>
              </w:rPr>
              <w:t xml:space="preserve">Cada incremento cerrado recibe una identificación única y persistente que lo asocia a su iteración. Los identificadores de requisito no se reasignan nunca, conforme al atributo de identificación del apartado 5.2.8 de ISO/IEC/IEEE 29148:2011 ya adoptado en el documento 2.</w:t>
            </w:r>
            <w:r/>
          </w:p>
        </w:tc>
      </w:tr>
      <w:tr>
        <w:trPr/>
        <w:tc>
          <w:tcPr>
            <w:shd w:val="clear" w:color="auto" w:fill="f2f2f2"/>
            <w:tcBorders/>
            <w:tcMar>
              <w:left w:w="90" w:type="dxa"/>
              <w:top w:w="55" w:type="dxa"/>
              <w:right w:w="90" w:type="dxa"/>
              <w:bottom w:w="55" w:type="dxa"/>
            </w:tcMar>
            <w:tcW w:w="2300" w:type="dxa"/>
            <w:vAlign w:val="top"/>
          </w:tcPr>
          <w:p>
            <w:pPr>
              <w:pBdr/>
              <w:spacing w:after="30" w:before="30" w:line="240" w:lineRule="auto"/>
              <w:ind/>
              <w:jc w:val="left"/>
              <w:rPr/>
            </w:pPr>
            <w:r>
              <w:rPr>
                <w:rFonts w:ascii="Calibri" w:hAnsi="Calibri" w:eastAsia="Calibri" w:cs="Calibri"/>
                <w:b w:val="0"/>
                <w:bCs w:val="0"/>
                <w:sz w:val="17"/>
                <w:szCs w:val="17"/>
              </w:rPr>
              <w:t xml:space="preserve">Gobierno del cambio de requisitos</w:t>
            </w:r>
            <w:r/>
          </w:p>
        </w:tc>
        <w:tc>
          <w:tcPr>
            <w:shd w:val="clear" w:color="auto" w:fill="f2f2f2"/>
            <w:tcBorders/>
            <w:tcMar>
              <w:left w:w="90" w:type="dxa"/>
              <w:top w:w="55" w:type="dxa"/>
              <w:right w:w="90" w:type="dxa"/>
              <w:bottom w:w="55" w:type="dxa"/>
            </w:tcMar>
            <w:tcW w:w="6770" w:type="dxa"/>
            <w:vAlign w:val="top"/>
          </w:tcPr>
          <w:p>
            <w:pPr>
              <w:pBdr/>
              <w:spacing w:after="30" w:before="30" w:line="240" w:lineRule="auto"/>
              <w:ind/>
              <w:jc w:val="left"/>
              <w:rPr/>
            </w:pPr>
            <w:r>
              <w:rPr>
                <w:rFonts w:ascii="Calibri" w:hAnsi="Calibri" w:eastAsia="Calibri" w:cs="Calibri"/>
                <w:b w:val="0"/>
                <w:bCs w:val="0"/>
                <w:sz w:val="17"/>
                <w:szCs w:val="17"/>
              </w:rPr>
              <w:t xml:space="preserve">Regla de intercambio de DM-09. Todo cambio admitido se traza a un objetivo O-StRS, se repriorizan sus consecuencias en la pila y desplaza a un elemento de prioridad igual o inferior. Los cambios y sus contrapartidas se registran y se cuentan mediante MT-08.</w:t>
            </w:r>
            <w:r/>
          </w:p>
        </w:tc>
      </w:tr>
      <w:tr>
        <w:trPr/>
        <w:tc>
          <w:tcPr>
            <w:shd w:val="clear" w:color="auto" w:fill="ffffff"/>
            <w:tcBorders/>
            <w:tcMar>
              <w:left w:w="90" w:type="dxa"/>
              <w:top w:w="55" w:type="dxa"/>
              <w:right w:w="90" w:type="dxa"/>
              <w:bottom w:w="55" w:type="dxa"/>
            </w:tcMar>
            <w:tcW w:w="2300" w:type="dxa"/>
            <w:vAlign w:val="top"/>
          </w:tcPr>
          <w:p>
            <w:pPr>
              <w:pBdr/>
              <w:spacing w:after="30" w:before="30" w:line="240" w:lineRule="auto"/>
              <w:ind/>
              <w:jc w:val="left"/>
              <w:rPr/>
            </w:pPr>
            <w:r>
              <w:rPr>
                <w:rFonts w:ascii="Calibri" w:hAnsi="Calibri" w:eastAsia="Calibri" w:cs="Calibri"/>
                <w:b w:val="0"/>
                <w:bCs w:val="0"/>
                <w:sz w:val="17"/>
                <w:szCs w:val="17"/>
              </w:rPr>
              <w:t xml:space="preserve">Versionado de la especificación</w:t>
            </w:r>
            <w:r/>
          </w:p>
        </w:tc>
        <w:tc>
          <w:tcPr>
            <w:shd w:val="clear" w:color="auto" w:fill="ffffff"/>
            <w:tcBorders/>
            <w:tcMar>
              <w:left w:w="90" w:type="dxa"/>
              <w:top w:w="55" w:type="dxa"/>
              <w:right w:w="90" w:type="dxa"/>
              <w:bottom w:w="55" w:type="dxa"/>
            </w:tcMar>
            <w:tcW w:w="6770" w:type="dxa"/>
            <w:vAlign w:val="top"/>
          </w:tcPr>
          <w:p>
            <w:pPr>
              <w:pBdr/>
              <w:spacing w:after="30" w:before="30" w:line="240" w:lineRule="auto"/>
              <w:ind/>
              <w:jc w:val="left"/>
              <w:rPr/>
            </w:pPr>
            <w:r>
              <w:rPr>
                <w:rFonts w:ascii="Calibri" w:hAnsi="Calibri" w:eastAsia="Calibri" w:cs="Calibri"/>
                <w:b w:val="0"/>
                <w:bCs w:val="0"/>
                <w:sz w:val="17"/>
                <w:szCs w:val="17"/>
              </w:rPr>
              <w:t xml:space="preserve">El documento 2 emite versiones menores incrementales y versiones mayores integrales, conforme a la estrategia híbrida que él mismo declara. Los cambios admitidos durante la construcción se acumulan y se emiten como versión menor, sin reabrir el documento en cada iteración.</w:t>
            </w:r>
            <w:r/>
          </w:p>
        </w:tc>
      </w:tr>
    </w:tbl>
    <w:p>
      <w:pPr>
        <w:pStyle w:val="918"/>
        <w:pBdr/>
        <w:spacing w:after="140" w:before="280"/>
        <w:ind/>
        <w:rPr>
          <w:color w:val="000000" w:themeColor="text1"/>
        </w:rPr>
      </w:pPr>
      <w:r>
        <w:rPr>
          <w:color w:val="000000" w:themeColor="text1"/>
        </w:rPr>
      </w:r>
      <w:bookmarkStart w:id="33" w:name="_Toc33"/>
      <w:r>
        <w:rPr>
          <w:rFonts w:ascii="Calibri" w:hAnsi="Calibri" w:eastAsia="Calibri" w:cs="Calibri"/>
          <w:b/>
          <w:bCs/>
          <w:color w:val="000000" w:themeColor="text1"/>
          <w:sz w:val="25"/>
          <w:szCs w:val="25"/>
        </w:rPr>
        <w:t xml:space="preserve">2.17 Medición, monitoreo y mejora del proceso</w:t>
      </w:r>
      <w:bookmarkEnd w:id="33"/>
      <w:r>
        <w:rPr>
          <w:color w:val="000000" w:themeColor="text1"/>
        </w:rPr>
      </w:r>
    </w:p>
    <w:p>
      <w:pPr>
        <w:pBdr/>
        <w:spacing w:after="120" w:before="0" w:line="276" w:lineRule="auto"/>
        <w:ind/>
        <w:jc w:val="both"/>
        <w:rPr/>
      </w:pPr>
      <w:r>
        <w:rPr>
          <w:rFonts w:ascii="Calibri" w:hAnsi="Calibri" w:eastAsia="Calibri" w:cs="Calibri"/>
          <w:b w:val="0"/>
          <w:bCs w:val="0"/>
          <w:i w:val="0"/>
          <w:iCs w:val="0"/>
          <w:color w:val="000000"/>
          <w:sz w:val="22"/>
          <w:szCs w:val="22"/>
        </w:rPr>
        <w:t xml:space="preserve">El apartado 2.11 del capítulo 10 establece que el equipo debe monitorear la ejecución del proceso, evaluar si se cumplen los objetivos y evaluar los riesgos, y que ese monitoreo requiere evaluar tanto el proceso como el producto de forma conjunta. El apartado 3 del mismo capítulo añade el marco de mejora: el ciclo Plan-Do-Check-Act y el enfoque de metas, preguntas y métricas.</w:t>
      </w:r>
      <w:r/>
    </w:p>
    <w:p>
      <w:pPr>
        <w:pBdr/>
        <w:spacing w:after="120" w:before="0" w:line="276" w:lineRule="auto"/>
        <w:ind/>
        <w:jc w:val="both"/>
        <w:rPr/>
      </w:pPr>
      <w:r>
        <w:rPr>
          <w:rFonts w:ascii="Calibri" w:hAnsi="Calibri" w:eastAsia="Calibri" w:cs="Calibri"/>
          <w:b w:val="0"/>
          <w:bCs w:val="0"/>
          <w:i w:val="0"/>
          <w:iCs w:val="0"/>
          <w:color w:val="000000"/>
          <w:sz w:val="22"/>
          <w:szCs w:val="22"/>
        </w:rPr>
        <w:t xml:space="preserve">Las métricas siguientes se estructuran conforme a ese enfoque, y una decisión deliberada las gobierna: </w:t>
      </w:r>
      <w:r>
        <w:rPr>
          <w:rFonts w:ascii="Calibri" w:hAnsi="Calibri" w:eastAsia="Calibri" w:cs="Calibri"/>
          <w:b/>
          <w:bCs/>
          <w:i w:val="0"/>
          <w:iCs w:val="0"/>
          <w:color w:val="000000"/>
          <w:sz w:val="22"/>
          <w:szCs w:val="22"/>
        </w:rPr>
        <w:t xml:space="preserve">siempre que existe un indicador de alerta ya declarado en el documento 3, la métrica lo reutiliza en lugar de inventar uno nuevo</w:t>
      </w:r>
      <w:r>
        <w:rPr>
          <w:rFonts w:ascii="Calibri" w:hAnsi="Calibri" w:eastAsia="Calibri" w:cs="Calibri"/>
          <w:b w:val="0"/>
          <w:bCs w:val="0"/>
          <w:i w:val="0"/>
          <w:iCs w:val="0"/>
          <w:color w:val="000000"/>
          <w:sz w:val="22"/>
          <w:szCs w:val="22"/>
        </w:rPr>
        <w:t xml:space="preserve">. El documento 3 enunció para cada riesgo arquitectónico un indicador de alerta, pero no un lugar donde se midiera; este documento es ese lugar.</w:t>
      </w:r>
      <w:r/>
    </w:p>
    <w:p>
      <w:pPr>
        <w:pBdr/>
        <w:spacing w:after="60"/>
        <w:ind/>
        <w:rPr/>
      </w:p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800"/>
        <w:gridCol w:w="2100"/>
        <w:gridCol w:w="2500"/>
        <w:gridCol w:w="2400"/>
        <w:gridCol w:w="1270"/>
      </w:tblGrid>
      <w:tr>
        <w:trPr>
          <w:tblHeader/>
        </w:trPr>
        <w:tc>
          <w:tcPr>
            <w:shd w:val="clear" w:color="auto" w:fill="dce6f1"/>
            <w:tcBorders/>
            <w:tcMar>
              <w:left w:w="90" w:type="dxa"/>
              <w:top w:w="60" w:type="dxa"/>
              <w:right w:w="90" w:type="dxa"/>
              <w:bottom w:w="60" w:type="dxa"/>
            </w:tcMar>
            <w:tcW w:w="800" w:type="dxa"/>
            <w:vAlign w:val="center"/>
          </w:tcPr>
          <w:p>
            <w:pPr>
              <w:pBdr/>
              <w:spacing w:after="30" w:before="30" w:line="240" w:lineRule="auto"/>
              <w:ind/>
              <w:jc w:val="left"/>
              <w:rPr/>
            </w:pPr>
            <w:r>
              <w:rPr>
                <w:rFonts w:ascii="Calibri" w:hAnsi="Calibri" w:eastAsia="Calibri" w:cs="Calibri"/>
                <w:b/>
                <w:bCs/>
                <w:sz w:val="17"/>
                <w:szCs w:val="17"/>
              </w:rPr>
              <w:t xml:space="preserve">ID</w:t>
            </w:r>
            <w:r/>
          </w:p>
        </w:tc>
        <w:tc>
          <w:tcPr>
            <w:shd w:val="clear" w:color="auto" w:fill="dce6f1"/>
            <w:tcBorders/>
            <w:tcMar>
              <w:left w:w="90" w:type="dxa"/>
              <w:top w:w="60" w:type="dxa"/>
              <w:right w:w="90" w:type="dxa"/>
              <w:bottom w:w="60" w:type="dxa"/>
            </w:tcMar>
            <w:tcW w:w="2100" w:type="dxa"/>
            <w:vAlign w:val="center"/>
          </w:tcPr>
          <w:p>
            <w:pPr>
              <w:pBdr/>
              <w:spacing w:after="30" w:before="30" w:line="240" w:lineRule="auto"/>
              <w:ind/>
              <w:jc w:val="left"/>
              <w:rPr/>
            </w:pPr>
            <w:r>
              <w:rPr>
                <w:rFonts w:ascii="Calibri" w:hAnsi="Calibri" w:eastAsia="Calibri" w:cs="Calibri"/>
                <w:b/>
                <w:bCs/>
                <w:sz w:val="17"/>
                <w:szCs w:val="17"/>
              </w:rPr>
              <w:t xml:space="preserve">Métrica</w:t>
            </w:r>
            <w:r/>
          </w:p>
        </w:tc>
        <w:tc>
          <w:tcPr>
            <w:shd w:val="clear" w:color="auto" w:fill="dce6f1"/>
            <w:tcBorders/>
            <w:tcMar>
              <w:left w:w="90" w:type="dxa"/>
              <w:top w:w="60" w:type="dxa"/>
              <w:right w:w="90" w:type="dxa"/>
              <w:bottom w:w="60" w:type="dxa"/>
            </w:tcMar>
            <w:tcW w:w="2500" w:type="dxa"/>
            <w:vAlign w:val="center"/>
          </w:tcPr>
          <w:p>
            <w:pPr>
              <w:pBdr/>
              <w:spacing w:after="30" w:before="30" w:line="240" w:lineRule="auto"/>
              <w:ind/>
              <w:jc w:val="left"/>
              <w:rPr/>
            </w:pPr>
            <w:r>
              <w:rPr>
                <w:rFonts w:ascii="Calibri" w:hAnsi="Calibri" w:eastAsia="Calibri" w:cs="Calibri"/>
                <w:b/>
                <w:bCs/>
                <w:sz w:val="17"/>
                <w:szCs w:val="17"/>
              </w:rPr>
              <w:t xml:space="preserve">Meta que persigue y pregunta que responde</w:t>
            </w:r>
            <w:r/>
          </w:p>
        </w:tc>
        <w:tc>
          <w:tcPr>
            <w:shd w:val="clear" w:color="auto" w:fill="dce6f1"/>
            <w:tcBorders/>
            <w:tcMar>
              <w:left w:w="90" w:type="dxa"/>
              <w:top w:w="60" w:type="dxa"/>
              <w:right w:w="90" w:type="dxa"/>
              <w:bottom w:w="60" w:type="dxa"/>
            </w:tcMar>
            <w:tcW w:w="2400" w:type="dxa"/>
            <w:vAlign w:val="center"/>
          </w:tcPr>
          <w:p>
            <w:pPr>
              <w:pBdr/>
              <w:spacing w:after="30" w:before="30" w:line="240" w:lineRule="auto"/>
              <w:ind/>
              <w:jc w:val="left"/>
              <w:rPr/>
            </w:pPr>
            <w:r>
              <w:rPr>
                <w:rFonts w:ascii="Calibri" w:hAnsi="Calibri" w:eastAsia="Calibri" w:cs="Calibri"/>
                <w:b/>
                <w:bCs/>
                <w:sz w:val="17"/>
                <w:szCs w:val="17"/>
              </w:rPr>
              <w:t xml:space="preserve">Umbral o disparador</w:t>
            </w:r>
            <w:r/>
          </w:p>
        </w:tc>
        <w:tc>
          <w:tcPr>
            <w:shd w:val="clear" w:color="auto" w:fill="dce6f1"/>
            <w:tcBorders/>
            <w:tcMar>
              <w:left w:w="90" w:type="dxa"/>
              <w:top w:w="60" w:type="dxa"/>
              <w:right w:w="90" w:type="dxa"/>
              <w:bottom w:w="60" w:type="dxa"/>
            </w:tcMar>
            <w:tcW w:w="1270" w:type="dxa"/>
            <w:vAlign w:val="center"/>
          </w:tcPr>
          <w:p>
            <w:pPr>
              <w:pBdr/>
              <w:spacing w:after="30" w:before="30" w:line="240" w:lineRule="auto"/>
              <w:ind/>
              <w:jc w:val="left"/>
              <w:rPr/>
            </w:pPr>
            <w:r>
              <w:rPr>
                <w:rFonts w:ascii="Calibri" w:hAnsi="Calibri" w:eastAsia="Calibri" w:cs="Calibri"/>
                <w:b/>
                <w:bCs/>
                <w:sz w:val="17"/>
                <w:szCs w:val="17"/>
              </w:rPr>
              <w:t xml:space="preserve">Origen</w:t>
            </w: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MT-01</w:t>
            </w:r>
            <w:r/>
          </w:p>
        </w:tc>
        <w:tc>
          <w:tcPr>
            <w:shd w:val="clear" w:color="auto" w:fill="ffffff"/>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Velocidad: elementos terminados por iteración, en el sentido de DM-04.</w:t>
            </w:r>
            <w:r/>
          </w:p>
        </w:tc>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Recalibrar la estimación de 2.12 con datos propios. ¿Es realista el supuesto de esfuerzo unitario por banda?</w:t>
            </w:r>
            <w:r/>
          </w:p>
        </w:tc>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pPr>
            <w:r>
              <w:rPr>
                <w:rFonts w:ascii="Calibri" w:hAnsi="Calibri" w:eastAsia="Calibri" w:cs="Calibri"/>
                <w:b w:val="0"/>
                <w:bCs w:val="0"/>
                <w:sz w:val="17"/>
                <w:szCs w:val="17"/>
              </w:rPr>
              <w:t xml:space="preserve">Recalibración obligatoria en la retrospectiva posterior a IT-03.</w:t>
            </w:r>
            <w:r/>
          </w:p>
        </w:tc>
        <w:tc>
          <w:tcPr>
            <w:shd w:val="clear" w:color="auto" w:fill="ffffff"/>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val="0"/>
                <w:bCs w:val="0"/>
                <w:sz w:val="17"/>
                <w:szCs w:val="17"/>
              </w:rPr>
              <w:t xml:space="preserve">SWEBOK KA 10, § 2.9</w:t>
            </w: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MT-02</w:t>
            </w:r>
            <w:r/>
          </w:p>
        </w:tc>
        <w:tc>
          <w:tcPr>
            <w:shd w:val="clear" w:color="auto" w:fill="f2f2f2"/>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Proporción del alcance comprometido en la planificación que efectivamente se termina.</w:t>
            </w:r>
            <w:r/>
          </w:p>
        </w:tc>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Evaluar la fiabilidad del compromiso. ¿Sabe el equipo cuánto puede abarcar?</w:t>
            </w:r>
            <w:r/>
          </w:p>
        </w:tc>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pPr>
            <w:r>
              <w:rPr>
                <w:rFonts w:ascii="Calibri" w:hAnsi="Calibri" w:eastAsia="Calibri" w:cs="Calibri"/>
                <w:b w:val="0"/>
                <w:bCs w:val="0"/>
                <w:sz w:val="17"/>
                <w:szCs w:val="17"/>
              </w:rPr>
              <w:t xml:space="preserve">Alerta si desciende del 70 % en dos iteraciones consecutivas.</w:t>
            </w:r>
            <w:r/>
          </w:p>
        </w:tc>
        <w:tc>
          <w:tcPr>
            <w:shd w:val="clear" w:color="auto" w:fill="f2f2f2"/>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val="0"/>
                <w:bCs w:val="0"/>
                <w:sz w:val="17"/>
                <w:szCs w:val="17"/>
              </w:rPr>
              <w:t xml:space="preserve">RM-01</w:t>
            </w: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MT-03</w:t>
            </w:r>
            <w:r/>
          </w:p>
        </w:tc>
        <w:tc>
          <w:tcPr>
            <w:shd w:val="clear" w:color="auto" w:fill="ffffff"/>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Número de accesos de un módulo al esquema de otro detectados por la verificación automática.</w:t>
            </w:r>
            <w:r/>
          </w:p>
        </w:tc>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Preservar las fronteras modulares. ¿Se está erosionando la arquitectura?</w:t>
            </w:r>
            <w:r/>
          </w:p>
        </w:tc>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pPr>
            <w:r>
              <w:rPr>
                <w:rFonts w:ascii="Calibri" w:hAnsi="Calibri" w:eastAsia="Calibri" w:cs="Calibri"/>
                <w:b w:val="0"/>
                <w:bCs w:val="0"/>
                <w:sz w:val="17"/>
                <w:szCs w:val="17"/>
              </w:rPr>
              <w:t xml:space="preserve">Cualquier valor superior a cero detiene la integración.</w:t>
            </w:r>
            <w:r/>
          </w:p>
        </w:tc>
        <w:tc>
          <w:tcPr>
            <w:shd w:val="clear" w:color="auto" w:fill="ffffff"/>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bCs/>
                <w:sz w:val="17"/>
                <w:szCs w:val="17"/>
              </w:rPr>
              <w:t xml:space="preserve">Indicador de alerta de R-01</w:t>
            </w:r>
            <w:r>
              <w:rPr>
                <w:rFonts w:ascii="Calibri" w:hAnsi="Calibri" w:eastAsia="Calibri" w:cs="Calibri"/>
                <w:b w:val="0"/>
                <w:bCs w:val="0"/>
                <w:sz w:val="17"/>
                <w:szCs w:val="17"/>
              </w:rPr>
              <w:t xml:space="preserve">, documento 3</w:t>
            </w: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MT-04</w:t>
            </w:r>
            <w:r/>
          </w:p>
        </w:tc>
        <w:tc>
          <w:tcPr>
            <w:shd w:val="clear" w:color="auto" w:fill="f2f2f2"/>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Retardo medio entre la persistencia de un evento de dominio y su publicación.</w:t>
            </w:r>
            <w:r/>
          </w:p>
        </w:tc>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Sostener la consistencia eventual dentro de lo comprometido. ¿Percibe el usuario estados desactualizados?</w:t>
            </w:r>
            <w:r/>
          </w:p>
        </w:tc>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pPr>
            <w:r>
              <w:rPr>
                <w:rFonts w:ascii="Calibri" w:hAnsi="Calibri" w:eastAsia="Calibri" w:cs="Calibri"/>
                <w:b w:val="0"/>
                <w:bCs w:val="0"/>
                <w:sz w:val="17"/>
                <w:szCs w:val="17"/>
              </w:rPr>
              <w:t xml:space="preserve">Alerta por encima de 30 segundos; umbral comprometido en 60 segundos.</w:t>
            </w:r>
            <w:r/>
          </w:p>
        </w:tc>
        <w:tc>
          <w:tcPr>
            <w:shd w:val="clear" w:color="auto" w:fill="f2f2f2"/>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bCs/>
                <w:sz w:val="17"/>
                <w:szCs w:val="17"/>
              </w:rPr>
              <w:t xml:space="preserve">Indicador de alerta de R-02</w:t>
            </w:r>
            <w:r>
              <w:rPr>
                <w:rFonts w:ascii="Calibri" w:hAnsi="Calibri" w:eastAsia="Calibri" w:cs="Calibri"/>
                <w:b w:val="0"/>
                <w:bCs w:val="0"/>
                <w:sz w:val="17"/>
                <w:szCs w:val="17"/>
              </w:rPr>
              <w:t xml:space="preserve">, documento 3</w:t>
            </w: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MT-05</w:t>
            </w:r>
            <w:r/>
          </w:p>
        </w:tc>
        <w:tc>
          <w:tcPr>
            <w:shd w:val="clear" w:color="auto" w:fill="ffffff"/>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Reinicios no planificados del proceso de aplicación por semana.</w:t>
            </w:r>
            <w:r/>
          </w:p>
        </w:tc>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Sostener la disponibilidad comprometida. ¿Es estable el punto único de fallo?</w:t>
            </w:r>
            <w:r/>
          </w:p>
        </w:tc>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pPr>
            <w:r>
              <w:rPr>
                <w:rFonts w:ascii="Calibri" w:hAnsi="Calibri" w:eastAsia="Calibri" w:cs="Calibri"/>
                <w:b w:val="0"/>
                <w:bCs w:val="0"/>
                <w:sz w:val="17"/>
                <w:szCs w:val="17"/>
              </w:rPr>
              <w:t xml:space="preserve">Alerta por encima de uno por semana.</w:t>
            </w:r>
            <w:r/>
          </w:p>
        </w:tc>
        <w:tc>
          <w:tcPr>
            <w:shd w:val="clear" w:color="auto" w:fill="ffffff"/>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bCs/>
                <w:sz w:val="17"/>
                <w:szCs w:val="17"/>
              </w:rPr>
              <w:t xml:space="preserve">Indicador de alerta de R-03</w:t>
            </w:r>
            <w:r>
              <w:rPr>
                <w:rFonts w:ascii="Calibri" w:hAnsi="Calibri" w:eastAsia="Calibri" w:cs="Calibri"/>
                <w:b w:val="0"/>
                <w:bCs w:val="0"/>
                <w:sz w:val="17"/>
                <w:szCs w:val="17"/>
              </w:rPr>
              <w:t xml:space="preserve">, documento 3</w:t>
            </w: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MT-06</w:t>
            </w:r>
            <w:r/>
          </w:p>
        </w:tc>
        <w:tc>
          <w:tcPr>
            <w:shd w:val="clear" w:color="auto" w:fill="f2f2f2"/>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Cobertura de pruebas automatizadas del núcleo de dominio de M3, M4, M6 y M8.</w:t>
            </w:r>
            <w:r/>
          </w:p>
        </w:tc>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Sostener la capacidad de prueba que justificó la arquitectura elegida. ¿Se mantiene el umbral que decidió la comparación?</w:t>
            </w:r>
            <w:r/>
          </w:p>
        </w:tc>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pPr>
            <w:r>
              <w:rPr>
                <w:rFonts w:ascii="Calibri" w:hAnsi="Calibri" w:eastAsia="Calibri" w:cs="Calibri"/>
                <w:b w:val="0"/>
                <w:bCs w:val="0"/>
                <w:sz w:val="17"/>
                <w:szCs w:val="17"/>
              </w:rPr>
              <w:t xml:space="preserve">Umbral del 80 % conforme a RNF-04; por debajo, un elemento no puede declararse terminado.</w:t>
            </w:r>
            <w:r/>
          </w:p>
        </w:tc>
        <w:tc>
          <w:tcPr>
            <w:shd w:val="clear" w:color="auto" w:fill="f2f2f2"/>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val="0"/>
                <w:bCs w:val="0"/>
                <w:sz w:val="17"/>
                <w:szCs w:val="17"/>
              </w:rPr>
              <w:t xml:space="preserve">RNF-04 y condición 2 de la Definición de Terminado</w:t>
            </w: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MT-07</w:t>
            </w:r>
            <w:r/>
          </w:p>
        </w:tc>
        <w:tc>
          <w:tcPr>
            <w:shd w:val="clear" w:color="auto" w:fill="ffffff"/>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Tasa semanal de fallo de entrega de notificaciones por el canal externo.</w:t>
            </w:r>
            <w:r/>
          </w:p>
        </w:tc>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Contener la dependencia del proveedor externo. ¿Está el canal de reserva haciendo su trabajo?</w:t>
            </w:r>
            <w:r/>
          </w:p>
        </w:tc>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pPr>
            <w:r>
              <w:rPr>
                <w:rFonts w:ascii="Calibri" w:hAnsi="Calibri" w:eastAsia="Calibri" w:cs="Calibri"/>
                <w:b w:val="0"/>
                <w:bCs w:val="0"/>
                <w:sz w:val="17"/>
                <w:szCs w:val="17"/>
              </w:rPr>
              <w:t xml:space="preserve">Alerta por encima del 5 % semanal.</w:t>
            </w:r>
            <w:r/>
          </w:p>
        </w:tc>
        <w:tc>
          <w:tcPr>
            <w:shd w:val="clear" w:color="auto" w:fill="ffffff"/>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bCs/>
                <w:sz w:val="17"/>
                <w:szCs w:val="17"/>
              </w:rPr>
              <w:t xml:space="preserve">Indicador de alerta de R-05</w:t>
            </w:r>
            <w:r>
              <w:rPr>
                <w:rFonts w:ascii="Calibri" w:hAnsi="Calibri" w:eastAsia="Calibri" w:cs="Calibri"/>
                <w:b w:val="0"/>
                <w:bCs w:val="0"/>
                <w:sz w:val="17"/>
                <w:szCs w:val="17"/>
              </w:rPr>
              <w:t xml:space="preserve">, documento 3</w:t>
            </w: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MT-08</w:t>
            </w:r>
            <w:r/>
          </w:p>
        </w:tc>
        <w:tc>
          <w:tcPr>
            <w:shd w:val="clear" w:color="auto" w:fill="f2f2f2"/>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Número de cambios de requisitos admitidos por iteración, con su trazabilidad a un objetivo O-StRS y su contrapartida desplazada.</w:t>
            </w:r>
            <w:r/>
          </w:p>
        </w:tc>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Mantener acotado el alcance. ¿Se está intercambiando o se está añadiendo?</w:t>
            </w:r>
            <w:r/>
          </w:p>
        </w:tc>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pPr>
            <w:r>
              <w:rPr>
                <w:rFonts w:ascii="Calibri" w:hAnsi="Calibri" w:eastAsia="Calibri" w:cs="Calibri"/>
                <w:b w:val="0"/>
                <w:bCs w:val="0"/>
                <w:sz w:val="17"/>
                <w:szCs w:val="17"/>
              </w:rPr>
              <w:t xml:space="preserve">Alerta si el saldo neto de la pila crece en dos iteraciones consecutivas.</w:t>
            </w:r>
            <w:r/>
          </w:p>
        </w:tc>
        <w:tc>
          <w:tcPr>
            <w:shd w:val="clear" w:color="auto" w:fill="f2f2f2"/>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val="0"/>
                <w:bCs w:val="0"/>
                <w:sz w:val="17"/>
                <w:szCs w:val="17"/>
              </w:rPr>
              <w:t xml:space="preserve">DM-09 y § 5.2.6 de ISO/IEC/IEEE 29148:2011</w:t>
            </w:r>
            <w:r/>
          </w:p>
        </w:tc>
      </w:tr>
    </w:tbl>
    <w:p>
      <w:pPr>
        <w:pBdr/>
        <w:spacing w:after="140"/>
        <w:ind/>
        <w:rPr/>
      </w:pPr>
      <w:r/>
    </w:p>
    <w:p>
      <w:pPr>
        <w:pBdr/>
        <w:spacing w:after="120" w:before="0" w:line="276" w:lineRule="auto"/>
        <w:ind/>
        <w:jc w:val="both"/>
        <w:rPr/>
      </w:pPr>
      <w:r>
        <w:rPr>
          <w:rFonts w:ascii="Calibri" w:hAnsi="Calibri" w:eastAsia="Calibri" w:cs="Calibri"/>
          <w:b/>
          <w:bCs/>
          <w:i w:val="0"/>
          <w:iCs w:val="0"/>
          <w:color w:val="000000"/>
          <w:sz w:val="22"/>
          <w:szCs w:val="22"/>
        </w:rPr>
        <w:t xml:space="preserve">Mecanismo de mejora.</w:t>
      </w:r>
      <w:r>
        <w:rPr>
          <w:rFonts w:ascii="Calibri" w:hAnsi="Calibri" w:eastAsia="Calibri" w:cs="Calibri"/>
          <w:b w:val="0"/>
          <w:bCs w:val="0"/>
          <w:i w:val="0"/>
          <w:iCs w:val="0"/>
          <w:color w:val="000000"/>
          <w:sz w:val="22"/>
          <w:szCs w:val="22"/>
        </w:rPr>
        <w:t xml:space="preserve"> La retrospectiva de PR-05 instancia el ciclo Plan-Do-Check-Act sobre el propio proceso: se observa la medición, se acuerda un cambio, se aplica durante la iteración siguiente y se evalúa su efecto en la retrospectiva posterior. Si la evaluación es favorable, se ha producido una mejora; si no lo es, el cambio se revierte y ese hecho también se registra. La limitación a una sola acción por iteración es deliberada: con dos personas, una lista de cinco propósitos de mejora produce cero mejoras y una sensación de haberlas acordado.</w:t>
      </w:r>
      <w:r/>
    </w:p>
    <w:p>
      <w:pPr>
        <w:pBdr/>
        <w:spacing w:after="120" w:before="0" w:line="276" w:lineRule="auto"/>
        <w:ind/>
        <w:jc w:val="both"/>
        <w:rPr/>
      </w:pPr>
      <w:r>
        <w:rPr>
          <w:rFonts w:ascii="Calibri" w:hAnsi="Calibri" w:eastAsia="Calibri" w:cs="Calibri"/>
          <w:b/>
          <w:bCs/>
          <w:i w:val="0"/>
          <w:iCs w:val="0"/>
          <w:color w:val="000000"/>
          <w:sz w:val="22"/>
          <w:szCs w:val="22"/>
        </w:rPr>
        <w:t xml:space="preserve">Evaluación de madurez.</w:t>
      </w:r>
      <w:r>
        <w:rPr>
          <w:rFonts w:ascii="Calibri" w:hAnsi="Calibri" w:eastAsia="Calibri" w:cs="Calibri"/>
          <w:b w:val="0"/>
          <w:bCs w:val="0"/>
          <w:i w:val="0"/>
          <w:iCs w:val="0"/>
          <w:color w:val="000000"/>
          <w:sz w:val="22"/>
          <w:szCs w:val="22"/>
        </w:rPr>
        <w:t xml:space="preserve"> Los métodos basados en marcos de referencia que el apartado 3.3 del capítulo 10 describe —CMMI y la serie ISO/IEC 33000, antes SPICE— se examinan y se descartan de forma expresa. Evalúan la madurez organizacional y la capacidad de los procesos de una organización, y su aplicación a una entidad de siete personas con un solo producto sería desproporcionada. El instrumento normativo que la propia disciplina prevé para esta escala es la serie ISO/IEC 29110, y es el que la sección 2.20 emplea. La omisión se declara para que conste como decisión razonada y no como desconocimiento del marco.</w:t>
      </w:r>
      <w:r/>
    </w:p>
    <w:p>
      <w:pPr>
        <w:pStyle w:val="918"/>
        <w:pBdr/>
        <w:spacing w:after="140" w:before="280"/>
        <w:ind/>
        <w:rPr>
          <w:color w:val="000000" w:themeColor="text1"/>
        </w:rPr>
      </w:pPr>
      <w:r>
        <w:rPr>
          <w:color w:val="000000" w:themeColor="text1"/>
        </w:rPr>
      </w:r>
      <w:bookmarkStart w:id="34" w:name="_Toc34"/>
      <w:r>
        <w:rPr>
          <w:rFonts w:ascii="Calibri" w:hAnsi="Calibri" w:eastAsia="Calibri" w:cs="Calibri"/>
          <w:b/>
          <w:bCs/>
          <w:color w:val="000000" w:themeColor="text1"/>
          <w:sz w:val="25"/>
          <w:szCs w:val="25"/>
        </w:rPr>
        <w:t xml:space="preserve">2.18 Riesgos del proceso y su mitigación</w:t>
      </w:r>
      <w:bookmarkEnd w:id="34"/>
      <w:r>
        <w:rPr>
          <w:color w:val="000000" w:themeColor="text1"/>
        </w:rPr>
      </w:r>
    </w:p>
    <w:p>
      <w:pPr>
        <w:pBdr/>
        <w:spacing w:after="120" w:before="0" w:line="276" w:lineRule="auto"/>
        <w:ind/>
        <w:jc w:val="both"/>
        <w:rPr/>
      </w:pPr>
      <w:r>
        <w:rPr>
          <w:rFonts w:ascii="Calibri" w:hAnsi="Calibri" w:eastAsia="Calibri" w:cs="Calibri"/>
          <w:b w:val="0"/>
          <w:bCs w:val="0"/>
          <w:i w:val="0"/>
          <w:iCs w:val="0"/>
          <w:color w:val="000000"/>
          <w:sz w:val="22"/>
          <w:szCs w:val="22"/>
        </w:rPr>
        <w:t xml:space="preserve">El documento 3 registró los riesgos de la arquitectura. Los que siguen son los del proceso, y se registran con el mismo formato porque la exigencia de hacerlos visibles no depende de su naturaleza.</w:t>
      </w:r>
      <w:r/>
    </w:p>
    <w:p>
      <w:pPr>
        <w:pBdr/>
        <w:spacing w:after="60"/>
        <w:ind/>
        <w:rPr/>
      </w:p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800"/>
        <w:gridCol w:w="2300"/>
        <w:gridCol w:w="2100"/>
        <w:gridCol w:w="2600"/>
        <w:gridCol w:w="1270"/>
      </w:tblGrid>
      <w:tr>
        <w:trPr>
          <w:tblHeader/>
        </w:trPr>
        <w:tc>
          <w:tcPr>
            <w:shd w:val="clear" w:color="auto" w:fill="dce6f1"/>
            <w:tcBorders/>
            <w:tcMar>
              <w:left w:w="90" w:type="dxa"/>
              <w:top w:w="60" w:type="dxa"/>
              <w:right w:w="90" w:type="dxa"/>
              <w:bottom w:w="60" w:type="dxa"/>
            </w:tcMar>
            <w:tcW w:w="800" w:type="dxa"/>
            <w:vAlign w:val="center"/>
          </w:tcPr>
          <w:p>
            <w:pPr>
              <w:pBdr/>
              <w:spacing w:after="30" w:before="30" w:line="240" w:lineRule="auto"/>
              <w:ind/>
              <w:jc w:val="left"/>
              <w:rPr/>
            </w:pPr>
            <w:r>
              <w:rPr>
                <w:rFonts w:ascii="Calibri" w:hAnsi="Calibri" w:eastAsia="Calibri" w:cs="Calibri"/>
                <w:b/>
                <w:bCs/>
                <w:sz w:val="17"/>
                <w:szCs w:val="17"/>
              </w:rPr>
              <w:t xml:space="preserve">#</w:t>
            </w:r>
            <w:r/>
          </w:p>
        </w:tc>
        <w:tc>
          <w:tcPr>
            <w:shd w:val="clear" w:color="auto" w:fill="dce6f1"/>
            <w:tcBorders/>
            <w:tcMar>
              <w:left w:w="90" w:type="dxa"/>
              <w:top w:w="60" w:type="dxa"/>
              <w:right w:w="90" w:type="dxa"/>
              <w:bottom w:w="60" w:type="dxa"/>
            </w:tcMar>
            <w:tcW w:w="2300" w:type="dxa"/>
            <w:vAlign w:val="center"/>
          </w:tcPr>
          <w:p>
            <w:pPr>
              <w:pBdr/>
              <w:spacing w:after="30" w:before="30" w:line="240" w:lineRule="auto"/>
              <w:ind/>
              <w:jc w:val="left"/>
              <w:rPr/>
            </w:pPr>
            <w:r>
              <w:rPr>
                <w:rFonts w:ascii="Calibri" w:hAnsi="Calibri" w:eastAsia="Calibri" w:cs="Calibri"/>
                <w:b/>
                <w:bCs/>
                <w:sz w:val="17"/>
                <w:szCs w:val="17"/>
              </w:rPr>
              <w:t xml:space="preserve">Riesgo</w:t>
            </w:r>
            <w:r/>
          </w:p>
        </w:tc>
        <w:tc>
          <w:tcPr>
            <w:shd w:val="clear" w:color="auto" w:fill="dce6f1"/>
            <w:tcBorders/>
            <w:tcMar>
              <w:left w:w="90" w:type="dxa"/>
              <w:top w:w="60" w:type="dxa"/>
              <w:right w:w="90" w:type="dxa"/>
              <w:bottom w:w="60" w:type="dxa"/>
            </w:tcMar>
            <w:tcW w:w="2100" w:type="dxa"/>
            <w:vAlign w:val="center"/>
          </w:tcPr>
          <w:p>
            <w:pPr>
              <w:pBdr/>
              <w:spacing w:after="30" w:before="30" w:line="240" w:lineRule="auto"/>
              <w:ind/>
              <w:jc w:val="left"/>
              <w:rPr/>
            </w:pPr>
            <w:r>
              <w:rPr>
                <w:rFonts w:ascii="Calibri" w:hAnsi="Calibri" w:eastAsia="Calibri" w:cs="Calibri"/>
                <w:b/>
                <w:bCs/>
                <w:sz w:val="17"/>
                <w:szCs w:val="17"/>
              </w:rPr>
              <w:t xml:space="preserve">Consecuencia si se materializa</w:t>
            </w:r>
            <w:r/>
          </w:p>
        </w:tc>
        <w:tc>
          <w:tcPr>
            <w:shd w:val="clear" w:color="auto" w:fill="dce6f1"/>
            <w:tcBorders/>
            <w:tcMar>
              <w:left w:w="90" w:type="dxa"/>
              <w:top w:w="60" w:type="dxa"/>
              <w:right w:w="90" w:type="dxa"/>
              <w:bottom w:w="60" w:type="dxa"/>
            </w:tcMar>
            <w:tcW w:w="2600" w:type="dxa"/>
            <w:vAlign w:val="center"/>
          </w:tcPr>
          <w:p>
            <w:pPr>
              <w:pBdr/>
              <w:spacing w:after="30" w:before="30" w:line="240" w:lineRule="auto"/>
              <w:ind/>
              <w:jc w:val="left"/>
              <w:rPr/>
            </w:pPr>
            <w:r>
              <w:rPr>
                <w:rFonts w:ascii="Calibri" w:hAnsi="Calibri" w:eastAsia="Calibri" w:cs="Calibri"/>
                <w:b/>
                <w:bCs/>
                <w:sz w:val="17"/>
                <w:szCs w:val="17"/>
              </w:rPr>
              <w:t xml:space="preserve">Mitigación adoptada</w:t>
            </w:r>
            <w:r/>
          </w:p>
        </w:tc>
        <w:tc>
          <w:tcPr>
            <w:shd w:val="clear" w:color="auto" w:fill="dce6f1"/>
            <w:tcBorders/>
            <w:tcMar>
              <w:left w:w="90" w:type="dxa"/>
              <w:top w:w="60" w:type="dxa"/>
              <w:right w:w="90" w:type="dxa"/>
              <w:bottom w:w="60" w:type="dxa"/>
            </w:tcMar>
            <w:tcW w:w="1270" w:type="dxa"/>
            <w:vAlign w:val="center"/>
          </w:tcPr>
          <w:p>
            <w:pPr>
              <w:pBdr/>
              <w:spacing w:after="30" w:before="30" w:line="240" w:lineRule="auto"/>
              <w:ind/>
              <w:jc w:val="left"/>
              <w:rPr/>
            </w:pPr>
            <w:r>
              <w:rPr>
                <w:rFonts w:ascii="Calibri" w:hAnsi="Calibri" w:eastAsia="Calibri" w:cs="Calibri"/>
                <w:b/>
                <w:bCs/>
                <w:sz w:val="17"/>
                <w:szCs w:val="17"/>
              </w:rPr>
              <w:t xml:space="preserve">Indicador</w:t>
            </w: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RM-01</w:t>
            </w:r>
            <w:r/>
          </w:p>
        </w:tc>
        <w:tc>
          <w:tcPr>
            <w:shd w:val="clear" w:color="auto" w:fill="ffffff"/>
            <w:tcBorders/>
            <w:tcMar>
              <w:left w:w="90" w:type="dxa"/>
              <w:top w:w="55" w:type="dxa"/>
              <w:right w:w="90" w:type="dxa"/>
              <w:bottom w:w="55" w:type="dxa"/>
            </w:tcMar>
            <w:tcW w:w="2300" w:type="dxa"/>
            <w:vAlign w:val="top"/>
          </w:tcPr>
          <w:p>
            <w:pPr>
              <w:pBdr/>
              <w:spacing w:after="30" w:before="30" w:line="240" w:lineRule="auto"/>
              <w:ind/>
              <w:jc w:val="left"/>
              <w:rPr/>
            </w:pPr>
            <w:r>
              <w:rPr>
                <w:rFonts w:ascii="Calibri" w:hAnsi="Calibri" w:eastAsia="Calibri" w:cs="Calibri"/>
                <w:b w:val="0"/>
                <w:bCs w:val="0"/>
                <w:sz w:val="17"/>
                <w:szCs w:val="17"/>
              </w:rPr>
              <w:t xml:space="preserve">Sobreestimación de la capacidad del equipo: el esfuerzo real se sitúa por encima del valor central estimado.</w:t>
            </w:r>
            <w:r/>
          </w:p>
        </w:tc>
        <w:tc>
          <w:tcPr>
            <w:shd w:val="clear" w:color="auto" w:fill="ffffff"/>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El MVP queda incompleto al agotarse el horizonte, o se entrega con calidad degradada por compresión de la verificación.</w:t>
            </w:r>
            <w:r/>
          </w:p>
        </w:tc>
        <w:tc>
          <w:tcPr>
            <w:shd w:val="clear" w:color="auto" w:fill="ffffff"/>
            <w:tcBorders/>
            <w:tcMar>
              <w:left w:w="90" w:type="dxa"/>
              <w:top w:w="55" w:type="dxa"/>
              <w:right w:w="90" w:type="dxa"/>
              <w:bottom w:w="55" w:type="dxa"/>
            </w:tcMar>
            <w:tcW w:w="2600" w:type="dxa"/>
            <w:vAlign w:val="top"/>
          </w:tcPr>
          <w:p>
            <w:pPr>
              <w:pBdr/>
              <w:spacing w:after="30" w:before="30" w:line="240" w:lineRule="auto"/>
              <w:ind/>
              <w:jc w:val="left"/>
              <w:rPr/>
            </w:pPr>
            <w:r>
              <w:rPr>
                <w:rFonts w:ascii="Calibri" w:hAnsi="Calibri" w:eastAsia="Calibri" w:cs="Calibri"/>
                <w:b w:val="0"/>
                <w:bCs w:val="0"/>
                <w:sz w:val="17"/>
                <w:szCs w:val="17"/>
              </w:rPr>
              <w:t xml:space="preserve">Holgura declarada de la clase «Podría»; regla de intercambio de DM-09; recalibración obligatoria tras IT-03. El mecanismo de ajuste es reducir alcance, nunca reducir la Definición de Terminado.</w:t>
            </w:r>
            <w:r/>
          </w:p>
        </w:tc>
        <w:tc>
          <w:tcPr>
            <w:shd w:val="clear" w:color="auto" w:fill="ffffff"/>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val="0"/>
                <w:bCs w:val="0"/>
                <w:sz w:val="17"/>
                <w:szCs w:val="17"/>
              </w:rPr>
              <w:t xml:space="preserve">MT-01 y MT-02</w:t>
            </w: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RM-02</w:t>
            </w:r>
            <w:r/>
          </w:p>
        </w:tc>
        <w:tc>
          <w:tcPr>
            <w:shd w:val="clear" w:color="auto" w:fill="f2f2f2"/>
            <w:tcBorders/>
            <w:tcMar>
              <w:left w:w="90" w:type="dxa"/>
              <w:top w:w="55" w:type="dxa"/>
              <w:right w:w="90" w:type="dxa"/>
              <w:bottom w:w="55" w:type="dxa"/>
            </w:tcMar>
            <w:tcW w:w="2300" w:type="dxa"/>
            <w:vAlign w:val="top"/>
          </w:tcPr>
          <w:p>
            <w:pPr>
              <w:pBdr/>
              <w:spacing w:after="30" w:before="30" w:line="240" w:lineRule="auto"/>
              <w:ind/>
              <w:jc w:val="left"/>
              <w:rPr/>
            </w:pPr>
            <w:r>
              <w:rPr>
                <w:rFonts w:ascii="Calibri" w:hAnsi="Calibri" w:eastAsia="Calibri" w:cs="Calibri"/>
                <w:b w:val="0"/>
                <w:bCs w:val="0"/>
                <w:sz w:val="17"/>
                <w:szCs w:val="17"/>
              </w:rPr>
              <w:t xml:space="preserve">Degeneración de la adaptación: con roles compartidos y sin conducción externa, las ceremonias se abandonan en silencio bajo presión.</w:t>
            </w:r>
            <w:r/>
          </w:p>
        </w:tc>
        <w:tc>
          <w:tcPr>
            <w:shd w:val="clear" w:color="auto" w:fill="f2f2f2"/>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El proceso deja de existir de hecho mientras se sigue afirmando que se aplica, y las métricas dejan de recogerse justo cuando más falta hacen.</w:t>
            </w:r>
            <w:r/>
          </w:p>
        </w:tc>
        <w:tc>
          <w:tcPr>
            <w:shd w:val="clear" w:color="auto" w:fill="f2f2f2"/>
            <w:tcBorders/>
            <w:tcMar>
              <w:left w:w="90" w:type="dxa"/>
              <w:top w:w="55" w:type="dxa"/>
              <w:right w:w="90" w:type="dxa"/>
              <w:bottom w:w="55" w:type="dxa"/>
            </w:tcMar>
            <w:tcW w:w="2600" w:type="dxa"/>
            <w:vAlign w:val="top"/>
          </w:tcPr>
          <w:p>
            <w:pPr>
              <w:pBdr/>
              <w:spacing w:after="30" w:before="30" w:line="240" w:lineRule="auto"/>
              <w:ind/>
              <w:jc w:val="left"/>
              <w:rPr/>
            </w:pPr>
            <w:r>
              <w:rPr>
                <w:rFonts w:ascii="Calibri" w:hAnsi="Calibri" w:eastAsia="Calibri" w:cs="Calibri"/>
                <w:b w:val="0"/>
                <w:bCs w:val="0"/>
                <w:sz w:val="17"/>
                <w:szCs w:val="17"/>
              </w:rPr>
              <w:t xml:space="preserve">La retrospectiva produce un registro escrito, no un acuerdo verbal; la rotación de la conducción de DM-02 impide que la responsabilidad se difumine; las condiciones de la Definición de Terminado que pueden automatizarse lo están.</w:t>
            </w:r>
            <w:r/>
          </w:p>
        </w:tc>
        <w:tc>
          <w:tcPr>
            <w:shd w:val="clear" w:color="auto" w:fill="f2f2f2"/>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val="0"/>
                <w:bCs w:val="0"/>
                <w:sz w:val="17"/>
                <w:szCs w:val="17"/>
              </w:rPr>
              <w:t xml:space="preserve">Una iteración que cierre sin registro escrito de retrospectiva</w:t>
            </w: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RM-03</w:t>
            </w:r>
            <w:r/>
          </w:p>
        </w:tc>
        <w:tc>
          <w:tcPr>
            <w:shd w:val="clear" w:color="auto" w:fill="ffffff"/>
            <w:tcBorders/>
            <w:tcMar>
              <w:left w:w="90" w:type="dxa"/>
              <w:top w:w="55" w:type="dxa"/>
              <w:right w:w="90" w:type="dxa"/>
              <w:bottom w:w="55" w:type="dxa"/>
            </w:tcMar>
            <w:tcW w:w="2300" w:type="dxa"/>
            <w:vAlign w:val="top"/>
          </w:tcPr>
          <w:p>
            <w:pPr>
              <w:pBdr/>
              <w:spacing w:after="30" w:before="30" w:line="240" w:lineRule="auto"/>
              <w:ind/>
              <w:jc w:val="left"/>
              <w:rPr/>
            </w:pPr>
            <w:r>
              <w:rPr>
                <w:rFonts w:ascii="Calibri" w:hAnsi="Calibri" w:eastAsia="Calibri" w:cs="Calibri"/>
                <w:b w:val="0"/>
                <w:bCs w:val="0"/>
                <w:sz w:val="17"/>
                <w:szCs w:val="17"/>
              </w:rPr>
              <w:t xml:space="preserve">Deriva del alcance por efecto de la apertura al cambio.</w:t>
            </w:r>
            <w:r/>
          </w:p>
        </w:tc>
        <w:tc>
          <w:tcPr>
            <w:shd w:val="clear" w:color="auto" w:fill="ffffff"/>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El catálogo crece sin contrapartida y el plan deja de cerrar, con el agravante de que el crecimiento se percibe como receptividad y no como problema.</w:t>
            </w:r>
            <w:r/>
          </w:p>
        </w:tc>
        <w:tc>
          <w:tcPr>
            <w:shd w:val="clear" w:color="auto" w:fill="ffffff"/>
            <w:tcBorders/>
            <w:tcMar>
              <w:left w:w="90" w:type="dxa"/>
              <w:top w:w="55" w:type="dxa"/>
              <w:right w:w="90" w:type="dxa"/>
              <w:bottom w:w="55" w:type="dxa"/>
            </w:tcMar>
            <w:tcW w:w="2600" w:type="dxa"/>
            <w:vAlign w:val="top"/>
          </w:tcPr>
          <w:p>
            <w:pPr>
              <w:pBdr/>
              <w:spacing w:after="30" w:before="30" w:line="240" w:lineRule="auto"/>
              <w:ind/>
              <w:jc w:val="left"/>
              <w:rPr/>
            </w:pPr>
            <w:r>
              <w:rPr>
                <w:rFonts w:ascii="Calibri" w:hAnsi="Calibri" w:eastAsia="Calibri" w:cs="Calibri"/>
                <w:b w:val="0"/>
                <w:bCs w:val="0"/>
                <w:sz w:val="17"/>
                <w:szCs w:val="17"/>
              </w:rPr>
              <w:t xml:space="preserve">Regla de intercambio de DM-09, que hace que admitir un cambio obligue a declarar qué se sacrifica.</w:t>
            </w:r>
            <w:r/>
          </w:p>
        </w:tc>
        <w:tc>
          <w:tcPr>
            <w:shd w:val="clear" w:color="auto" w:fill="ffffff"/>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val="0"/>
                <w:bCs w:val="0"/>
                <w:sz w:val="17"/>
                <w:szCs w:val="17"/>
              </w:rPr>
              <w:t xml:space="preserve">MT-08</w:t>
            </w: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RM-04</w:t>
            </w:r>
            <w:r/>
          </w:p>
        </w:tc>
        <w:tc>
          <w:tcPr>
            <w:shd w:val="clear" w:color="auto" w:fill="f2f2f2"/>
            <w:tcBorders/>
            <w:tcMar>
              <w:left w:w="90" w:type="dxa"/>
              <w:top w:w="55" w:type="dxa"/>
              <w:right w:w="90" w:type="dxa"/>
              <w:bottom w:w="55" w:type="dxa"/>
            </w:tcMar>
            <w:tcW w:w="2300" w:type="dxa"/>
            <w:vAlign w:val="top"/>
          </w:tcPr>
          <w:p>
            <w:pPr>
              <w:pBdr/>
              <w:spacing w:after="30" w:before="30" w:line="240" w:lineRule="auto"/>
              <w:ind/>
              <w:jc w:val="left"/>
              <w:rPr/>
            </w:pPr>
            <w:r>
              <w:rPr>
                <w:rFonts w:ascii="Calibri" w:hAnsi="Calibri" w:eastAsia="Calibri" w:cs="Calibri"/>
                <w:b w:val="0"/>
                <w:bCs w:val="0"/>
                <w:sz w:val="17"/>
                <w:szCs w:val="17"/>
              </w:rPr>
              <w:t xml:space="preserve">Indisciplina arquitectónica bajo presión de calendario: se cruza una frontera modular «solo esta vez».</w:t>
            </w:r>
            <w:r/>
          </w:p>
        </w:tc>
        <w:tc>
          <w:tcPr>
            <w:shd w:val="clear" w:color="auto" w:fill="f2f2f2"/>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Se materializa R-01 del documento 3, el monolito modular degenera y se pierde el camino de migración futura.</w:t>
            </w:r>
            <w:r/>
          </w:p>
        </w:tc>
        <w:tc>
          <w:tcPr>
            <w:shd w:val="clear" w:color="auto" w:fill="f2f2f2"/>
            <w:tcBorders/>
            <w:tcMar>
              <w:left w:w="90" w:type="dxa"/>
              <w:top w:w="55" w:type="dxa"/>
              <w:right w:w="90" w:type="dxa"/>
              <w:bottom w:w="55" w:type="dxa"/>
            </w:tcMar>
            <w:tcW w:w="2600" w:type="dxa"/>
            <w:vAlign w:val="top"/>
          </w:tcPr>
          <w:p>
            <w:pPr>
              <w:pBdr/>
              <w:spacing w:after="30" w:before="30" w:line="240" w:lineRule="auto"/>
              <w:ind/>
              <w:jc w:val="left"/>
              <w:rPr/>
            </w:pPr>
            <w:r>
              <w:rPr>
                <w:rFonts w:ascii="Calibri" w:hAnsi="Calibri" w:eastAsia="Calibri" w:cs="Calibri"/>
                <w:b w:val="0"/>
                <w:bCs w:val="0"/>
                <w:sz w:val="17"/>
                <w:szCs w:val="17"/>
              </w:rPr>
              <w:t xml:space="preserve">La verificación de DM-06 es automática y detiene la integración. No es un juicio que pueda ceder ante la prisa. Presupuesto explícito de refactorización de PR-10.</w:t>
            </w:r>
            <w:r/>
          </w:p>
        </w:tc>
        <w:tc>
          <w:tcPr>
            <w:shd w:val="clear" w:color="auto" w:fill="f2f2f2"/>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val="0"/>
                <w:bCs w:val="0"/>
                <w:sz w:val="17"/>
                <w:szCs w:val="17"/>
              </w:rPr>
              <w:t xml:space="preserve">MT-03, cualquier valor superior a cero</w:t>
            </w: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RM-05</w:t>
            </w:r>
            <w:r/>
          </w:p>
        </w:tc>
        <w:tc>
          <w:tcPr>
            <w:shd w:val="clear" w:color="auto" w:fill="ffffff"/>
            <w:tcBorders/>
            <w:tcMar>
              <w:left w:w="90" w:type="dxa"/>
              <w:top w:w="55" w:type="dxa"/>
              <w:right w:w="90" w:type="dxa"/>
              <w:bottom w:w="55" w:type="dxa"/>
            </w:tcMar>
            <w:tcW w:w="2300" w:type="dxa"/>
            <w:vAlign w:val="top"/>
          </w:tcPr>
          <w:p>
            <w:pPr>
              <w:pBdr/>
              <w:spacing w:after="30" w:before="30" w:line="240" w:lineRule="auto"/>
              <w:ind/>
              <w:jc w:val="left"/>
              <w:rPr/>
            </w:pPr>
            <w:r>
              <w:rPr>
                <w:rFonts w:ascii="Calibri" w:hAnsi="Calibri" w:eastAsia="Calibri" w:cs="Calibri"/>
                <w:b w:val="0"/>
                <w:bCs w:val="0"/>
                <w:sz w:val="17"/>
                <w:szCs w:val="17"/>
              </w:rPr>
              <w:t xml:space="preserve">Asincronía degradada: la regla de las veinticuatro horas se incumple y un bloqueo permanece invisible.</w:t>
            </w:r>
            <w:r/>
          </w:p>
        </w:tc>
        <w:tc>
          <w:tcPr>
            <w:shd w:val="clear" w:color="auto" w:fill="ffffff"/>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Una persona queda detenida sin que la otra lo advierta, lo que en un equipo de dos supone perder la mitad de la capacidad durante ese tiempo.</w:t>
            </w:r>
            <w:r/>
          </w:p>
        </w:tc>
        <w:tc>
          <w:tcPr>
            <w:shd w:val="clear" w:color="auto" w:fill="ffffff"/>
            <w:tcBorders/>
            <w:tcMar>
              <w:left w:w="90" w:type="dxa"/>
              <w:top w:w="55" w:type="dxa"/>
              <w:right w:w="90" w:type="dxa"/>
              <w:bottom w:w="55" w:type="dxa"/>
            </w:tcMar>
            <w:tcW w:w="2600" w:type="dxa"/>
            <w:vAlign w:val="top"/>
          </w:tcPr>
          <w:p>
            <w:pPr>
              <w:pBdr/>
              <w:spacing w:after="30" w:before="30" w:line="240" w:lineRule="auto"/>
              <w:ind/>
              <w:jc w:val="left"/>
              <w:rPr/>
            </w:pPr>
            <w:r>
              <w:rPr>
                <w:rFonts w:ascii="Calibri" w:hAnsi="Calibri" w:eastAsia="Calibri" w:cs="Calibri"/>
                <w:b w:val="0"/>
                <w:bCs w:val="0"/>
                <w:sz w:val="17"/>
                <w:szCs w:val="17"/>
              </w:rPr>
              <w:t xml:space="preserve">Escalada a sesión sincrónica cuando un bloqueo supera las cuarenta y ocho horas, como excepción declarada a DM-03 y no como abandono de la regla.</w:t>
            </w:r>
            <w:r/>
          </w:p>
        </w:tc>
        <w:tc>
          <w:tcPr>
            <w:shd w:val="clear" w:color="auto" w:fill="ffffff"/>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val="0"/>
                <w:bCs w:val="0"/>
                <w:sz w:val="17"/>
                <w:szCs w:val="17"/>
              </w:rPr>
              <w:t xml:space="preserve">Un elemento en curso durante más de cinco días</w:t>
            </w: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RM-06</w:t>
            </w:r>
            <w:r/>
          </w:p>
        </w:tc>
        <w:tc>
          <w:tcPr>
            <w:shd w:val="clear" w:color="auto" w:fill="f2f2f2"/>
            <w:tcBorders/>
            <w:tcMar>
              <w:left w:w="90" w:type="dxa"/>
              <w:top w:w="55" w:type="dxa"/>
              <w:right w:w="90" w:type="dxa"/>
              <w:bottom w:w="55" w:type="dxa"/>
            </w:tcMar>
            <w:tcW w:w="2300" w:type="dxa"/>
            <w:vAlign w:val="top"/>
          </w:tcPr>
          <w:p>
            <w:pPr>
              <w:pBdr/>
              <w:spacing w:after="30" w:before="30" w:line="240" w:lineRule="auto"/>
              <w:ind/>
              <w:jc w:val="left"/>
              <w:rPr/>
            </w:pPr>
            <w:r>
              <w:rPr>
                <w:rFonts w:ascii="Calibri" w:hAnsi="Calibri" w:eastAsia="Calibri" w:cs="Calibri"/>
                <w:b w:val="0"/>
                <w:bCs w:val="0"/>
                <w:sz w:val="17"/>
                <w:szCs w:val="17"/>
              </w:rPr>
              <w:t xml:space="preserve">Confusión entre el horizonte de construcción y el ciclo de vida del producto.</w:t>
            </w:r>
            <w:r/>
          </w:p>
        </w:tc>
        <w:tc>
          <w:tcPr>
            <w:shd w:val="clear" w:color="auto" w:fill="f2f2f2"/>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Las etapas de utilización, soporte y retiro se dan por resueltas al terminar la semana veinte, cuando en realidad no se han planificado.</w:t>
            </w:r>
            <w:r/>
          </w:p>
        </w:tc>
        <w:tc>
          <w:tcPr>
            <w:shd w:val="clear" w:color="auto" w:fill="f2f2f2"/>
            <w:tcBorders/>
            <w:tcMar>
              <w:left w:w="90" w:type="dxa"/>
              <w:top w:w="55" w:type="dxa"/>
              <w:right w:w="90" w:type="dxa"/>
              <w:bottom w:w="55" w:type="dxa"/>
            </w:tcMar>
            <w:tcW w:w="2600" w:type="dxa"/>
            <w:vAlign w:val="top"/>
          </w:tcPr>
          <w:p>
            <w:pPr>
              <w:pBdr/>
              <w:spacing w:after="30" w:before="30" w:line="240" w:lineRule="auto"/>
              <w:ind/>
              <w:jc w:val="left"/>
              <w:rPr/>
            </w:pPr>
            <w:r>
              <w:rPr>
                <w:rFonts w:ascii="Calibri" w:hAnsi="Calibri" w:eastAsia="Calibri" w:cs="Calibri"/>
                <w:b w:val="0"/>
                <w:bCs w:val="0"/>
                <w:sz w:val="17"/>
                <w:szCs w:val="17"/>
              </w:rPr>
              <w:t xml:space="preserve">Declaración expresa en 1.3 y en 2.3.2 de qué etapas quedan fuera y por qué; identificación en 2.3.2 de los elementos que la serie ya ha comprometido para esas etapas.</w:t>
            </w:r>
            <w:r/>
          </w:p>
        </w:tc>
        <w:tc>
          <w:tcPr>
            <w:shd w:val="clear" w:color="auto" w:fill="f2f2f2"/>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val="0"/>
                <w:bCs w:val="0"/>
                <w:sz w:val="17"/>
                <w:szCs w:val="17"/>
              </w:rPr>
              <w:t xml:space="preserve">—</w:t>
            </w:r>
            <w:r/>
          </w:p>
        </w:tc>
      </w:tr>
    </w:tbl>
    <w:p>
      <w:pPr>
        <w:pStyle w:val="918"/>
        <w:pBdr/>
        <w:spacing w:after="140" w:before="280"/>
        <w:ind/>
        <w:rPr>
          <w:color w:val="000000" w:themeColor="text1"/>
        </w:rPr>
      </w:pPr>
      <w:r>
        <w:rPr>
          <w:color w:val="000000" w:themeColor="text1"/>
        </w:rPr>
      </w:r>
      <w:bookmarkStart w:id="35" w:name="_Toc35"/>
      <w:r>
        <w:rPr>
          <w:rFonts w:ascii="Calibri" w:hAnsi="Calibri" w:eastAsia="Calibri" w:cs="Calibri"/>
          <w:b/>
          <w:bCs/>
          <w:color w:val="000000" w:themeColor="text1"/>
          <w:sz w:val="25"/>
          <w:szCs w:val="25"/>
        </w:rPr>
        <w:t xml:space="preserve">2.19 Verificación de la satisfacción de las restricciones organizacionales</w:t>
      </w:r>
      <w:bookmarkEnd w:id="35"/>
      <w:r>
        <w:rPr>
          <w:color w:val="000000" w:themeColor="text1"/>
        </w:rPr>
      </w:r>
    </w:p>
    <w:p>
      <w:pPr>
        <w:pBdr/>
        <w:spacing w:after="120" w:before="0" w:line="276" w:lineRule="auto"/>
        <w:ind/>
        <w:jc w:val="both"/>
        <w:rPr/>
      </w:pPr>
      <w:r>
        <w:rPr>
          <w:rFonts w:ascii="Calibri" w:hAnsi="Calibri" w:eastAsia="Calibri" w:cs="Calibri"/>
          <w:b w:val="0"/>
          <w:bCs w:val="0"/>
          <w:i w:val="0"/>
          <w:iCs w:val="0"/>
          <w:color w:val="000000"/>
          <w:sz w:val="22"/>
          <w:szCs w:val="22"/>
        </w:rPr>
        <w:t xml:space="preserve">El documento 1 declaró que los documentos 3 y 4 deben satisfacer las seis restricciones organizacionales o declarar por escrito el motivo de su incumplimiento. Se verifica a continuación, con el mismo formato que el Anexo C.3 de aquel documento emplea para la arquitectura.</w:t>
      </w:r>
      <w:r/>
    </w:p>
    <w:p>
      <w:pPr>
        <w:pBdr/>
        <w:spacing w:after="60"/>
        <w:ind/>
        <w:rPr/>
      </w:p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800"/>
        <w:gridCol w:w="2600"/>
        <w:gridCol w:w="4400"/>
        <w:gridCol w:w="1270"/>
      </w:tblGrid>
      <w:tr>
        <w:trPr>
          <w:tblHeader/>
        </w:trPr>
        <w:tc>
          <w:tcPr>
            <w:shd w:val="clear" w:color="auto" w:fill="dce6f1"/>
            <w:tcBorders/>
            <w:tcMar>
              <w:left w:w="90" w:type="dxa"/>
              <w:top w:w="60" w:type="dxa"/>
              <w:right w:w="90" w:type="dxa"/>
              <w:bottom w:w="60" w:type="dxa"/>
            </w:tcMar>
            <w:tcW w:w="800" w:type="dxa"/>
            <w:vAlign w:val="center"/>
          </w:tcPr>
          <w:p>
            <w:pPr>
              <w:pBdr/>
              <w:spacing w:after="30" w:before="30" w:line="240" w:lineRule="auto"/>
              <w:ind/>
              <w:jc w:val="left"/>
              <w:rPr/>
            </w:pPr>
            <w:r>
              <w:rPr>
                <w:rFonts w:ascii="Calibri" w:hAnsi="Calibri" w:eastAsia="Calibri" w:cs="Calibri"/>
                <w:b/>
                <w:bCs/>
                <w:sz w:val="17"/>
                <w:szCs w:val="17"/>
              </w:rPr>
              <w:t xml:space="preserve">ID</w:t>
            </w:r>
            <w:r/>
          </w:p>
        </w:tc>
        <w:tc>
          <w:tcPr>
            <w:shd w:val="clear" w:color="auto" w:fill="dce6f1"/>
            <w:tcBorders/>
            <w:tcMar>
              <w:left w:w="90" w:type="dxa"/>
              <w:top w:w="60" w:type="dxa"/>
              <w:right w:w="90" w:type="dxa"/>
              <w:bottom w:w="60" w:type="dxa"/>
            </w:tcMar>
            <w:tcW w:w="2600" w:type="dxa"/>
            <w:vAlign w:val="center"/>
          </w:tcPr>
          <w:p>
            <w:pPr>
              <w:pBdr/>
              <w:spacing w:after="30" w:before="30" w:line="240" w:lineRule="auto"/>
              <w:ind/>
              <w:jc w:val="left"/>
              <w:rPr/>
            </w:pPr>
            <w:r>
              <w:rPr>
                <w:rFonts w:ascii="Calibri" w:hAnsi="Calibri" w:eastAsia="Calibri" w:cs="Calibri"/>
                <w:b/>
                <w:bCs/>
                <w:sz w:val="17"/>
                <w:szCs w:val="17"/>
              </w:rPr>
              <w:t xml:space="preserve">Consecuencia esperada sobre la metodología</w:t>
            </w:r>
            <w:r/>
          </w:p>
        </w:tc>
        <w:tc>
          <w:tcPr>
            <w:shd w:val="clear" w:color="auto" w:fill="dce6f1"/>
            <w:tcBorders/>
            <w:tcMar>
              <w:left w:w="90" w:type="dxa"/>
              <w:top w:w="60" w:type="dxa"/>
              <w:right w:w="90" w:type="dxa"/>
              <w:bottom w:w="60" w:type="dxa"/>
            </w:tcMar>
            <w:tcW w:w="4400" w:type="dxa"/>
            <w:vAlign w:val="center"/>
          </w:tcPr>
          <w:p>
            <w:pPr>
              <w:pBdr/>
              <w:spacing w:after="30" w:before="30" w:line="240" w:lineRule="auto"/>
              <w:ind/>
              <w:jc w:val="left"/>
              <w:rPr/>
            </w:pPr>
            <w:r>
              <w:rPr>
                <w:rFonts w:ascii="Calibri" w:hAnsi="Calibri" w:eastAsia="Calibri" w:cs="Calibri"/>
                <w:b/>
                <w:bCs/>
                <w:sz w:val="17"/>
                <w:szCs w:val="17"/>
              </w:rPr>
              <w:t xml:space="preserve">Decisión de este documento que la satisface</w:t>
            </w:r>
            <w:r/>
          </w:p>
        </w:tc>
        <w:tc>
          <w:tcPr>
            <w:shd w:val="clear" w:color="auto" w:fill="dce6f1"/>
            <w:tcBorders/>
            <w:tcMar>
              <w:left w:w="90" w:type="dxa"/>
              <w:top w:w="60" w:type="dxa"/>
              <w:right w:w="90" w:type="dxa"/>
              <w:bottom w:w="60" w:type="dxa"/>
            </w:tcMar>
            <w:tcW w:w="1270" w:type="dxa"/>
            <w:vAlign w:val="center"/>
          </w:tcPr>
          <w:p>
            <w:pPr>
              <w:pBdr/>
              <w:spacing w:after="30" w:before="30" w:line="240" w:lineRule="auto"/>
              <w:ind/>
              <w:jc w:val="left"/>
              <w:rPr/>
            </w:pPr>
            <w:r>
              <w:rPr>
                <w:rFonts w:ascii="Calibri" w:hAnsi="Calibri" w:eastAsia="Calibri" w:cs="Calibri"/>
                <w:b/>
                <w:bCs/>
                <w:sz w:val="17"/>
                <w:szCs w:val="17"/>
              </w:rPr>
              <w:t xml:space="preserve">¿Satisfecha?</w:t>
            </w: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RO-01</w:t>
            </w:r>
            <w:r/>
          </w:p>
        </w:tc>
        <w:tc>
          <w:tcPr>
            <w:shd w:val="clear" w:color="auto" w:fill="ffffff"/>
            <w:tcBorders/>
            <w:tcMar>
              <w:left w:w="90" w:type="dxa"/>
              <w:top w:w="55" w:type="dxa"/>
              <w:right w:w="90" w:type="dxa"/>
              <w:bottom w:w="55" w:type="dxa"/>
            </w:tcMar>
            <w:tcW w:w="2600" w:type="dxa"/>
            <w:vAlign w:val="top"/>
          </w:tcPr>
          <w:p>
            <w:pPr>
              <w:pBdr/>
              <w:spacing w:after="30" w:before="30" w:line="240" w:lineRule="auto"/>
              <w:ind/>
              <w:jc w:val="left"/>
              <w:rPr/>
            </w:pPr>
            <w:r>
              <w:rPr>
                <w:rFonts w:ascii="Calibri" w:hAnsi="Calibri" w:eastAsia="Calibri" w:cs="Calibri"/>
                <w:b w:val="0"/>
                <w:bCs w:val="0"/>
                <w:sz w:val="17"/>
                <w:szCs w:val="17"/>
              </w:rPr>
              <w:t xml:space="preserve">El proceso no puede exigir más roles diferenciados de los que dos personas pueden asumir.</w:t>
            </w:r>
            <w:r/>
          </w:p>
        </w:tc>
        <w:tc>
          <w:tcPr>
            <w:shd w:val="clear" w:color="auto" w:fill="ffffff"/>
            <w:tcBorders/>
            <w:tcMar>
              <w:left w:w="90" w:type="dxa"/>
              <w:top w:w="55" w:type="dxa"/>
              <w:right w:w="90" w:type="dxa"/>
              <w:bottom w:w="55" w:type="dxa"/>
            </w:tcMar>
            <w:tcW w:w="4400" w:type="dxa"/>
            <w:vAlign w:val="top"/>
          </w:tcPr>
          <w:p>
            <w:pPr>
              <w:pBdr/>
              <w:spacing w:after="30" w:before="30" w:line="240" w:lineRule="auto"/>
              <w:ind/>
              <w:jc w:val="left"/>
              <w:rPr/>
            </w:pPr>
            <w:r>
              <w:rPr>
                <w:rFonts w:ascii="Calibri" w:hAnsi="Calibri" w:eastAsia="Calibri" w:cs="Calibri"/>
                <w:b w:val="0"/>
                <w:bCs w:val="0"/>
                <w:sz w:val="17"/>
                <w:szCs w:val="17"/>
              </w:rPr>
              <w:t xml:space="preserve">DM-02, roles compartidos con rotación de la conducción, habilitado como adaptación por la ISO/IEC 29110. El criterio CM-02 recibió el peso mayor de la matriz por esta razón, y fue el determinante del descarte del Proceso Unificado.</w:t>
            </w:r>
            <w:r/>
          </w:p>
        </w:tc>
        <w:tc>
          <w:tcPr>
            <w:shd w:val="clear" w:color="auto" w:fill="ffffff"/>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bCs/>
                <w:sz w:val="17"/>
                <w:szCs w:val="17"/>
              </w:rPr>
              <w:t xml:space="preserve">Sí</w:t>
            </w: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RO-02</w:t>
            </w:r>
            <w:r/>
          </w:p>
        </w:tc>
        <w:tc>
          <w:tcPr>
            <w:shd w:val="clear" w:color="auto" w:fill="f2f2f2"/>
            <w:tcBorders/>
            <w:tcMar>
              <w:left w:w="90" w:type="dxa"/>
              <w:top w:w="55" w:type="dxa"/>
              <w:right w:w="90" w:type="dxa"/>
              <w:bottom w:w="55" w:type="dxa"/>
            </w:tcMar>
            <w:tcW w:w="2600" w:type="dxa"/>
            <w:vAlign w:val="top"/>
          </w:tcPr>
          <w:p>
            <w:pPr>
              <w:pBdr/>
              <w:spacing w:after="30" w:before="30" w:line="240" w:lineRule="auto"/>
              <w:ind/>
              <w:jc w:val="left"/>
              <w:rPr/>
            </w:pPr>
            <w:r>
              <w:rPr>
                <w:rFonts w:ascii="Calibri" w:hAnsi="Calibri" w:eastAsia="Calibri" w:cs="Calibri"/>
                <w:b w:val="0"/>
                <w:bCs w:val="0"/>
                <w:sz w:val="17"/>
                <w:szCs w:val="17"/>
              </w:rPr>
              <w:t xml:space="preserve">El proceso debe funcionar sin personal de operación dedicado.</w:t>
            </w:r>
            <w:r/>
          </w:p>
        </w:tc>
        <w:tc>
          <w:tcPr>
            <w:shd w:val="clear" w:color="auto" w:fill="f2f2f2"/>
            <w:tcBorders/>
            <w:tcMar>
              <w:left w:w="90" w:type="dxa"/>
              <w:top w:w="55" w:type="dxa"/>
              <w:right w:w="90" w:type="dxa"/>
              <w:bottom w:w="55" w:type="dxa"/>
            </w:tcMar>
            <w:tcW w:w="4400" w:type="dxa"/>
            <w:vAlign w:val="top"/>
          </w:tcPr>
          <w:p>
            <w:pPr>
              <w:pBdr/>
              <w:spacing w:after="30" w:before="30" w:line="240" w:lineRule="auto"/>
              <w:ind/>
              <w:jc w:val="left"/>
              <w:rPr/>
            </w:pPr>
            <w:r>
              <w:rPr>
                <w:rFonts w:ascii="Calibri" w:hAnsi="Calibri" w:eastAsia="Calibri" w:cs="Calibri"/>
                <w:b w:val="0"/>
                <w:bCs w:val="0"/>
                <w:sz w:val="17"/>
                <w:szCs w:val="17"/>
              </w:rPr>
              <w:t xml:space="preserve">DM-06, integración y verificación continuas automatizadas, y descarte expreso del despliegue continuo a producción en 2.4 por esta misma restricción.</w:t>
            </w:r>
            <w:r/>
          </w:p>
        </w:tc>
        <w:tc>
          <w:tcPr>
            <w:shd w:val="clear" w:color="auto" w:fill="f2f2f2"/>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bCs/>
                <w:sz w:val="17"/>
                <w:szCs w:val="17"/>
              </w:rPr>
              <w:t xml:space="preserve">Sí</w:t>
            </w: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RO-03</w:t>
            </w:r>
            <w:r/>
          </w:p>
        </w:tc>
        <w:tc>
          <w:tcPr>
            <w:shd w:val="clear" w:color="auto" w:fill="ffffff"/>
            <w:tcBorders/>
            <w:tcMar>
              <w:left w:w="90" w:type="dxa"/>
              <w:top w:w="55" w:type="dxa"/>
              <w:right w:w="90" w:type="dxa"/>
              <w:bottom w:w="55" w:type="dxa"/>
            </w:tcMar>
            <w:tcW w:w="2600" w:type="dxa"/>
            <w:vAlign w:val="top"/>
          </w:tcPr>
          <w:p>
            <w:pPr>
              <w:pBdr/>
              <w:spacing w:after="30" w:before="30" w:line="240" w:lineRule="auto"/>
              <w:ind/>
              <w:jc w:val="left"/>
              <w:rPr/>
            </w:pPr>
            <w:r>
              <w:rPr>
                <w:rFonts w:ascii="Calibri" w:hAnsi="Calibri" w:eastAsia="Calibri" w:cs="Calibri"/>
                <w:b w:val="0"/>
                <w:bCs w:val="0"/>
                <w:sz w:val="17"/>
                <w:szCs w:val="17"/>
              </w:rPr>
              <w:t xml:space="preserve">El instrumental del proceso debe ser de costo nulo o marginal.</w:t>
            </w:r>
            <w:r/>
          </w:p>
        </w:tc>
        <w:tc>
          <w:tcPr>
            <w:shd w:val="clear" w:color="auto" w:fill="ffffff"/>
            <w:tcBorders/>
            <w:tcMar>
              <w:left w:w="90" w:type="dxa"/>
              <w:top w:w="55" w:type="dxa"/>
              <w:right w:w="90" w:type="dxa"/>
              <w:bottom w:w="55" w:type="dxa"/>
            </w:tcMar>
            <w:tcW w:w="4400" w:type="dxa"/>
            <w:vAlign w:val="top"/>
          </w:tcPr>
          <w:p>
            <w:pPr>
              <w:pBdr/>
              <w:spacing w:after="30" w:before="30" w:line="240" w:lineRule="auto"/>
              <w:ind/>
              <w:jc w:val="left"/>
              <w:rPr/>
            </w:pPr>
            <w:r>
              <w:rPr>
                <w:rFonts w:ascii="Calibri" w:hAnsi="Calibri" w:eastAsia="Calibri" w:cs="Calibri"/>
                <w:b w:val="0"/>
                <w:bCs w:val="0"/>
                <w:sz w:val="17"/>
                <w:szCs w:val="17"/>
              </w:rPr>
              <w:t xml:space="preserve">Declarado como supuesto en 1.3, que excluye la selección nominal de herramientas y fija las capacidades exigidas. Ninguna decisión de este documento presupone instrumental de pago.</w:t>
            </w:r>
            <w:r/>
          </w:p>
        </w:tc>
        <w:tc>
          <w:tcPr>
            <w:shd w:val="clear" w:color="auto" w:fill="ffffff"/>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bCs/>
                <w:sz w:val="17"/>
                <w:szCs w:val="17"/>
              </w:rPr>
              <w:t xml:space="preserve">Sí</w:t>
            </w: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RO-04</w:t>
            </w:r>
            <w:r/>
          </w:p>
        </w:tc>
        <w:tc>
          <w:tcPr>
            <w:shd w:val="clear" w:color="auto" w:fill="f2f2f2"/>
            <w:tcBorders/>
            <w:tcMar>
              <w:left w:w="90" w:type="dxa"/>
              <w:top w:w="55" w:type="dxa"/>
              <w:right w:w="90" w:type="dxa"/>
              <w:bottom w:w="55" w:type="dxa"/>
            </w:tcMar>
            <w:tcW w:w="2600" w:type="dxa"/>
            <w:vAlign w:val="top"/>
          </w:tcPr>
          <w:p>
            <w:pPr>
              <w:pBdr/>
              <w:spacing w:after="30" w:before="30" w:line="240" w:lineRule="auto"/>
              <w:ind/>
              <w:jc w:val="left"/>
              <w:rPr/>
            </w:pPr>
            <w:r>
              <w:rPr>
                <w:rFonts w:ascii="Calibri" w:hAnsi="Calibri" w:eastAsia="Calibri" w:cs="Calibri"/>
                <w:b w:val="0"/>
                <w:bCs w:val="0"/>
                <w:sz w:val="17"/>
                <w:szCs w:val="17"/>
              </w:rPr>
              <w:t xml:space="preserve">Debe existir una frontera de aceptación entre quien construye y quien administra.</w:t>
            </w:r>
            <w:r/>
          </w:p>
        </w:tc>
        <w:tc>
          <w:tcPr>
            <w:shd w:val="clear" w:color="auto" w:fill="f2f2f2"/>
            <w:tcBorders/>
            <w:tcMar>
              <w:left w:w="90" w:type="dxa"/>
              <w:top w:w="55" w:type="dxa"/>
              <w:right w:w="90" w:type="dxa"/>
              <w:bottom w:w="55" w:type="dxa"/>
            </w:tcMar>
            <w:tcW w:w="4400" w:type="dxa"/>
            <w:vAlign w:val="top"/>
          </w:tcPr>
          <w:p>
            <w:pPr>
              <w:pBdr/>
              <w:spacing w:after="30" w:before="30" w:line="240" w:lineRule="auto"/>
              <w:ind/>
              <w:jc w:val="left"/>
              <w:rPr/>
            </w:pPr>
            <w:r>
              <w:rPr>
                <w:rFonts w:ascii="Calibri" w:hAnsi="Calibri" w:eastAsia="Calibri" w:cs="Calibri"/>
                <w:b w:val="0"/>
                <w:bCs w:val="0"/>
                <w:sz w:val="17"/>
                <w:szCs w:val="17"/>
              </w:rPr>
              <w:t xml:space="preserve">DM-05, revisión cruzada obligatoria antes de integrar, y condición 5 de la Definición de Terminado. Se declara una satisfacción parcial y su motivo: con dos personas, la segregación disponible es la revisión mutua dentro de U-01, no la separación entre U-01 y U-02 que la restricción describe en el plano operativo del sistema.</w:t>
            </w:r>
            <w:r/>
          </w:p>
        </w:tc>
        <w:tc>
          <w:tcPr>
            <w:shd w:val="clear" w:color="auto" w:fill="f2f2f2"/>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bCs/>
                <w:sz w:val="17"/>
                <w:szCs w:val="17"/>
              </w:rPr>
              <w:t xml:space="preserve">Sí, en el plano del proceso</w:t>
            </w:r>
            <w:r/>
          </w:p>
        </w:tc>
      </w:tr>
      <w:tr>
        <w:trPr/>
        <w:tc>
          <w:tcPr>
            <w:shd w:val="clear" w:color="auto" w:fill="ffffff"/>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RO-05</w:t>
            </w:r>
            <w:r/>
          </w:p>
        </w:tc>
        <w:tc>
          <w:tcPr>
            <w:shd w:val="clear" w:color="auto" w:fill="ffffff"/>
            <w:tcBorders/>
            <w:tcMar>
              <w:left w:w="90" w:type="dxa"/>
              <w:top w:w="55" w:type="dxa"/>
              <w:right w:w="90" w:type="dxa"/>
              <w:bottom w:w="55" w:type="dxa"/>
            </w:tcMar>
            <w:tcW w:w="2600" w:type="dxa"/>
            <w:vAlign w:val="top"/>
          </w:tcPr>
          <w:p>
            <w:pPr>
              <w:pBdr/>
              <w:spacing w:after="30" w:before="30" w:line="240" w:lineRule="auto"/>
              <w:ind/>
              <w:jc w:val="left"/>
              <w:rPr/>
            </w:pPr>
            <w:r>
              <w:rPr>
                <w:rFonts w:ascii="Calibri" w:hAnsi="Calibri" w:eastAsia="Calibri" w:cs="Calibri"/>
                <w:b w:val="0"/>
                <w:bCs w:val="0"/>
                <w:sz w:val="17"/>
                <w:szCs w:val="17"/>
              </w:rPr>
              <w:t xml:space="preserve">La coordinación del proceso no debe exigir mediación costosa ni capas intermedias.</w:t>
            </w:r>
            <w:r/>
          </w:p>
        </w:tc>
        <w:tc>
          <w:tcPr>
            <w:shd w:val="clear" w:color="auto" w:fill="ffffff"/>
            <w:tcBorders/>
            <w:tcMar>
              <w:left w:w="90" w:type="dxa"/>
              <w:top w:w="55" w:type="dxa"/>
              <w:right w:w="90" w:type="dxa"/>
              <w:bottom w:w="55" w:type="dxa"/>
            </w:tcMar>
            <w:tcW w:w="4400" w:type="dxa"/>
            <w:vAlign w:val="top"/>
          </w:tcPr>
          <w:p>
            <w:pPr>
              <w:pBdr/>
              <w:spacing w:after="30" w:before="30" w:line="240" w:lineRule="auto"/>
              <w:ind/>
              <w:jc w:val="left"/>
              <w:rPr/>
            </w:pPr>
            <w:r>
              <w:rPr>
                <w:rFonts w:ascii="Calibri" w:hAnsi="Calibri" w:eastAsia="Calibri" w:cs="Calibri"/>
                <w:b w:val="0"/>
                <w:bCs w:val="0"/>
                <w:sz w:val="17"/>
                <w:szCs w:val="17"/>
              </w:rPr>
              <w:t xml:space="preserve">DM-03, sincronización asíncrona escrita sin intermediarios, y el peso asignado a CM-07, bajo costo ceremonial, que penalizó explícitamente los marcos de mayor formalización.</w:t>
            </w:r>
            <w:r/>
          </w:p>
        </w:tc>
        <w:tc>
          <w:tcPr>
            <w:shd w:val="clear" w:color="auto" w:fill="ffffff"/>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bCs/>
                <w:sz w:val="17"/>
                <w:szCs w:val="17"/>
              </w:rPr>
              <w:t xml:space="preserve">Sí</w:t>
            </w:r>
            <w:r/>
          </w:p>
        </w:tc>
      </w:tr>
      <w:tr>
        <w:trPr/>
        <w:tc>
          <w:tcPr>
            <w:shd w:val="clear" w:color="auto" w:fill="f2f2f2"/>
            <w:tcBorders/>
            <w:tcMar>
              <w:left w:w="90" w:type="dxa"/>
              <w:top w:w="55" w:type="dxa"/>
              <w:right w:w="90" w:type="dxa"/>
              <w:bottom w:w="55" w:type="dxa"/>
            </w:tcMar>
            <w:tcW w:w="800" w:type="dxa"/>
            <w:vAlign w:val="top"/>
          </w:tcPr>
          <w:p>
            <w:pPr>
              <w:pBdr/>
              <w:spacing w:after="30" w:before="30" w:line="240" w:lineRule="auto"/>
              <w:ind/>
              <w:jc w:val="left"/>
              <w:rPr/>
            </w:pPr>
            <w:r>
              <w:rPr>
                <w:rFonts w:ascii="Calibri" w:hAnsi="Calibri" w:eastAsia="Calibri" w:cs="Calibri"/>
                <w:b w:val="0"/>
                <w:bCs w:val="0"/>
                <w:sz w:val="17"/>
                <w:szCs w:val="17"/>
              </w:rPr>
              <w:t xml:space="preserve">RO-06</w:t>
            </w:r>
            <w:r/>
          </w:p>
        </w:tc>
        <w:tc>
          <w:tcPr>
            <w:shd w:val="clear" w:color="auto" w:fill="f2f2f2"/>
            <w:tcBorders/>
            <w:tcMar>
              <w:left w:w="90" w:type="dxa"/>
              <w:top w:w="55" w:type="dxa"/>
              <w:right w:w="90" w:type="dxa"/>
              <w:bottom w:w="55" w:type="dxa"/>
            </w:tcMar>
            <w:tcW w:w="2600" w:type="dxa"/>
            <w:vAlign w:val="top"/>
          </w:tcPr>
          <w:p>
            <w:pPr>
              <w:pBdr/>
              <w:spacing w:after="30" w:before="30" w:line="240" w:lineRule="auto"/>
              <w:ind/>
              <w:jc w:val="left"/>
              <w:rPr/>
            </w:pPr>
            <w:r>
              <w:rPr>
                <w:rFonts w:ascii="Calibri" w:hAnsi="Calibri" w:eastAsia="Calibri" w:cs="Calibri"/>
                <w:b w:val="0"/>
                <w:bCs w:val="0"/>
                <w:sz w:val="17"/>
                <w:szCs w:val="17"/>
              </w:rPr>
              <w:t xml:space="preserve">El proceso debe incorporar validación con usuarios de alfabetización digital baja sobre dispositivos y redes reales.</w:t>
            </w:r>
            <w:r/>
          </w:p>
        </w:tc>
        <w:tc>
          <w:tcPr>
            <w:shd w:val="clear" w:color="auto" w:fill="f2f2f2"/>
            <w:tcBorders/>
            <w:tcMar>
              <w:left w:w="90" w:type="dxa"/>
              <w:top w:w="55" w:type="dxa"/>
              <w:right w:w="90" w:type="dxa"/>
              <w:bottom w:w="55" w:type="dxa"/>
            </w:tcMar>
            <w:tcW w:w="4400" w:type="dxa"/>
            <w:vAlign w:val="top"/>
          </w:tcPr>
          <w:p>
            <w:pPr>
              <w:pBdr/>
              <w:spacing w:after="30" w:before="30" w:line="240" w:lineRule="auto"/>
              <w:ind/>
              <w:jc w:val="left"/>
              <w:rPr/>
            </w:pPr>
            <w:r>
              <w:rPr>
                <w:rFonts w:ascii="Calibri" w:hAnsi="Calibri" w:eastAsia="Calibri" w:cs="Calibri"/>
                <w:b w:val="0"/>
                <w:bCs w:val="0"/>
                <w:sz w:val="17"/>
                <w:szCs w:val="17"/>
              </w:rPr>
              <w:t xml:space="preserve">Prototipado desechable de los flujos de registro y publicación en 2.15; revisión del incremento de PR-04 alimentada por la retroalimentación de campo que U-03 recoge; y orden de iteraciones que sitúa esos flujos en IT-02, IT-03 e IT-04, es decir, temprano.</w:t>
            </w:r>
            <w:r/>
          </w:p>
        </w:tc>
        <w:tc>
          <w:tcPr>
            <w:shd w:val="clear" w:color="auto" w:fill="f2f2f2"/>
            <w:tcBorders/>
            <w:tcMar>
              <w:left w:w="90" w:type="dxa"/>
              <w:top w:w="55" w:type="dxa"/>
              <w:right w:w="90" w:type="dxa"/>
              <w:bottom w:w="55" w:type="dxa"/>
            </w:tcMar>
            <w:tcW w:w="1270" w:type="dxa"/>
            <w:vAlign w:val="top"/>
          </w:tcPr>
          <w:p>
            <w:pPr>
              <w:pBdr/>
              <w:spacing w:after="30" w:before="30" w:line="240" w:lineRule="auto"/>
              <w:ind/>
              <w:jc w:val="left"/>
              <w:rPr/>
            </w:pPr>
            <w:r>
              <w:rPr>
                <w:rFonts w:ascii="Calibri" w:hAnsi="Calibri" w:eastAsia="Calibri" w:cs="Calibri"/>
                <w:b/>
                <w:bCs/>
                <w:sz w:val="17"/>
                <w:szCs w:val="17"/>
              </w:rPr>
              <w:t xml:space="preserve">Sí</w:t>
            </w:r>
            <w:r/>
          </w:p>
        </w:tc>
      </w:tr>
    </w:tbl>
    <w:p>
      <w:pPr>
        <w:pBdr/>
        <w:spacing w:after="120" w:before="0" w:line="276" w:lineRule="auto"/>
        <w:ind/>
        <w:jc w:val="both"/>
        <w:rPr/>
      </w:pPr>
      <w:r>
        <w:rPr>
          <w:rFonts w:ascii="Calibri" w:hAnsi="Calibri" w:eastAsia="Calibri" w:cs="Calibri"/>
          <w:b w:val="0"/>
          <w:bCs w:val="0"/>
          <w:i w:val="0"/>
          <w:iCs w:val="0"/>
          <w:color w:val="000000"/>
          <w:sz w:val="22"/>
          <w:szCs w:val="22"/>
        </w:rPr>
        <w:t xml:space="preserve">Se reitera la misma cautela que el documento 1 declaró para la arquitectura: RO-01 a RO-06 se formalizaron con posterioridad a algunas de las decisiones que aquí se verifican, de modo que la verificación acredita coherencia entre la organización y el proceso, pero no constituye una predicción emitida de antemano. Se declara para no atribuir al ejercicio un valor probatorio mayor del que tiene.</w:t>
      </w:r>
      <w:r/>
    </w:p>
    <w:p>
      <w:pPr>
        <w:pStyle w:val="918"/>
        <w:pBdr/>
        <w:spacing w:after="140" w:before="280"/>
        <w:ind/>
        <w:rPr>
          <w:color w:val="000000" w:themeColor="text1"/>
        </w:rPr>
      </w:pPr>
      <w:r>
        <w:rPr>
          <w:color w:val="000000" w:themeColor="text1"/>
        </w:rPr>
      </w:r>
      <w:bookmarkStart w:id="36" w:name="_Toc36"/>
      <w:r>
        <w:rPr>
          <w:rFonts w:ascii="Calibri" w:hAnsi="Calibri" w:eastAsia="Calibri" w:cs="Calibri"/>
          <w:b/>
          <w:bCs/>
          <w:color w:val="000000" w:themeColor="text1"/>
          <w:sz w:val="25"/>
          <w:szCs w:val="25"/>
        </w:rPr>
        <w:t xml:space="preserve">2.20 Registro de adaptación conforme a ISO/IEC 29110</w:t>
      </w:r>
      <w:bookmarkEnd w:id="36"/>
      <w:r>
        <w:rPr>
          <w:color w:val="000000" w:themeColor="text1"/>
        </w:rPr>
      </w:r>
    </w:p>
    <w:p>
      <w:pPr>
        <w:pBdr/>
        <w:spacing w:after="120" w:before="0" w:line="276" w:lineRule="auto"/>
        <w:ind/>
        <w:jc w:val="both"/>
        <w:rPr/>
      </w:pPr>
      <w:r>
        <w:rPr>
          <w:rFonts w:ascii="Calibri" w:hAnsi="Calibri" w:eastAsia="Calibri" w:cs="Calibri"/>
          <w:b w:val="0"/>
          <w:bCs w:val="0"/>
          <w:i w:val="0"/>
          <w:iCs w:val="0"/>
          <w:color w:val="000000"/>
          <w:sz w:val="22"/>
          <w:szCs w:val="22"/>
        </w:rPr>
        <w:t xml:space="preserve">El apartado 2.8 del capítulo 10 del SWEBOK define la adaptación como la actividad de identificar las características relevantes, seleccionar los estándares aplicables, elegir la estrategia y el modelo de ciclo de vida, sus etapas y procesos, y </w:t>
      </w:r>
      <w:r>
        <w:rPr>
          <w:rFonts w:ascii="Calibri" w:hAnsi="Calibri" w:eastAsia="Calibri" w:cs="Calibri"/>
          <w:b/>
          <w:bCs/>
          <w:i w:val="0"/>
          <w:iCs w:val="0"/>
          <w:color w:val="000000"/>
          <w:sz w:val="22"/>
          <w:szCs w:val="22"/>
        </w:rPr>
        <w:t xml:space="preserve">documentar las decisiones y su justificación</w:t>
      </w:r>
      <w:r>
        <w:rPr>
          <w:rFonts w:ascii="Calibri" w:hAnsi="Calibri" w:eastAsia="Calibri" w:cs="Calibri"/>
          <w:b w:val="0"/>
          <w:bCs w:val="0"/>
          <w:i w:val="0"/>
          <w:iCs w:val="0"/>
          <w:color w:val="000000"/>
          <w:sz w:val="22"/>
          <w:szCs w:val="22"/>
        </w:rPr>
        <w:t xml:space="preserve">; y añade que la adaptación no exige conservar todos los nombres ni incluir todos los procesos. Este registro cumple esa última exigencia, que es la que con más frecuencia se omite.</w:t>
      </w:r>
      <w:r/>
    </w:p>
    <w:p>
      <w:pPr>
        <w:pBdr/>
        <w:spacing w:after="120" w:before="0" w:line="276" w:lineRule="auto"/>
        <w:ind/>
        <w:jc w:val="both"/>
        <w:rPr/>
      </w:pPr>
      <w:r>
        <w:rPr>
          <w:rFonts w:ascii="Calibri" w:hAnsi="Calibri" w:eastAsia="Calibri" w:cs="Calibri"/>
          <w:b w:val="0"/>
          <w:bCs w:val="0"/>
          <w:i w:val="0"/>
          <w:iCs w:val="0"/>
          <w:color w:val="000000"/>
          <w:sz w:val="22"/>
          <w:szCs w:val="22"/>
        </w:rPr>
        <w:t xml:space="preserve">El marco normativo de la adaptación es la serie ISO/IEC 29110, que la propia fuente cita como el ejemplo de derivación de la ISO/IEC/IEEE 12207 para Entidades Muy Pequeñas. La organización simulada, con siete personas en planilla y dos en su unidad de construcción, se sitúa holgadamente dentro del ámbito de aplicación de esa serie.</w:t>
      </w:r>
      <w:r/>
    </w:p>
    <w:p>
      <w:pPr>
        <w:pBdr/>
        <w:spacing w:after="60"/>
        <w:ind/>
        <w:rPr/>
      </w:p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2500"/>
        <w:gridCol w:w="1500"/>
        <w:gridCol w:w="5070"/>
      </w:tblGrid>
      <w:tr>
        <w:trPr>
          <w:tblHeader/>
        </w:trPr>
        <w:tc>
          <w:tcPr>
            <w:shd w:val="clear" w:color="auto" w:fill="dce6f1"/>
            <w:tcBorders/>
            <w:tcMar>
              <w:left w:w="90" w:type="dxa"/>
              <w:top w:w="60" w:type="dxa"/>
              <w:right w:w="90" w:type="dxa"/>
              <w:bottom w:w="60" w:type="dxa"/>
            </w:tcMar>
            <w:tcW w:w="2500" w:type="dxa"/>
            <w:vAlign w:val="center"/>
          </w:tcPr>
          <w:p>
            <w:pPr>
              <w:pBdr/>
              <w:spacing w:after="30" w:before="30" w:line="240" w:lineRule="auto"/>
              <w:ind/>
              <w:jc w:val="left"/>
              <w:rPr/>
            </w:pPr>
            <w:r>
              <w:rPr>
                <w:rFonts w:ascii="Calibri" w:hAnsi="Calibri" w:eastAsia="Calibri" w:cs="Calibri"/>
                <w:b/>
                <w:bCs/>
                <w:sz w:val="17"/>
                <w:szCs w:val="17"/>
              </w:rPr>
              <w:t xml:space="preserve">Elemento del marco de referencia</w:t>
            </w:r>
            <w:r/>
          </w:p>
        </w:tc>
        <w:tc>
          <w:tcPr>
            <w:shd w:val="clear" w:color="auto" w:fill="dce6f1"/>
            <w:tcBorders/>
            <w:tcMar>
              <w:left w:w="90" w:type="dxa"/>
              <w:top w:w="60" w:type="dxa"/>
              <w:right w:w="90" w:type="dxa"/>
              <w:bottom w:w="60" w:type="dxa"/>
            </w:tcMar>
            <w:tcW w:w="1500" w:type="dxa"/>
            <w:vAlign w:val="center"/>
          </w:tcPr>
          <w:p>
            <w:pPr>
              <w:pBdr/>
              <w:spacing w:after="30" w:before="30" w:line="240" w:lineRule="auto"/>
              <w:ind/>
              <w:jc w:val="left"/>
              <w:rPr/>
            </w:pPr>
            <w:r>
              <w:rPr>
                <w:rFonts w:ascii="Calibri" w:hAnsi="Calibri" w:eastAsia="Calibri" w:cs="Calibri"/>
                <w:b/>
                <w:bCs/>
                <w:sz w:val="17"/>
                <w:szCs w:val="17"/>
              </w:rPr>
              <w:t xml:space="preserve">Decisión</w:t>
            </w:r>
            <w:r/>
          </w:p>
        </w:tc>
        <w:tc>
          <w:tcPr>
            <w:shd w:val="clear" w:color="auto" w:fill="dce6f1"/>
            <w:tcBorders/>
            <w:tcMar>
              <w:left w:w="90" w:type="dxa"/>
              <w:top w:w="60" w:type="dxa"/>
              <w:right w:w="90" w:type="dxa"/>
              <w:bottom w:w="60" w:type="dxa"/>
            </w:tcMar>
            <w:tcW w:w="5070" w:type="dxa"/>
            <w:vAlign w:val="center"/>
          </w:tcPr>
          <w:p>
            <w:pPr>
              <w:pBdr/>
              <w:spacing w:after="30" w:before="30" w:line="240" w:lineRule="auto"/>
              <w:ind/>
              <w:jc w:val="left"/>
              <w:rPr/>
            </w:pPr>
            <w:r>
              <w:rPr>
                <w:rFonts w:ascii="Calibri" w:hAnsi="Calibri" w:eastAsia="Calibri" w:cs="Calibri"/>
                <w:b/>
                <w:bCs/>
                <w:sz w:val="17"/>
                <w:szCs w:val="17"/>
              </w:rPr>
              <w:t xml:space="preserve">Justificación</w:t>
            </w:r>
            <w:r/>
          </w:p>
        </w:tc>
      </w:tr>
      <w:tr>
        <w:trPr/>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Responsable dedicado de conducción del proceso</w:t>
            </w: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bCs/>
                <w:sz w:val="17"/>
                <w:szCs w:val="17"/>
              </w:rPr>
              <w:t xml:space="preserve">Omitido</w:t>
            </w:r>
            <w:r/>
          </w:p>
        </w:tc>
        <w:tc>
          <w:tcPr>
            <w:shd w:val="clear" w:color="auto" w:fill="ffffff"/>
            <w:tcBorders/>
            <w:tcMar>
              <w:left w:w="90" w:type="dxa"/>
              <w:top w:w="55" w:type="dxa"/>
              <w:right w:w="90" w:type="dxa"/>
              <w:bottom w:w="55" w:type="dxa"/>
            </w:tcMar>
            <w:tcW w:w="5070" w:type="dxa"/>
            <w:vAlign w:val="top"/>
          </w:tcPr>
          <w:p>
            <w:pPr>
              <w:pBdr/>
              <w:spacing w:after="30" w:before="30" w:line="240" w:lineRule="auto"/>
              <w:ind/>
              <w:jc w:val="left"/>
              <w:rPr/>
            </w:pPr>
            <w:r>
              <w:rPr>
                <w:rFonts w:ascii="Calibri" w:hAnsi="Calibri" w:eastAsia="Calibri" w:cs="Calibri"/>
                <w:b w:val="0"/>
                <w:bCs w:val="0"/>
                <w:sz w:val="17"/>
                <w:szCs w:val="17"/>
              </w:rPr>
              <w:t xml:space="preserve">RO-01. Su función se distribuye y rota conforme a DM-02. Se acepta el riesgo RM-02 y se mitiga con el carácter escrito de la retrospectiva.</w:t>
            </w:r>
            <w:r/>
          </w:p>
        </w:tc>
      </w:tr>
      <w:tr>
        <w:trPr/>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Responsable del producto externo al equipo constructor</w:t>
            </w: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bCs/>
                <w:sz w:val="17"/>
                <w:szCs w:val="17"/>
              </w:rPr>
              <w:t xml:space="preserve">Sustituido</w:t>
            </w:r>
            <w:r/>
          </w:p>
        </w:tc>
        <w:tc>
          <w:tcPr>
            <w:shd w:val="clear" w:color="auto" w:fill="f2f2f2"/>
            <w:tcBorders/>
            <w:tcMar>
              <w:left w:w="90" w:type="dxa"/>
              <w:top w:w="55" w:type="dxa"/>
              <w:right w:w="90" w:type="dxa"/>
              <w:bottom w:w="55" w:type="dxa"/>
            </w:tcMar>
            <w:tcW w:w="5070" w:type="dxa"/>
            <w:vAlign w:val="top"/>
          </w:tcPr>
          <w:p>
            <w:pPr>
              <w:pBdr/>
              <w:spacing w:after="30" w:before="30" w:line="240" w:lineRule="auto"/>
              <w:ind/>
              <w:jc w:val="left"/>
              <w:rPr/>
            </w:pPr>
            <w:r>
              <w:rPr>
                <w:rFonts w:ascii="Calibri" w:hAnsi="Calibri" w:eastAsia="Calibri" w:cs="Calibri"/>
                <w:b w:val="0"/>
                <w:bCs w:val="0"/>
                <w:sz w:val="17"/>
                <w:szCs w:val="17"/>
              </w:rPr>
              <w:t xml:space="preserve">La función de decidir qué entra en la pila y con qué prioridad la ejerce la Dirección General de la organización simulada, apoyada en la retroalimentación de campo que U-03 recoge. Se sustituye la persona, no la función.</w:t>
            </w:r>
            <w:r/>
          </w:p>
        </w:tc>
      </w:tr>
      <w:tr>
        <w:trPr/>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Reunión diaria sincrónica</w:t>
            </w: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bCs/>
                <w:sz w:val="17"/>
                <w:szCs w:val="17"/>
              </w:rPr>
              <w:t xml:space="preserve">Sustituida</w:t>
            </w:r>
            <w:r/>
          </w:p>
        </w:tc>
        <w:tc>
          <w:tcPr>
            <w:shd w:val="clear" w:color="auto" w:fill="ffffff"/>
            <w:tcBorders/>
            <w:tcMar>
              <w:left w:w="90" w:type="dxa"/>
              <w:top w:w="55" w:type="dxa"/>
              <w:right w:w="90" w:type="dxa"/>
              <w:bottom w:w="55" w:type="dxa"/>
            </w:tcMar>
            <w:tcW w:w="5070" w:type="dxa"/>
            <w:vAlign w:val="top"/>
          </w:tcPr>
          <w:p>
            <w:pPr>
              <w:pBdr/>
              <w:spacing w:after="30" w:before="30" w:line="240" w:lineRule="auto"/>
              <w:ind/>
              <w:jc w:val="left"/>
              <w:rPr/>
            </w:pPr>
            <w:r>
              <w:rPr>
                <w:rFonts w:ascii="Calibri" w:hAnsi="Calibri" w:eastAsia="Calibri" w:cs="Calibri"/>
                <w:b w:val="0"/>
                <w:bCs w:val="0"/>
                <w:sz w:val="17"/>
                <w:szCs w:val="17"/>
              </w:rPr>
              <w:t xml:space="preserve">FD-02. Su función se conserva mediante PR-03, sincronización asíncrona escrita, con la regla de las veinticuatro horas como equivalente funcional de la frecuencia diaria.</w:t>
            </w:r>
            <w:r/>
          </w:p>
        </w:tc>
      </w:tr>
      <w:tr>
        <w:trPr/>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Iteraciones de duración fija</w:t>
            </w: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bCs/>
                <w:sz w:val="17"/>
                <w:szCs w:val="17"/>
              </w:rPr>
              <w:t xml:space="preserve">Conservado</w:t>
            </w:r>
            <w:r/>
          </w:p>
        </w:tc>
        <w:tc>
          <w:tcPr>
            <w:shd w:val="clear" w:color="auto" w:fill="f2f2f2"/>
            <w:tcBorders/>
            <w:tcMar>
              <w:left w:w="90" w:type="dxa"/>
              <w:top w:w="55" w:type="dxa"/>
              <w:right w:w="90" w:type="dxa"/>
              <w:bottom w:w="55" w:type="dxa"/>
            </w:tcMar>
            <w:tcW w:w="5070" w:type="dxa"/>
            <w:vAlign w:val="top"/>
          </w:tcPr>
          <w:p>
            <w:pPr>
              <w:pBdr/>
              <w:spacing w:after="30" w:before="30" w:line="240" w:lineRule="auto"/>
              <w:ind/>
              <w:jc w:val="left"/>
              <w:rPr/>
            </w:pPr>
            <w:r>
              <w:rPr>
                <w:rFonts w:ascii="Calibri" w:hAnsi="Calibri" w:eastAsia="Calibri" w:cs="Calibri"/>
                <w:b w:val="0"/>
                <w:bCs w:val="0"/>
                <w:sz w:val="17"/>
                <w:szCs w:val="17"/>
              </w:rPr>
              <w:t xml:space="preserve">DM-01. Es condición necesaria para que MT-01 produzca una medida comparable.</w:t>
            </w:r>
            <w:r/>
          </w:p>
        </w:tc>
      </w:tr>
      <w:tr>
        <w:trPr/>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Estimación relativa y compromiso de iteración</w:t>
            </w: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bCs/>
                <w:sz w:val="17"/>
                <w:szCs w:val="17"/>
              </w:rPr>
              <w:t xml:space="preserve">Conservado, con calibración diferida</w:t>
            </w:r>
            <w:r/>
          </w:p>
        </w:tc>
        <w:tc>
          <w:tcPr>
            <w:shd w:val="clear" w:color="auto" w:fill="ffffff"/>
            <w:tcBorders/>
            <w:tcMar>
              <w:left w:w="90" w:type="dxa"/>
              <w:top w:w="55" w:type="dxa"/>
              <w:right w:w="90" w:type="dxa"/>
              <w:bottom w:w="55" w:type="dxa"/>
            </w:tcMar>
            <w:tcW w:w="5070" w:type="dxa"/>
            <w:vAlign w:val="top"/>
          </w:tcPr>
          <w:p>
            <w:pPr>
              <w:pBdr/>
              <w:spacing w:after="30" w:before="30" w:line="240" w:lineRule="auto"/>
              <w:ind/>
              <w:jc w:val="left"/>
              <w:rPr/>
            </w:pPr>
            <w:r>
              <w:rPr>
                <w:rFonts w:ascii="Calibri" w:hAnsi="Calibri" w:eastAsia="Calibri" w:cs="Calibri"/>
                <w:b w:val="0"/>
                <w:bCs w:val="0"/>
                <w:sz w:val="17"/>
                <w:szCs w:val="17"/>
              </w:rPr>
              <w:t xml:space="preserve">PR-01. Los valores de la estimación inicial proceden de 2.12 y se recalibran con datos propios tras IT-03, conforme a la exigencia de medición empírica del apartado 2.9.</w:t>
            </w:r>
            <w:r/>
          </w:p>
        </w:tc>
      </w:tr>
      <w:tr>
        <w:trPr/>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Revisión del incremento con software ejecutable</w:t>
            </w: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bCs/>
                <w:sz w:val="17"/>
                <w:szCs w:val="17"/>
              </w:rPr>
              <w:t xml:space="preserve">Conservado</w:t>
            </w:r>
            <w:r/>
          </w:p>
        </w:tc>
        <w:tc>
          <w:tcPr>
            <w:shd w:val="clear" w:color="auto" w:fill="f2f2f2"/>
            <w:tcBorders/>
            <w:tcMar>
              <w:left w:w="90" w:type="dxa"/>
              <w:top w:w="55" w:type="dxa"/>
              <w:right w:w="90" w:type="dxa"/>
              <w:bottom w:w="55" w:type="dxa"/>
            </w:tcMar>
            <w:tcW w:w="5070" w:type="dxa"/>
            <w:vAlign w:val="top"/>
          </w:tcPr>
          <w:p>
            <w:pPr>
              <w:pBdr/>
              <w:spacing w:after="30" w:before="30" w:line="240" w:lineRule="auto"/>
              <w:ind/>
              <w:jc w:val="left"/>
              <w:rPr/>
            </w:pPr>
            <w:r>
              <w:rPr>
                <w:rFonts w:ascii="Calibri" w:hAnsi="Calibri" w:eastAsia="Calibri" w:cs="Calibri"/>
                <w:b w:val="0"/>
                <w:bCs w:val="0"/>
                <w:sz w:val="17"/>
                <w:szCs w:val="17"/>
              </w:rPr>
              <w:t xml:space="preserve">PR-04. Es el mecanismo que responde a FD-10 y el que hace que el avance se juzgue sobre hechos.</w:t>
            </w:r>
            <w:r/>
          </w:p>
        </w:tc>
      </w:tr>
      <w:tr>
        <w:trPr/>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Retrospectiva</w:t>
            </w: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bCs/>
                <w:sz w:val="17"/>
                <w:szCs w:val="17"/>
              </w:rPr>
              <w:t xml:space="preserve">Conservada y reforzada</w:t>
            </w:r>
            <w:r/>
          </w:p>
        </w:tc>
        <w:tc>
          <w:tcPr>
            <w:shd w:val="clear" w:color="auto" w:fill="ffffff"/>
            <w:tcBorders/>
            <w:tcMar>
              <w:left w:w="90" w:type="dxa"/>
              <w:top w:w="55" w:type="dxa"/>
              <w:right w:w="90" w:type="dxa"/>
              <w:bottom w:w="55" w:type="dxa"/>
            </w:tcMar>
            <w:tcW w:w="5070" w:type="dxa"/>
            <w:vAlign w:val="top"/>
          </w:tcPr>
          <w:p>
            <w:pPr>
              <w:pBdr/>
              <w:spacing w:after="30" w:before="30" w:line="240" w:lineRule="auto"/>
              <w:ind/>
              <w:jc w:val="left"/>
              <w:rPr/>
            </w:pPr>
            <w:r>
              <w:rPr>
                <w:rFonts w:ascii="Calibri" w:hAnsi="Calibri" w:eastAsia="Calibri" w:cs="Calibri"/>
                <w:b w:val="0"/>
                <w:bCs w:val="0"/>
                <w:sz w:val="17"/>
                <w:szCs w:val="17"/>
              </w:rPr>
              <w:t xml:space="preserve">PR-05. Se refuerza exigiendo registro escrito y una sola acción de mejora, por RM-02.</w:t>
            </w:r>
            <w:r/>
          </w:p>
        </w:tc>
      </w:tr>
      <w:tr>
        <w:trPr/>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Programación por pares sincrónica</w:t>
            </w: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bCs/>
                <w:sz w:val="17"/>
                <w:szCs w:val="17"/>
              </w:rPr>
              <w:t xml:space="preserve">Omitida</w:t>
            </w:r>
            <w:r/>
          </w:p>
        </w:tc>
        <w:tc>
          <w:tcPr>
            <w:shd w:val="clear" w:color="auto" w:fill="f2f2f2"/>
            <w:tcBorders/>
            <w:tcMar>
              <w:left w:w="90" w:type="dxa"/>
              <w:top w:w="55" w:type="dxa"/>
              <w:right w:w="90" w:type="dxa"/>
              <w:bottom w:w="55" w:type="dxa"/>
            </w:tcMar>
            <w:tcW w:w="5070" w:type="dxa"/>
            <w:vAlign w:val="top"/>
          </w:tcPr>
          <w:p>
            <w:pPr>
              <w:pBdr/>
              <w:spacing w:after="30" w:before="30" w:line="240" w:lineRule="auto"/>
              <w:ind/>
              <w:jc w:val="left"/>
              <w:rPr/>
            </w:pPr>
            <w:r>
              <w:rPr>
                <w:rFonts w:ascii="Calibri" w:hAnsi="Calibri" w:eastAsia="Calibri" w:cs="Calibri"/>
                <w:b w:val="0"/>
                <w:bCs w:val="0"/>
                <w:sz w:val="17"/>
                <w:szCs w:val="17"/>
              </w:rPr>
              <w:t xml:space="preserve">FD-02. Su función se conserva mediante PR-07, revisión cruzada en modo de par diferido.</w:t>
            </w:r>
            <w:r/>
          </w:p>
        </w:tc>
      </w:tr>
      <w:tr>
        <w:trPr/>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Desarrollo guiado por pruebas</w:t>
            </w: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bCs/>
                <w:sz w:val="17"/>
                <w:szCs w:val="17"/>
              </w:rPr>
              <w:t xml:space="preserve">Conservado con alcance restringido</w:t>
            </w:r>
            <w:r/>
          </w:p>
        </w:tc>
        <w:tc>
          <w:tcPr>
            <w:shd w:val="clear" w:color="auto" w:fill="ffffff"/>
            <w:tcBorders/>
            <w:tcMar>
              <w:left w:w="90" w:type="dxa"/>
              <w:top w:w="55" w:type="dxa"/>
              <w:right w:w="90" w:type="dxa"/>
              <w:bottom w:w="55" w:type="dxa"/>
            </w:tcMar>
            <w:tcW w:w="5070" w:type="dxa"/>
            <w:vAlign w:val="top"/>
          </w:tcPr>
          <w:p>
            <w:pPr>
              <w:pBdr/>
              <w:spacing w:after="30" w:before="30" w:line="240" w:lineRule="auto"/>
              <w:ind/>
              <w:jc w:val="left"/>
              <w:rPr/>
            </w:pPr>
            <w:r>
              <w:rPr>
                <w:rFonts w:ascii="Calibri" w:hAnsi="Calibri" w:eastAsia="Calibri" w:cs="Calibri"/>
                <w:b w:val="0"/>
                <w:bCs w:val="0"/>
                <w:sz w:val="17"/>
                <w:szCs w:val="17"/>
              </w:rPr>
              <w:t xml:space="preserve">PR-06. Se aplica al núcleo de dominio de M3, M4, M6 y M8, en coherencia con la mitigación de R-04 del documento 3, que restringe el patrón de puertos y adaptadores a esos mismos módulos. Aplicarlo donde no hay lógica de dominio produciría el sobrecoste de indirección que ese riesgo describe.</w:t>
            </w:r>
            <w:r/>
          </w:p>
        </w:tc>
      </w:tr>
      <w:tr>
        <w:trPr/>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Paquete de gestión de la configuración</w:t>
            </w: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bCs/>
                <w:sz w:val="17"/>
                <w:szCs w:val="17"/>
              </w:rPr>
              <w:t xml:space="preserve">Conservado íntegro</w:t>
            </w:r>
            <w:r/>
          </w:p>
        </w:tc>
        <w:tc>
          <w:tcPr>
            <w:shd w:val="clear" w:color="auto" w:fill="f2f2f2"/>
            <w:tcBorders/>
            <w:tcMar>
              <w:left w:w="90" w:type="dxa"/>
              <w:top w:w="55" w:type="dxa"/>
              <w:right w:w="90" w:type="dxa"/>
              <w:bottom w:w="55" w:type="dxa"/>
            </w:tcMar>
            <w:tcW w:w="5070" w:type="dxa"/>
            <w:vAlign w:val="top"/>
          </w:tcPr>
          <w:p>
            <w:pPr>
              <w:pBdr/>
              <w:spacing w:after="30" w:before="30" w:line="240" w:lineRule="auto"/>
              <w:ind/>
              <w:jc w:val="left"/>
              <w:rPr/>
            </w:pPr>
            <w:r>
              <w:rPr>
                <w:rFonts w:ascii="Calibri" w:hAnsi="Calibri" w:eastAsia="Calibri" w:cs="Calibri"/>
                <w:b w:val="0"/>
                <w:bCs w:val="0"/>
                <w:sz w:val="17"/>
                <w:szCs w:val="17"/>
              </w:rPr>
              <w:t xml:space="preserve">PR-12 y sección 2.16. Es el paquete cuya omisión resultaría más costosa en un equipo asíncrono.</w:t>
            </w:r>
            <w:r/>
          </w:p>
        </w:tc>
      </w:tr>
      <w:tr>
        <w:trPr/>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Paquete de verificación y validación</w:t>
            </w: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bCs/>
                <w:sz w:val="17"/>
                <w:szCs w:val="17"/>
              </w:rPr>
              <w:t xml:space="preserve">Conservado íntegro</w:t>
            </w:r>
            <w:r/>
          </w:p>
        </w:tc>
        <w:tc>
          <w:tcPr>
            <w:shd w:val="clear" w:color="auto" w:fill="ffffff"/>
            <w:tcBorders/>
            <w:tcMar>
              <w:left w:w="90" w:type="dxa"/>
              <w:top w:w="55" w:type="dxa"/>
              <w:right w:w="90" w:type="dxa"/>
              <w:bottom w:w="55" w:type="dxa"/>
            </w:tcMar>
            <w:tcW w:w="5070" w:type="dxa"/>
            <w:vAlign w:val="top"/>
          </w:tcPr>
          <w:p>
            <w:pPr>
              <w:pBdr/>
              <w:spacing w:after="30" w:before="30" w:line="240" w:lineRule="auto"/>
              <w:ind/>
              <w:jc w:val="left"/>
              <w:rPr/>
            </w:pPr>
            <w:r>
              <w:rPr>
                <w:rFonts w:ascii="Calibri" w:hAnsi="Calibri" w:eastAsia="Calibri" w:cs="Calibri"/>
                <w:b w:val="0"/>
                <w:bCs w:val="0"/>
                <w:sz w:val="17"/>
                <w:szCs w:val="17"/>
              </w:rPr>
              <w:t xml:space="preserve">El catálogo ya asigna a cada requisito un método de verificación y un criterio de aceptación; la Definición de Terminado los hace exigibles.</w:t>
            </w:r>
            <w:r/>
          </w:p>
        </w:tc>
      </w:tr>
      <w:tr>
        <w:trPr/>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Planificación de la entrega</w:t>
            </w: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bCs/>
                <w:sz w:val="17"/>
                <w:szCs w:val="17"/>
              </w:rPr>
              <w:t xml:space="preserve">Conservada en forma reducida</w:t>
            </w:r>
            <w:r/>
          </w:p>
        </w:tc>
        <w:tc>
          <w:tcPr>
            <w:shd w:val="clear" w:color="auto" w:fill="f2f2f2"/>
            <w:tcBorders/>
            <w:tcMar>
              <w:left w:w="90" w:type="dxa"/>
              <w:top w:w="55" w:type="dxa"/>
              <w:right w:w="90" w:type="dxa"/>
              <w:bottom w:w="55" w:type="dxa"/>
            </w:tcMar>
            <w:tcW w:w="5070" w:type="dxa"/>
            <w:vAlign w:val="top"/>
          </w:tcPr>
          <w:p>
            <w:pPr>
              <w:pBdr/>
              <w:spacing w:after="30" w:before="30" w:line="240" w:lineRule="auto"/>
              <w:ind/>
              <w:jc w:val="left"/>
              <w:rPr/>
            </w:pPr>
            <w:r>
              <w:rPr>
                <w:rFonts w:ascii="Calibri" w:hAnsi="Calibri" w:eastAsia="Calibri" w:cs="Calibri"/>
                <w:b w:val="0"/>
                <w:bCs w:val="0"/>
                <w:sz w:val="17"/>
                <w:szCs w:val="17"/>
              </w:rPr>
              <w:t xml:space="preserve">Se materializa en el plan de once iteraciones de 2.13, sin los artefactos adicionales de planificación que un proyecto mayor requeriría.</w:t>
            </w:r>
            <w:r/>
          </w:p>
        </w:tc>
      </w:tr>
      <w:tr>
        <w:trPr/>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Evaluación formal de madurez organizacional</w:t>
            </w: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bCs/>
                <w:sz w:val="17"/>
                <w:szCs w:val="17"/>
              </w:rPr>
              <w:t xml:space="preserve">Omitida</w:t>
            </w:r>
            <w:r/>
          </w:p>
        </w:tc>
        <w:tc>
          <w:tcPr>
            <w:shd w:val="clear" w:color="auto" w:fill="ffffff"/>
            <w:tcBorders/>
            <w:tcMar>
              <w:left w:w="90" w:type="dxa"/>
              <w:top w:w="55" w:type="dxa"/>
              <w:right w:w="90" w:type="dxa"/>
              <w:bottom w:w="55" w:type="dxa"/>
            </w:tcMar>
            <w:tcW w:w="5070" w:type="dxa"/>
            <w:vAlign w:val="top"/>
          </w:tcPr>
          <w:p>
            <w:pPr>
              <w:pBdr/>
              <w:spacing w:after="30" w:before="30" w:line="240" w:lineRule="auto"/>
              <w:ind/>
              <w:jc w:val="left"/>
              <w:rPr/>
            </w:pPr>
            <w:r>
              <w:rPr>
                <w:rFonts w:ascii="Calibri" w:hAnsi="Calibri" w:eastAsia="Calibri" w:cs="Calibri"/>
                <w:b w:val="0"/>
                <w:bCs w:val="0"/>
                <w:sz w:val="17"/>
                <w:szCs w:val="17"/>
              </w:rPr>
              <w:t xml:space="preserve">Sección 2.17. CMMI y la serie ISO/IEC 33000 son desproporcionados para esta escala; la propia ISO/IEC 29110 es el instrumento previsto para ella.</w:t>
            </w:r>
            <w:r/>
          </w:p>
        </w:tc>
      </w:tr>
    </w:tbl>
    <w:p>
      <w:pPr>
        <w:pStyle w:val="917"/>
        <w:pBdr/>
        <w:spacing w:after="200" w:before="400"/>
        <w:ind/>
        <w:rPr>
          <w:color w:val="000000" w:themeColor="text1"/>
        </w:rPr>
      </w:pPr>
      <w:r>
        <w:rPr>
          <w:color w:val="000000" w:themeColor="text1"/>
        </w:rPr>
      </w:r>
      <w:bookmarkStart w:id="37" w:name="_Toc37"/>
      <w:r>
        <w:rPr>
          <w:rFonts w:ascii="Calibri" w:hAnsi="Calibri" w:eastAsia="Calibri" w:cs="Calibri"/>
          <w:b/>
          <w:bCs/>
          <w:color w:val="000000" w:themeColor="text1"/>
          <w:sz w:val="30"/>
          <w:szCs w:val="30"/>
        </w:rPr>
        <w:t xml:space="preserve">3. Conclusiones</w:t>
      </w:r>
      <w:bookmarkEnd w:id="37"/>
      <w:r>
        <w:rPr>
          <w:color w:val="000000" w:themeColor="text1"/>
        </w:rPr>
      </w:r>
    </w:p>
    <w:p>
      <w:pPr>
        <w:pBdr/>
        <w:spacing w:after="120" w:before="0" w:line="276" w:lineRule="auto"/>
        <w:ind/>
        <w:jc w:val="both"/>
        <w:rPr/>
      </w:pPr>
      <w:r>
        <w:rPr>
          <w:rFonts w:ascii="Calibri" w:hAnsi="Calibri" w:eastAsia="Calibri" w:cs="Calibri"/>
          <w:b/>
          <w:bCs/>
          <w:i w:val="0"/>
          <w:iCs w:val="0"/>
          <w:color w:val="000000"/>
          <w:sz w:val="22"/>
          <w:szCs w:val="22"/>
        </w:rPr>
        <w:t xml:space="preserve">Primera.</w:t>
      </w:r>
      <w:r>
        <w:rPr>
          <w:rFonts w:ascii="Calibri" w:hAnsi="Calibri" w:eastAsia="Calibri" w:cs="Calibri"/>
          <w:b w:val="0"/>
          <w:bCs w:val="0"/>
          <w:i w:val="0"/>
          <w:iCs w:val="0"/>
          <w:color w:val="000000"/>
          <w:sz w:val="22"/>
          <w:szCs w:val="22"/>
        </w:rPr>
        <w:t xml:space="preserve"> La elección metodológica se apoyó en características verificables y no en preferencias. Los doce factores determinantes de la sección 2.1 proceden en su totalidad de hechos ya establecidos y auditables en los tres documentos anteriores: la dotación de la unidad constructora, el carácter asíncrono del trabajo, la ausencia de personal de operación y de presupuesto, la priorización MoSCoW del catálogo y los riesgos y principios declarados por la arquitectura. Si alguno de esos hechos cambiara, la conclusión de este documento debería reexaminarse, y el análisis de sensibilidad identifica cuál de ellos es el crítico.</w:t>
      </w:r>
      <w:r/>
    </w:p>
    <w:p>
      <w:pPr>
        <w:pBdr/>
        <w:spacing w:after="120" w:before="0" w:line="276" w:lineRule="auto"/>
        <w:ind/>
        <w:jc w:val="both"/>
        <w:rPr/>
      </w:pPr>
      <w:r>
        <w:rPr>
          <w:rFonts w:ascii="Calibri" w:hAnsi="Calibri" w:eastAsia="Calibri" w:cs="Calibri"/>
          <w:b/>
          <w:bCs/>
          <w:i w:val="0"/>
          <w:iCs w:val="0"/>
          <w:color w:val="000000"/>
          <w:sz w:val="22"/>
          <w:szCs w:val="22"/>
        </w:rPr>
        <w:t xml:space="preserve">Segunda.</w:t>
      </w:r>
      <w:r>
        <w:rPr>
          <w:rFonts w:ascii="Calibri" w:hAnsi="Calibri" w:eastAsia="Calibri" w:cs="Calibri"/>
          <w:b w:val="0"/>
          <w:bCs w:val="0"/>
          <w:i w:val="0"/>
          <w:iCs w:val="0"/>
          <w:color w:val="000000"/>
          <w:sz w:val="22"/>
          <w:szCs w:val="22"/>
        </w:rPr>
        <w:t xml:space="preserve"> El modelo adoptado es iterativo e incremental, abierto al cambio y gobernado por un marco de gestión adaptado a la escala de una Entidad Muy Pequeña, con prácticas técnicas nominadas y prácticas de integración y verificación continuas. Obtiene 4,12 sobre 5,00 y conserva el primer lugar en los tres escenarios de sensibilidad. Su ventaja sobre el Proceso Unificado ligero, sin embargo, se estrecha hasta 0,13 puntos cuando se supone un equipo de cuatro personas, lo que significa que la decisión depende de la restricción RO-01 y debe reabrirse si esa restricción deja de operar. Se declara como condición de validez y no como salvedad.</w:t>
      </w:r>
      <w:r/>
    </w:p>
    <w:p>
      <w:pPr>
        <w:pBdr/>
        <w:spacing w:after="120" w:before="0" w:line="276" w:lineRule="auto"/>
        <w:ind/>
        <w:jc w:val="both"/>
        <w:rPr/>
      </w:pPr>
      <w:r>
        <w:rPr>
          <w:rFonts w:ascii="Calibri" w:hAnsi="Calibri" w:eastAsia="Calibri" w:cs="Calibri"/>
          <w:b/>
          <w:bCs/>
          <w:i w:val="0"/>
          <w:iCs w:val="0"/>
          <w:color w:val="000000"/>
          <w:sz w:val="22"/>
          <w:szCs w:val="22"/>
        </w:rPr>
        <w:t xml:space="preserve">Tercera.</w:t>
      </w:r>
      <w:r>
        <w:rPr>
          <w:rFonts w:ascii="Calibri" w:hAnsi="Calibri" w:eastAsia="Calibri" w:cs="Calibri"/>
          <w:b w:val="0"/>
          <w:bCs w:val="0"/>
          <w:i w:val="0"/>
          <w:iCs w:val="0"/>
          <w:color w:val="000000"/>
          <w:sz w:val="22"/>
          <w:szCs w:val="22"/>
        </w:rPr>
        <w:t xml:space="preserve"> Las dos debilidades de la opción elegida —menor garantía intrínseca de disciplina arquitectónica y menor producción documental estructurada— no se ocultaron tras la victoria en la matriz, sino que determinaron el contenido del resto del documento. La Definición de Terminado con verificación automática de dependencias, la revisión cruzada obligatoria, la ordenación justificada por escrito de la pila y el registro de decisiones como artefacto vivo existen para corregir exactamente esas dos casillas. Una de ellas, el registro de decisiones, se toma deliberadamente de la alternativa descartada.</w:t>
      </w:r>
      <w:r/>
    </w:p>
    <w:p>
      <w:pPr>
        <w:pBdr/>
        <w:spacing w:after="120" w:before="0" w:line="276" w:lineRule="auto"/>
        <w:ind/>
        <w:jc w:val="both"/>
        <w:rPr/>
      </w:pPr>
      <w:r>
        <w:rPr>
          <w:rFonts w:ascii="Calibri" w:hAnsi="Calibri" w:eastAsia="Calibri" w:cs="Calibri"/>
          <w:b/>
          <w:bCs/>
          <w:i w:val="0"/>
          <w:iCs w:val="0"/>
          <w:color w:val="000000"/>
          <w:sz w:val="22"/>
          <w:szCs w:val="22"/>
        </w:rPr>
        <w:t xml:space="preserve">Cuarta.</w:t>
      </w:r>
      <w:r>
        <w:rPr>
          <w:rFonts w:ascii="Calibri" w:hAnsi="Calibri" w:eastAsia="Calibri" w:cs="Calibri"/>
          <w:b w:val="0"/>
          <w:bCs w:val="0"/>
          <w:i w:val="0"/>
          <w:iCs w:val="0"/>
          <w:color w:val="000000"/>
          <w:sz w:val="22"/>
          <w:szCs w:val="22"/>
        </w:rPr>
        <w:t xml:space="preserve"> La estimación del esfuerzo arroja 213 persona-día para el catálogo completo y 189 para el alcance comprometido, frente a una capacidad nominal del plan de 200. El plan cierra con una holgura del 5,5 %, que es escasa, y cierra únicamente porque la clase «Podría» del esquema MoSCoW permanece fuera del compromiso. El documento no oculta esa estrechez: la registra como el riesgo de mayor probabilidad del proceso, declara un rango de incertidumbre del veinticinco por ciento y fija la recalibración obligatoria de la estimación con datos propios tras la tercera iteración. Se prefirió una estimación incómoda y declarada a una cifra cómoda sin fundamento.</w:t>
      </w:r>
      <w:r/>
    </w:p>
    <w:p>
      <w:pPr>
        <w:pBdr/>
        <w:spacing w:after="120" w:before="0" w:line="276" w:lineRule="auto"/>
        <w:ind/>
        <w:jc w:val="both"/>
        <w:rPr/>
      </w:pPr>
      <w:r>
        <w:rPr>
          <w:rFonts w:ascii="Calibri" w:hAnsi="Calibri" w:eastAsia="Calibri" w:cs="Calibri"/>
          <w:b/>
          <w:bCs/>
          <w:i w:val="0"/>
          <w:iCs w:val="0"/>
          <w:color w:val="000000"/>
          <w:sz w:val="22"/>
          <w:szCs w:val="22"/>
        </w:rPr>
        <w:t xml:space="preserve">Quinta.</w:t>
      </w:r>
      <w:r>
        <w:rPr>
          <w:rFonts w:ascii="Calibri" w:hAnsi="Calibri" w:eastAsia="Calibri" w:cs="Calibri"/>
          <w:b w:val="0"/>
          <w:bCs w:val="0"/>
          <w:i w:val="0"/>
          <w:iCs w:val="0"/>
          <w:color w:val="000000"/>
          <w:sz w:val="22"/>
          <w:szCs w:val="22"/>
        </w:rPr>
        <w:t xml:space="preserve"> La sección 2.17 resuelve una laguna que la serie arrastraba. El documento 3 enunció un indicador de alerta para cada uno de sus cinco riesgos arquitectónicos, pero un indicador sin un proceso que lo recoja es una intención. Las métricas MT-03, MT-04, MT-05 y MT-07 son literalmente esos indicadores, ahora con una periodicidad, un umbral y una retrospectiva donde se examinan. La arquitectura aportó el qué vigilar; el proceso aporta el cuándo, el cómo y el quién.</w:t>
      </w:r>
      <w:r/>
    </w:p>
    <w:p>
      <w:pPr>
        <w:pBdr/>
        <w:spacing w:after="120" w:before="0" w:line="276" w:lineRule="auto"/>
        <w:ind/>
        <w:jc w:val="both"/>
        <w:rPr/>
      </w:pPr>
      <w:r>
        <w:rPr>
          <w:rFonts w:ascii="Calibri" w:hAnsi="Calibri" w:eastAsia="Calibri" w:cs="Calibri"/>
          <w:b/>
          <w:bCs/>
          <w:i w:val="0"/>
          <w:iCs w:val="0"/>
          <w:color w:val="000000"/>
          <w:sz w:val="22"/>
          <w:szCs w:val="22"/>
        </w:rPr>
        <w:t xml:space="preserve">Sexta.</w:t>
      </w:r>
      <w:r>
        <w:rPr>
          <w:rFonts w:ascii="Calibri" w:hAnsi="Calibri" w:eastAsia="Calibri" w:cs="Calibri"/>
          <w:b w:val="0"/>
          <w:bCs w:val="0"/>
          <w:i w:val="0"/>
          <w:iCs w:val="0"/>
          <w:color w:val="000000"/>
          <w:sz w:val="22"/>
          <w:szCs w:val="22"/>
        </w:rPr>
        <w:t xml:space="preserve"> El documento emite hacia el entregable siguiente una determinación que aquel debe honrar: los modelos se producen por incremento y no en su totalidad por adelantado, los de análisis preceden lógicamente a los de diseño, y todo modelo debe ser trazable a un requisito del catálogo y asignable a una de las once iteraciones. Es la misma relación que el documento 1 estableció respecto de los que le siguen: cada documento de la serie emite elementos que el posterior está obligado a respetar, y esa obligación es lo que convierte cinco documentos independientes en una serie.</w:t>
      </w:r>
      <w:r/>
    </w:p>
    <w:p>
      <w:pPr>
        <w:pStyle w:val="917"/>
        <w:pBdr/>
        <w:spacing w:after="200" w:before="400"/>
        <w:ind/>
        <w:rPr>
          <w:color w:val="000000" w:themeColor="text1"/>
        </w:rPr>
      </w:pPr>
      <w:r>
        <w:rPr>
          <w:color w:val="000000" w:themeColor="text1"/>
        </w:rPr>
      </w:r>
      <w:bookmarkStart w:id="38" w:name="_Toc38"/>
      <w:r>
        <w:rPr>
          <w:rFonts w:ascii="Calibri" w:hAnsi="Calibri" w:eastAsia="Calibri" w:cs="Calibri"/>
          <w:b/>
          <w:bCs/>
          <w:color w:val="000000" w:themeColor="text1"/>
          <w:sz w:val="30"/>
          <w:szCs w:val="30"/>
        </w:rPr>
        <w:t xml:space="preserve">4. Referencias normativas y bibliográficas</w:t>
      </w:r>
      <w:bookmarkEnd w:id="38"/>
      <w:r>
        <w:rPr>
          <w:color w:val="000000" w:themeColor="text1"/>
        </w:rPr>
      </w:r>
    </w:p>
    <w:p>
      <w:pPr>
        <w:pBdr/>
        <w:spacing w:after="120" w:before="0" w:line="276" w:lineRule="auto"/>
        <w:ind/>
        <w:jc w:val="both"/>
        <w:rPr/>
      </w:pPr>
      <w:r>
        <w:rPr>
          <w:rFonts w:ascii="Calibri" w:hAnsi="Calibri" w:eastAsia="Calibri" w:cs="Calibri"/>
          <w:b/>
          <w:bCs/>
          <w:i w:val="0"/>
          <w:iCs w:val="0"/>
          <w:color w:val="000000"/>
          <w:sz w:val="22"/>
          <w:szCs w:val="22"/>
        </w:rPr>
        <w:t xml:space="preserve">Advertencia.</w:t>
      </w:r>
      <w:r>
        <w:rPr>
          <w:rFonts w:ascii="Calibri" w:hAnsi="Calibri" w:eastAsia="Calibri" w:cs="Calibri"/>
          <w:b w:val="0"/>
          <w:bCs w:val="0"/>
          <w:i w:val="0"/>
          <w:iCs w:val="0"/>
          <w:color w:val="000000"/>
          <w:sz w:val="22"/>
          <w:szCs w:val="22"/>
        </w:rPr>
        <w:t xml:space="preserve"> El equipo redactor no dispuso de acceso verificado a todas las fuentes originales al momento de la redacción. Las referencias siguientes corresponden a normas y obras reales y ampliamente conocidas, pero </w:t>
      </w:r>
      <w:r>
        <w:rPr>
          <w:rFonts w:ascii="Calibri" w:hAnsi="Calibri" w:eastAsia="Calibri" w:cs="Calibri"/>
          <w:b/>
          <w:bCs/>
          <w:i w:val="0"/>
          <w:iCs w:val="0"/>
          <w:color w:val="000000"/>
          <w:sz w:val="22"/>
          <w:szCs w:val="22"/>
        </w:rPr>
        <w:t xml:space="preserve">los datos de edición, año y numeración de cláusula deben contrastarse con los ejemplares físicos o digitales antes de la entrega final</w:t>
      </w:r>
      <w:r>
        <w:rPr>
          <w:rFonts w:ascii="Calibri" w:hAnsi="Calibri" w:eastAsia="Calibri" w:cs="Calibri"/>
          <w:b w:val="0"/>
          <w:bCs w:val="0"/>
          <w:i w:val="0"/>
          <w:iCs w:val="0"/>
          <w:color w:val="000000"/>
          <w:sz w:val="22"/>
          <w:szCs w:val="22"/>
        </w:rPr>
        <w:t xml:space="preserve">.</w:t>
      </w:r>
      <w:r/>
    </w:p>
    <w:p>
      <w:pPr>
        <w:pBdr/>
        <w:spacing w:after="60"/>
        <w:ind/>
        <w:rPr/>
      </w:pPr>
      <w:r/>
    </w:p>
    <w:p>
      <w:pPr>
        <w:pBdr/>
        <w:spacing w:after="90" w:before="0" w:line="276" w:lineRule="auto"/>
        <w:ind/>
        <w:jc w:val="both"/>
        <w:rPr/>
      </w:pPr>
      <w:r>
        <w:rPr>
          <w:rFonts w:ascii="Calibri" w:hAnsi="Calibri" w:eastAsia="Calibri" w:cs="Calibri"/>
          <w:b w:val="0"/>
          <w:bCs w:val="0"/>
          <w:i w:val="0"/>
          <w:iCs w:val="0"/>
          <w:color w:val="000000"/>
          <w:sz w:val="20"/>
          <w:szCs w:val="20"/>
        </w:rPr>
        <w:t xml:space="preserve">[1] ISO/IEC/IEEE 12207:2017. Systems and software engineering — Software life cycle processes. ISO, 2017. Categorías de procesos, etapas del ciclo de vida y gestión del modelo de ciclo de vida.</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[2] IEEE Computer Society. SWEBOK® Guide — Guide to the Software Engineering Body of Knowledge, versión 4.0a. Capítulo 10, Software Engineering Process, apartados 2.1 a 2.11 y 3.1 a 3.4; Capítulo 11, Software Engineering Models and Methods, apartado 4.</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[3] ISO/IEC 29110. Systems and software engineering — Lifecycle profiles for Very Small Entities (VSEs). ISO. Serie derivada de ISO/IEC/IEEE 12207 para entidades muy pequeñas.</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[4] ISO/IEC/IEEE 29148:2011. Systems and software engineering — Life cycle processes — Requirements engineering. ISO, 2011. Apartados 5.2.5, 5.2.6, 5.2.8 y 5.3.1.</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[5] ISO/IEC/IEEE 24765:2017. Systems and software engineering — Vocabulary. ISO, 2017.</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[6] ISO/IEC/IEEE 42010:2022. Software, systems and enterprise — Architecture description. ISO, 2022.</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[7] ISO 9001:2015. Quality management systems — Requirements. Cláusula 4.4 y enfoque de mejora continua. ISO, 2015.</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[8] ISO/IEC 25010. Systems and software engineering — SQuaRE — System and software quality models. ISO.</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[9] ISO/IEC 33001:2015. Information technology — Process assessment — Concepts and terminology. ISO, 2015.</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[10] ISO/IEC/IEEE 32675:2022. Information technology — DevOps — Building reliable and secure systems. ISO, 2022.</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[11] BECK, K. et al. Manifesto for Agile Software Development. 2001.</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[12] SOMMERVILLE, I. Software Engineering. Pearson. Descripción de los modelos clásicos de ciclo de vida.</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[13] BOEHM, B. W. «A Spiral Model of Software Development and Enhancement». Computer, vol. 21, núm. 5, 1988, pp. 61-72.</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[14] SHEWHART, W. A. y DEMING, W. E. Ciclo Plan-Do-Check-Act. Fundamento del paradigma de mejora continua recogido en el capítulo 10 del SWEBOK.</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[15] BASILI, V. R. Goal Question Metric Paradigm. Paradigma de mejora de la calidad basado en metas, preguntas y métricas.</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[16] SHORE, J. y WARDEN, S. The Art of Agile Development. O'Reilly. Prácticas y mentalidad ágil.</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[17] PROJECT MANAGEMENT INSTITUTE. Agile Practice Guide. PMI. Lo ágil como paradigma de ciclo de vida.</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[18] FARLEY, D. Modern Software Engineering. Addison-Wesley. Tendencias actuales y entrega continua.</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[19] JACOBSON, I., BOOCH, G. y RUMBAUGH, J. The Unified Software Development Process. Addison-Wesley, 1999.</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[20] CONWAY, M. E. «How do committees invent?». Datamation, vol. 14, núm. 5, 1968, pp. 28-31.</w:t>
      </w:r>
      <w:r/>
    </w:p>
    <w:p>
      <w:pPr>
        <w:pBdr/>
        <w:spacing w:after="90" w:before="0" w:line="276" w:lineRule="auto"/>
        <w:ind/>
        <w:jc w:val="both"/>
        <w:rPr/>
      </w:pPr>
      <w:r>
        <w:rPr>
          <w:rFonts w:ascii="Calibri" w:hAnsi="Calibri" w:eastAsia="Calibri" w:cs="Calibri"/>
          <w:b w:val="0"/>
          <w:bCs w:val="0"/>
          <w:i w:val="0"/>
          <w:iCs w:val="0"/>
          <w:color w:val="000000"/>
          <w:sz w:val="20"/>
          <w:szCs w:val="20"/>
        </w:rPr>
        <w:t xml:space="preserve">[21] Ley No. 787, Ley de Protección de Datos Personales. Asamblea Nacional de Nicaragua, 2012.</w:t>
      </w:r>
      <w:r/>
    </w:p>
    <w:p>
      <w:pPr>
        <w:pStyle w:val="917"/>
        <w:pBdr/>
        <w:spacing w:after="200" w:before="400"/>
        <w:ind/>
        <w:rPr>
          <w:color w:val="000000" w:themeColor="text1"/>
        </w:rPr>
      </w:pPr>
      <w:r>
        <w:rPr>
          <w:color w:val="000000" w:themeColor="text1"/>
        </w:rPr>
      </w:r>
      <w:bookmarkStart w:id="39" w:name="_Toc39"/>
      <w:r>
        <w:rPr>
          <w:rFonts w:ascii="Calibri" w:hAnsi="Calibri" w:eastAsia="Calibri" w:cs="Calibri"/>
          <w:b/>
          <w:bCs/>
          <w:color w:val="000000" w:themeColor="text1"/>
          <w:sz w:val="30"/>
          <w:szCs w:val="30"/>
        </w:rPr>
        <w:t xml:space="preserve">5. Anexos</w:t>
      </w:r>
      <w:bookmarkEnd w:id="39"/>
      <w:r>
        <w:rPr>
          <w:color w:val="000000" w:themeColor="text1"/>
        </w:rPr>
      </w:r>
    </w:p>
    <w:p>
      <w:pPr>
        <w:pStyle w:val="918"/>
        <w:pBdr/>
        <w:spacing w:after="140" w:before="280"/>
        <w:ind/>
        <w:rPr>
          <w:color w:val="000000" w:themeColor="text1"/>
        </w:rPr>
      </w:pPr>
      <w:r>
        <w:rPr>
          <w:color w:val="000000" w:themeColor="text1"/>
        </w:rPr>
      </w:r>
      <w:bookmarkStart w:id="40" w:name="_Toc40"/>
      <w:r>
        <w:rPr>
          <w:rFonts w:ascii="Calibri" w:hAnsi="Calibri" w:eastAsia="Calibri" w:cs="Calibri"/>
          <w:b/>
          <w:bCs/>
          <w:color w:val="000000" w:themeColor="text1"/>
          <w:sz w:val="25"/>
          <w:szCs w:val="25"/>
        </w:rPr>
        <w:t xml:space="preserve">Anexo A — Matriz de trazabilidad: factor heredado → decisión metodológica</w:t>
      </w:r>
      <w:bookmarkEnd w:id="40"/>
      <w:r>
        <w:rPr>
          <w:color w:val="000000" w:themeColor="text1"/>
        </w:rPr>
      </w:r>
    </w:p>
    <w:p>
      <w:pPr>
        <w:pBdr/>
        <w:spacing w:after="120" w:before="0" w:line="276" w:lineRule="auto"/>
        <w:ind/>
        <w:jc w:val="both"/>
        <w:rPr/>
      </w:pPr>
      <w:r>
        <w:rPr>
          <w:rFonts w:ascii="Calibri" w:hAnsi="Calibri" w:eastAsia="Calibri" w:cs="Calibri"/>
          <w:b w:val="0"/>
          <w:bCs w:val="0"/>
          <w:i w:val="0"/>
          <w:iCs w:val="0"/>
          <w:color w:val="000000"/>
          <w:sz w:val="22"/>
          <w:szCs w:val="22"/>
        </w:rPr>
        <w:t xml:space="preserve">Este anexo cumple la misma función que el Anexo C del documento 1: verificar que ningún elemento heredado quedó sin atender y que ninguna decisión carece de origen. Un factor sin decisión que lo atienda sería una restricción ignorada; una decisión sin factor que la origine sería una preferencia disfrazada de necesidad.</w:t>
      </w:r>
      <w:r/>
    </w:p>
    <w:p>
      <w:pPr>
        <w:pBdr/>
        <w:spacing w:after="60"/>
        <w:ind/>
        <w:rPr/>
      </w:p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900"/>
        <w:gridCol w:w="3400"/>
        <w:gridCol w:w="2500"/>
        <w:gridCol w:w="2270"/>
      </w:tblGrid>
      <w:tr>
        <w:trPr>
          <w:tblHeader/>
        </w:trPr>
        <w:tc>
          <w:tcPr>
            <w:shd w:val="clear" w:color="auto" w:fill="dce6f1"/>
            <w:tcBorders/>
            <w:tcMar>
              <w:left w:w="90" w:type="dxa"/>
              <w:top w:w="60" w:type="dxa"/>
              <w:right w:w="90" w:type="dxa"/>
              <w:bottom w:w="60" w:type="dxa"/>
            </w:tcMar>
            <w:tcW w:w="900" w:type="dxa"/>
            <w:vAlign w:val="center"/>
          </w:tcPr>
          <w:p>
            <w:pPr>
              <w:pBdr/>
              <w:spacing w:after="30" w:before="30" w:line="240" w:lineRule="auto"/>
              <w:ind/>
              <w:jc w:val="left"/>
              <w:rPr/>
            </w:pPr>
            <w:r>
              <w:rPr>
                <w:rFonts w:ascii="Calibri" w:hAnsi="Calibri" w:eastAsia="Calibri" w:cs="Calibri"/>
                <w:b/>
                <w:bCs/>
                <w:sz w:val="17"/>
                <w:szCs w:val="17"/>
              </w:rPr>
              <w:t xml:space="preserve">Factor</w:t>
            </w:r>
            <w:r/>
          </w:p>
        </w:tc>
        <w:tc>
          <w:tcPr>
            <w:shd w:val="clear" w:color="auto" w:fill="dce6f1"/>
            <w:tcBorders/>
            <w:tcMar>
              <w:left w:w="90" w:type="dxa"/>
              <w:top w:w="60" w:type="dxa"/>
              <w:right w:w="90" w:type="dxa"/>
              <w:bottom w:w="60" w:type="dxa"/>
            </w:tcMar>
            <w:tcW w:w="3400" w:type="dxa"/>
            <w:vAlign w:val="center"/>
          </w:tcPr>
          <w:p>
            <w:pPr>
              <w:pBdr/>
              <w:spacing w:after="30" w:before="30" w:line="240" w:lineRule="auto"/>
              <w:ind/>
              <w:jc w:val="left"/>
              <w:rPr/>
            </w:pPr>
            <w:r>
              <w:rPr>
                <w:rFonts w:ascii="Calibri" w:hAnsi="Calibri" w:eastAsia="Calibri" w:cs="Calibri"/>
                <w:b/>
                <w:bCs/>
                <w:sz w:val="17"/>
                <w:szCs w:val="17"/>
              </w:rPr>
              <w:t xml:space="preserve">Qué exige del proceso</w:t>
            </w:r>
            <w:r/>
          </w:p>
        </w:tc>
        <w:tc>
          <w:tcPr>
            <w:shd w:val="clear" w:color="auto" w:fill="dce6f1"/>
            <w:tcBorders/>
            <w:tcMar>
              <w:left w:w="90" w:type="dxa"/>
              <w:top w:w="60" w:type="dxa"/>
              <w:right w:w="90" w:type="dxa"/>
              <w:bottom w:w="60" w:type="dxa"/>
            </w:tcMar>
            <w:tcW w:w="2500" w:type="dxa"/>
            <w:vAlign w:val="center"/>
          </w:tcPr>
          <w:p>
            <w:pPr>
              <w:pBdr/>
              <w:spacing w:after="30" w:before="30" w:line="240" w:lineRule="auto"/>
              <w:ind/>
              <w:jc w:val="left"/>
              <w:rPr/>
            </w:pPr>
            <w:r>
              <w:rPr>
                <w:rFonts w:ascii="Calibri" w:hAnsi="Calibri" w:eastAsia="Calibri" w:cs="Calibri"/>
                <w:b/>
                <w:bCs/>
                <w:sz w:val="17"/>
                <w:szCs w:val="17"/>
              </w:rPr>
              <w:t xml:space="preserve">Decisiones y prácticas que lo atienden</w:t>
            </w:r>
            <w:r/>
          </w:p>
        </w:tc>
        <w:tc>
          <w:tcPr>
            <w:shd w:val="clear" w:color="auto" w:fill="dce6f1"/>
            <w:tcBorders/>
            <w:tcMar>
              <w:left w:w="90" w:type="dxa"/>
              <w:top w:w="60" w:type="dxa"/>
              <w:right w:w="90" w:type="dxa"/>
              <w:bottom w:w="60" w:type="dxa"/>
            </w:tcMar>
            <w:tcW w:w="2270" w:type="dxa"/>
            <w:vAlign w:val="center"/>
          </w:tcPr>
          <w:p>
            <w:pPr>
              <w:pBdr/>
              <w:spacing w:after="30" w:before="30" w:line="240" w:lineRule="auto"/>
              <w:ind/>
              <w:jc w:val="left"/>
              <w:rPr/>
            </w:pPr>
            <w:r>
              <w:rPr>
                <w:rFonts w:ascii="Calibri" w:hAnsi="Calibri" w:eastAsia="Calibri" w:cs="Calibri"/>
                <w:b/>
                <w:bCs/>
                <w:sz w:val="17"/>
                <w:szCs w:val="17"/>
              </w:rPr>
              <w:t xml:space="preserve">¿Cubierto?</w:t>
            </w: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FD-01</w:t>
            </w:r>
            <w:r/>
          </w:p>
        </w:tc>
        <w:tc>
          <w:tcPr>
            <w:shd w:val="clear" w:color="auto" w:fill="ffffff"/>
            <w:tcBorders/>
            <w:tcMar>
              <w:left w:w="90" w:type="dxa"/>
              <w:top w:w="55" w:type="dxa"/>
              <w:right w:w="90" w:type="dxa"/>
              <w:bottom w:w="55" w:type="dxa"/>
            </w:tcMar>
            <w:tcW w:w="3400" w:type="dxa"/>
            <w:vAlign w:val="top"/>
          </w:tcPr>
          <w:p>
            <w:pPr>
              <w:pBdr/>
              <w:spacing w:after="30" w:before="30" w:line="240" w:lineRule="auto"/>
              <w:ind/>
              <w:jc w:val="left"/>
              <w:rPr/>
            </w:pPr>
            <w:r>
              <w:rPr>
                <w:rFonts w:ascii="Calibri" w:hAnsi="Calibri" w:eastAsia="Calibri" w:cs="Calibri"/>
                <w:b w:val="0"/>
                <w:bCs w:val="0"/>
                <w:sz w:val="17"/>
                <w:szCs w:val="17"/>
              </w:rPr>
              <w:t xml:space="preserve">Roles asumibles por dos personas.</w:t>
            </w:r>
            <w:r/>
          </w:p>
        </w:tc>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DM-02 · CM-02 con el peso mayor · PR-09 · PR-05, que contiene el riesgo RM-02 de la adaptación de roles</w:t>
            </w:r>
            <w:r/>
          </w:p>
        </w:tc>
        <w:tc>
          <w:tcPr>
            <w:shd w:val="clear" w:color="auto" w:fill="ffffff"/>
            <w:tcBorders/>
            <w:tcMar>
              <w:left w:w="90" w:type="dxa"/>
              <w:top w:w="55" w:type="dxa"/>
              <w:right w:w="90" w:type="dxa"/>
              <w:bottom w:w="55" w:type="dxa"/>
            </w:tcMar>
            <w:tcW w:w="2270" w:type="dxa"/>
            <w:vAlign w:val="top"/>
          </w:tcPr>
          <w:p>
            <w:pPr>
              <w:pBdr/>
              <w:spacing w:after="30" w:before="30" w:line="240" w:lineRule="auto"/>
              <w:ind/>
              <w:jc w:val="left"/>
              <w:rPr/>
            </w:pPr>
            <w:r>
              <w:rPr>
                <w:rFonts w:ascii="Calibri" w:hAnsi="Calibri" w:eastAsia="Calibri" w:cs="Calibri"/>
                <w:b w:val="0"/>
                <w:bCs w:val="0"/>
                <w:sz w:val="17"/>
                <w:szCs w:val="17"/>
              </w:rPr>
              <w:t xml:space="preserve">Sí</w:t>
            </w: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FD-02</w:t>
            </w:r>
            <w:r/>
          </w:p>
        </w:tc>
        <w:tc>
          <w:tcPr>
            <w:shd w:val="clear" w:color="auto" w:fill="f2f2f2"/>
            <w:tcBorders/>
            <w:tcMar>
              <w:left w:w="90" w:type="dxa"/>
              <w:top w:w="55" w:type="dxa"/>
              <w:right w:w="90" w:type="dxa"/>
              <w:bottom w:w="55" w:type="dxa"/>
            </w:tcMar>
            <w:tcW w:w="3400" w:type="dxa"/>
            <w:vAlign w:val="top"/>
          </w:tcPr>
          <w:p>
            <w:pPr>
              <w:pBdr/>
              <w:spacing w:after="30" w:before="30" w:line="240" w:lineRule="auto"/>
              <w:ind/>
              <w:jc w:val="left"/>
              <w:rPr/>
            </w:pPr>
            <w:r>
              <w:rPr>
                <w:rFonts w:ascii="Calibri" w:hAnsi="Calibri" w:eastAsia="Calibri" w:cs="Calibri"/>
                <w:b w:val="0"/>
                <w:bCs w:val="0"/>
                <w:sz w:val="17"/>
                <w:szCs w:val="17"/>
              </w:rPr>
              <w:t xml:space="preserve">Coordinación asíncrona con registro escrito.</w:t>
            </w:r>
            <w:r/>
          </w:p>
        </w:tc>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DM-03 · DM-05 · PR-03 · PR-07</w:t>
            </w:r>
            <w:r/>
          </w:p>
        </w:tc>
        <w:tc>
          <w:tcPr>
            <w:shd w:val="clear" w:color="auto" w:fill="f2f2f2"/>
            <w:tcBorders/>
            <w:tcMar>
              <w:left w:w="90" w:type="dxa"/>
              <w:top w:w="55" w:type="dxa"/>
              <w:right w:w="90" w:type="dxa"/>
              <w:bottom w:w="55" w:type="dxa"/>
            </w:tcMar>
            <w:tcW w:w="2270" w:type="dxa"/>
            <w:vAlign w:val="top"/>
          </w:tcPr>
          <w:p>
            <w:pPr>
              <w:pBdr/>
              <w:spacing w:after="30" w:before="30" w:line="240" w:lineRule="auto"/>
              <w:ind/>
              <w:jc w:val="left"/>
              <w:rPr/>
            </w:pPr>
            <w:r>
              <w:rPr>
                <w:rFonts w:ascii="Calibri" w:hAnsi="Calibri" w:eastAsia="Calibri" w:cs="Calibri"/>
                <w:b w:val="0"/>
                <w:bCs w:val="0"/>
                <w:sz w:val="17"/>
                <w:szCs w:val="17"/>
              </w:rPr>
              <w:t xml:space="preserve">Sí</w:t>
            </w: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FD-03</w:t>
            </w:r>
            <w:r/>
          </w:p>
        </w:tc>
        <w:tc>
          <w:tcPr>
            <w:shd w:val="clear" w:color="auto" w:fill="ffffff"/>
            <w:tcBorders/>
            <w:tcMar>
              <w:left w:w="90" w:type="dxa"/>
              <w:top w:w="55" w:type="dxa"/>
              <w:right w:w="90" w:type="dxa"/>
              <w:bottom w:w="55" w:type="dxa"/>
            </w:tcMar>
            <w:tcW w:w="3400" w:type="dxa"/>
            <w:vAlign w:val="top"/>
          </w:tcPr>
          <w:p>
            <w:pPr>
              <w:pBdr/>
              <w:spacing w:after="30" w:before="30" w:line="240" w:lineRule="auto"/>
              <w:ind/>
              <w:jc w:val="left"/>
              <w:rPr/>
            </w:pPr>
            <w:r>
              <w:rPr>
                <w:rFonts w:ascii="Calibri" w:hAnsi="Calibri" w:eastAsia="Calibri" w:cs="Calibri"/>
                <w:b w:val="0"/>
                <w:bCs w:val="0"/>
                <w:sz w:val="17"/>
                <w:szCs w:val="17"/>
              </w:rPr>
              <w:t xml:space="preserve">Automatización que supla la ausencia de operación.</w:t>
            </w:r>
            <w:r/>
          </w:p>
        </w:tc>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DM-06 · PR-08 · PR-12</w:t>
            </w:r>
            <w:r/>
          </w:p>
        </w:tc>
        <w:tc>
          <w:tcPr>
            <w:shd w:val="clear" w:color="auto" w:fill="ffffff"/>
            <w:tcBorders/>
            <w:tcMar>
              <w:left w:w="90" w:type="dxa"/>
              <w:top w:w="55" w:type="dxa"/>
              <w:right w:w="90" w:type="dxa"/>
              <w:bottom w:w="55" w:type="dxa"/>
            </w:tcMar>
            <w:tcW w:w="2270" w:type="dxa"/>
            <w:vAlign w:val="top"/>
          </w:tcPr>
          <w:p>
            <w:pPr>
              <w:pBdr/>
              <w:spacing w:after="30" w:before="30" w:line="240" w:lineRule="auto"/>
              <w:ind/>
              <w:jc w:val="left"/>
              <w:rPr/>
            </w:pPr>
            <w:r>
              <w:rPr>
                <w:rFonts w:ascii="Calibri" w:hAnsi="Calibri" w:eastAsia="Calibri" w:cs="Calibri"/>
                <w:b w:val="0"/>
                <w:bCs w:val="0"/>
                <w:sz w:val="17"/>
                <w:szCs w:val="17"/>
              </w:rPr>
              <w:t xml:space="preserve">Sí</w:t>
            </w: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FD-04</w:t>
            </w:r>
            <w:r/>
          </w:p>
        </w:tc>
        <w:tc>
          <w:tcPr>
            <w:shd w:val="clear" w:color="auto" w:fill="f2f2f2"/>
            <w:tcBorders/>
            <w:tcMar>
              <w:left w:w="90" w:type="dxa"/>
              <w:top w:w="55" w:type="dxa"/>
              <w:right w:w="90" w:type="dxa"/>
              <w:bottom w:w="55" w:type="dxa"/>
            </w:tcMar>
            <w:tcW w:w="3400" w:type="dxa"/>
            <w:vAlign w:val="top"/>
          </w:tcPr>
          <w:p>
            <w:pPr>
              <w:pBdr/>
              <w:spacing w:after="30" w:before="30" w:line="240" w:lineRule="auto"/>
              <w:ind/>
              <w:jc w:val="left"/>
              <w:rPr/>
            </w:pPr>
            <w:r>
              <w:rPr>
                <w:rFonts w:ascii="Calibri" w:hAnsi="Calibri" w:eastAsia="Calibri" w:cs="Calibri"/>
                <w:b w:val="0"/>
                <w:bCs w:val="0"/>
                <w:sz w:val="17"/>
                <w:szCs w:val="17"/>
              </w:rPr>
              <w:t xml:space="preserve">Instrumental de costo nulo o marginal.</w:t>
            </w:r>
            <w:r/>
          </w:p>
        </w:tc>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Supuesto declarado en 1.3 · CM-07</w:t>
            </w:r>
            <w:r/>
          </w:p>
        </w:tc>
        <w:tc>
          <w:tcPr>
            <w:shd w:val="clear" w:color="auto" w:fill="f2f2f2"/>
            <w:tcBorders/>
            <w:tcMar>
              <w:left w:w="90" w:type="dxa"/>
              <w:top w:w="55" w:type="dxa"/>
              <w:right w:w="90" w:type="dxa"/>
              <w:bottom w:w="55" w:type="dxa"/>
            </w:tcMar>
            <w:tcW w:w="2270" w:type="dxa"/>
            <w:vAlign w:val="top"/>
          </w:tcPr>
          <w:p>
            <w:pPr>
              <w:pBdr/>
              <w:spacing w:after="30" w:before="30" w:line="240" w:lineRule="auto"/>
              <w:ind/>
              <w:jc w:val="left"/>
              <w:rPr/>
            </w:pPr>
            <w:r>
              <w:rPr>
                <w:rFonts w:ascii="Calibri" w:hAnsi="Calibri" w:eastAsia="Calibri" w:cs="Calibri"/>
                <w:b w:val="0"/>
                <w:bCs w:val="0"/>
                <w:sz w:val="17"/>
                <w:szCs w:val="17"/>
              </w:rPr>
              <w:t xml:space="preserve">Sí</w:t>
            </w: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FD-05</w:t>
            </w:r>
            <w:r/>
          </w:p>
        </w:tc>
        <w:tc>
          <w:tcPr>
            <w:shd w:val="clear" w:color="auto" w:fill="ffffff"/>
            <w:tcBorders/>
            <w:tcMar>
              <w:left w:w="90" w:type="dxa"/>
              <w:top w:w="55" w:type="dxa"/>
              <w:right w:w="90" w:type="dxa"/>
              <w:bottom w:w="55" w:type="dxa"/>
            </w:tcMar>
            <w:tcW w:w="3400" w:type="dxa"/>
            <w:vAlign w:val="top"/>
          </w:tcPr>
          <w:p>
            <w:pPr>
              <w:pBdr/>
              <w:spacing w:after="30" w:before="30" w:line="240" w:lineRule="auto"/>
              <w:ind/>
              <w:jc w:val="left"/>
              <w:rPr/>
            </w:pPr>
            <w:r>
              <w:rPr>
                <w:rFonts w:ascii="Calibri" w:hAnsi="Calibri" w:eastAsia="Calibri" w:cs="Calibri"/>
                <w:b w:val="0"/>
                <w:bCs w:val="0"/>
                <w:sz w:val="17"/>
                <w:szCs w:val="17"/>
              </w:rPr>
              <w:t xml:space="preserve">Aceptación por persona distinta de quien construyó.</w:t>
            </w:r>
            <w:r/>
          </w:p>
        </w:tc>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DM-05 · condición 5 de la Definición de Terminado (DM-04)</w:t>
            </w:r>
            <w:r/>
          </w:p>
        </w:tc>
        <w:tc>
          <w:tcPr>
            <w:shd w:val="clear" w:color="auto" w:fill="ffffff"/>
            <w:tcBorders/>
            <w:tcMar>
              <w:left w:w="90" w:type="dxa"/>
              <w:top w:w="55" w:type="dxa"/>
              <w:right w:w="90" w:type="dxa"/>
              <w:bottom w:w="55" w:type="dxa"/>
            </w:tcMar>
            <w:tcW w:w="2270" w:type="dxa"/>
            <w:vAlign w:val="top"/>
          </w:tcPr>
          <w:p>
            <w:pPr>
              <w:pBdr/>
              <w:spacing w:after="30" w:before="30" w:line="240" w:lineRule="auto"/>
              <w:ind/>
              <w:jc w:val="left"/>
              <w:rPr/>
            </w:pPr>
            <w:r>
              <w:rPr>
                <w:rFonts w:ascii="Calibri" w:hAnsi="Calibri" w:eastAsia="Calibri" w:cs="Calibri"/>
                <w:b w:val="0"/>
                <w:bCs w:val="0"/>
                <w:sz w:val="17"/>
                <w:szCs w:val="17"/>
              </w:rPr>
              <w:t xml:space="preserve">Sí, en el plano del proceso</w:t>
            </w: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FD-06</w:t>
            </w:r>
            <w:r/>
          </w:p>
        </w:tc>
        <w:tc>
          <w:tcPr>
            <w:shd w:val="clear" w:color="auto" w:fill="f2f2f2"/>
            <w:tcBorders/>
            <w:tcMar>
              <w:left w:w="90" w:type="dxa"/>
              <w:top w:w="55" w:type="dxa"/>
              <w:right w:w="90" w:type="dxa"/>
              <w:bottom w:w="55" w:type="dxa"/>
            </w:tcMar>
            <w:tcW w:w="3400" w:type="dxa"/>
            <w:vAlign w:val="top"/>
          </w:tcPr>
          <w:p>
            <w:pPr>
              <w:pBdr/>
              <w:spacing w:after="30" w:before="30" w:line="240" w:lineRule="auto"/>
              <w:ind/>
              <w:jc w:val="left"/>
              <w:rPr/>
            </w:pPr>
            <w:r>
              <w:rPr>
                <w:rFonts w:ascii="Calibri" w:hAnsi="Calibri" w:eastAsia="Calibri" w:cs="Calibri"/>
                <w:b w:val="0"/>
                <w:bCs w:val="0"/>
                <w:sz w:val="17"/>
                <w:szCs w:val="17"/>
              </w:rPr>
              <w:t xml:space="preserve">Ceremonia proporcionada al ajuste mutuo.</w:t>
            </w:r>
            <w:r/>
          </w:p>
        </w:tc>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CM-07 · DM-03 · descarte del Proceso Unificado</w:t>
            </w:r>
            <w:r/>
          </w:p>
        </w:tc>
        <w:tc>
          <w:tcPr>
            <w:shd w:val="clear" w:color="auto" w:fill="f2f2f2"/>
            <w:tcBorders/>
            <w:tcMar>
              <w:left w:w="90" w:type="dxa"/>
              <w:top w:w="55" w:type="dxa"/>
              <w:right w:w="90" w:type="dxa"/>
              <w:bottom w:w="55" w:type="dxa"/>
            </w:tcMar>
            <w:tcW w:w="2270" w:type="dxa"/>
            <w:vAlign w:val="top"/>
          </w:tcPr>
          <w:p>
            <w:pPr>
              <w:pBdr/>
              <w:spacing w:after="30" w:before="30" w:line="240" w:lineRule="auto"/>
              <w:ind/>
              <w:jc w:val="left"/>
              <w:rPr/>
            </w:pPr>
            <w:r>
              <w:rPr>
                <w:rFonts w:ascii="Calibri" w:hAnsi="Calibri" w:eastAsia="Calibri" w:cs="Calibri"/>
                <w:b w:val="0"/>
                <w:bCs w:val="0"/>
                <w:sz w:val="17"/>
                <w:szCs w:val="17"/>
              </w:rPr>
              <w:t xml:space="preserve">Sí</w:t>
            </w: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FD-07</w:t>
            </w:r>
            <w:r/>
          </w:p>
        </w:tc>
        <w:tc>
          <w:tcPr>
            <w:shd w:val="clear" w:color="auto" w:fill="ffffff"/>
            <w:tcBorders/>
            <w:tcMar>
              <w:left w:w="90" w:type="dxa"/>
              <w:top w:w="55" w:type="dxa"/>
              <w:right w:w="90" w:type="dxa"/>
              <w:bottom w:w="55" w:type="dxa"/>
            </w:tcMar>
            <w:tcW w:w="3400" w:type="dxa"/>
            <w:vAlign w:val="top"/>
          </w:tcPr>
          <w:p>
            <w:pPr>
              <w:pBdr/>
              <w:spacing w:after="30" w:before="30" w:line="240" w:lineRule="auto"/>
              <w:ind/>
              <w:jc w:val="left"/>
              <w:rPr/>
            </w:pPr>
            <w:r>
              <w:rPr>
                <w:rFonts w:ascii="Calibri" w:hAnsi="Calibri" w:eastAsia="Calibri" w:cs="Calibri"/>
                <w:b w:val="0"/>
                <w:bCs w:val="0"/>
                <w:sz w:val="17"/>
                <w:szCs w:val="17"/>
              </w:rPr>
              <w:t xml:space="preserve">Uso de la clase «Podría» como holgura.</w:t>
            </w:r>
            <w:r/>
          </w:p>
        </w:tc>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 2.12.3 · DM-07 · DM-09 · PR-02 · RM-01</w:t>
            </w:r>
            <w:r/>
          </w:p>
        </w:tc>
        <w:tc>
          <w:tcPr>
            <w:shd w:val="clear" w:color="auto" w:fill="ffffff"/>
            <w:tcBorders/>
            <w:tcMar>
              <w:left w:w="90" w:type="dxa"/>
              <w:top w:w="55" w:type="dxa"/>
              <w:right w:w="90" w:type="dxa"/>
              <w:bottom w:w="55" w:type="dxa"/>
            </w:tcMar>
            <w:tcW w:w="2270" w:type="dxa"/>
            <w:vAlign w:val="top"/>
          </w:tcPr>
          <w:p>
            <w:pPr>
              <w:pBdr/>
              <w:spacing w:after="30" w:before="30" w:line="240" w:lineRule="auto"/>
              <w:ind/>
              <w:jc w:val="left"/>
              <w:rPr/>
            </w:pPr>
            <w:r>
              <w:rPr>
                <w:rFonts w:ascii="Calibri" w:hAnsi="Calibri" w:eastAsia="Calibri" w:cs="Calibri"/>
                <w:b w:val="0"/>
                <w:bCs w:val="0"/>
                <w:sz w:val="17"/>
                <w:szCs w:val="17"/>
              </w:rPr>
              <w:t xml:space="preserve">Sí</w:t>
            </w: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FD-08</w:t>
            </w:r>
            <w:r/>
          </w:p>
        </w:tc>
        <w:tc>
          <w:tcPr>
            <w:shd w:val="clear" w:color="auto" w:fill="f2f2f2"/>
            <w:tcBorders/>
            <w:tcMar>
              <w:left w:w="90" w:type="dxa"/>
              <w:top w:w="55" w:type="dxa"/>
              <w:right w:w="90" w:type="dxa"/>
              <w:bottom w:w="55" w:type="dxa"/>
            </w:tcMar>
            <w:tcW w:w="3400" w:type="dxa"/>
            <w:vAlign w:val="top"/>
          </w:tcPr>
          <w:p>
            <w:pPr>
              <w:pBdr/>
              <w:spacing w:after="30" w:before="30" w:line="240" w:lineRule="auto"/>
              <w:ind/>
              <w:jc w:val="left"/>
              <w:rPr/>
            </w:pPr>
            <w:r>
              <w:rPr>
                <w:rFonts w:ascii="Calibri" w:hAnsi="Calibri" w:eastAsia="Calibri" w:cs="Calibri"/>
                <w:b w:val="0"/>
                <w:bCs w:val="0"/>
                <w:sz w:val="17"/>
                <w:szCs w:val="17"/>
              </w:rPr>
              <w:t xml:space="preserve">Verificación institucionalizada de fronteras modulares.</w:t>
            </w:r>
            <w:r/>
          </w:p>
        </w:tc>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DM-06 · condición 3 de la Definición de Terminado (DM-04) · MT-03 · PR-10 · PR-11</w:t>
            </w:r>
            <w:r/>
          </w:p>
        </w:tc>
        <w:tc>
          <w:tcPr>
            <w:shd w:val="clear" w:color="auto" w:fill="f2f2f2"/>
            <w:tcBorders/>
            <w:tcMar>
              <w:left w:w="90" w:type="dxa"/>
              <w:top w:w="55" w:type="dxa"/>
              <w:right w:w="90" w:type="dxa"/>
              <w:bottom w:w="55" w:type="dxa"/>
            </w:tcMar>
            <w:tcW w:w="2270" w:type="dxa"/>
            <w:vAlign w:val="top"/>
          </w:tcPr>
          <w:p>
            <w:pPr>
              <w:pBdr/>
              <w:spacing w:after="30" w:before="30" w:line="240" w:lineRule="auto"/>
              <w:ind/>
              <w:jc w:val="left"/>
              <w:rPr/>
            </w:pPr>
            <w:r>
              <w:rPr>
                <w:rFonts w:ascii="Calibri" w:hAnsi="Calibri" w:eastAsia="Calibri" w:cs="Calibri"/>
                <w:b w:val="0"/>
                <w:bCs w:val="0"/>
                <w:sz w:val="17"/>
                <w:szCs w:val="17"/>
              </w:rPr>
              <w:t xml:space="preserve">Sí</w:t>
            </w: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FD-09</w:t>
            </w:r>
            <w:r/>
          </w:p>
        </w:tc>
        <w:tc>
          <w:tcPr>
            <w:shd w:val="clear" w:color="auto" w:fill="ffffff"/>
            <w:tcBorders/>
            <w:tcMar>
              <w:left w:w="90" w:type="dxa"/>
              <w:top w:w="55" w:type="dxa"/>
              <w:right w:w="90" w:type="dxa"/>
              <w:bottom w:w="55" w:type="dxa"/>
            </w:tcMar>
            <w:tcW w:w="3400" w:type="dxa"/>
            <w:vAlign w:val="top"/>
          </w:tcPr>
          <w:p>
            <w:pPr>
              <w:pBdr/>
              <w:spacing w:after="30" w:before="30" w:line="240" w:lineRule="auto"/>
              <w:ind/>
              <w:jc w:val="left"/>
              <w:rPr/>
            </w:pPr>
            <w:r>
              <w:rPr>
                <w:rFonts w:ascii="Calibri" w:hAnsi="Calibri" w:eastAsia="Calibri" w:cs="Calibri"/>
                <w:b w:val="0"/>
                <w:bCs w:val="0"/>
                <w:sz w:val="17"/>
                <w:szCs w:val="17"/>
              </w:rPr>
              <w:t xml:space="preserve">Contrato de interfaz antes de la implementación.</w:t>
            </w:r>
            <w:r/>
          </w:p>
        </w:tc>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PR-09 · condición 4 de la Definición de Terminado (DM-04)</w:t>
            </w:r>
            <w:r/>
          </w:p>
        </w:tc>
        <w:tc>
          <w:tcPr>
            <w:shd w:val="clear" w:color="auto" w:fill="ffffff"/>
            <w:tcBorders/>
            <w:tcMar>
              <w:left w:w="90" w:type="dxa"/>
              <w:top w:w="55" w:type="dxa"/>
              <w:right w:w="90" w:type="dxa"/>
              <w:bottom w:w="55" w:type="dxa"/>
            </w:tcMar>
            <w:tcW w:w="2270" w:type="dxa"/>
            <w:vAlign w:val="top"/>
          </w:tcPr>
          <w:p>
            <w:pPr>
              <w:pBdr/>
              <w:spacing w:after="30" w:before="30" w:line="240" w:lineRule="auto"/>
              <w:ind/>
              <w:jc w:val="left"/>
              <w:rPr/>
            </w:pPr>
            <w:r>
              <w:rPr>
                <w:rFonts w:ascii="Calibri" w:hAnsi="Calibri" w:eastAsia="Calibri" w:cs="Calibri"/>
                <w:b w:val="0"/>
                <w:bCs w:val="0"/>
                <w:sz w:val="17"/>
                <w:szCs w:val="17"/>
              </w:rPr>
              <w:t xml:space="preserve">Sí</w:t>
            </w: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FD-10</w:t>
            </w:r>
            <w:r/>
          </w:p>
        </w:tc>
        <w:tc>
          <w:tcPr>
            <w:shd w:val="clear" w:color="auto" w:fill="f2f2f2"/>
            <w:tcBorders/>
            <w:tcMar>
              <w:left w:w="90" w:type="dxa"/>
              <w:top w:w="55" w:type="dxa"/>
              <w:right w:w="90" w:type="dxa"/>
              <w:bottom w:w="55" w:type="dxa"/>
            </w:tcMar>
            <w:tcW w:w="3400" w:type="dxa"/>
            <w:vAlign w:val="top"/>
          </w:tcPr>
          <w:p>
            <w:pPr>
              <w:pBdr/>
              <w:spacing w:after="30" w:before="30" w:line="240" w:lineRule="auto"/>
              <w:ind/>
              <w:jc w:val="left"/>
              <w:rPr/>
            </w:pPr>
            <w:r>
              <w:rPr>
                <w:rFonts w:ascii="Calibri" w:hAnsi="Calibri" w:eastAsia="Calibri" w:cs="Calibri"/>
                <w:b w:val="0"/>
                <w:bCs w:val="0"/>
                <w:sz w:val="17"/>
                <w:szCs w:val="17"/>
              </w:rPr>
              <w:t xml:space="preserve">Evidencia temprana y repetida de avance.</w:t>
            </w:r>
            <w:r/>
          </w:p>
        </w:tc>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DM-01 · DM-08 · PR-01 · PR-04 · plan de once iteraciones</w:t>
            </w:r>
            <w:r/>
          </w:p>
        </w:tc>
        <w:tc>
          <w:tcPr>
            <w:shd w:val="clear" w:color="auto" w:fill="f2f2f2"/>
            <w:tcBorders/>
            <w:tcMar>
              <w:left w:w="90" w:type="dxa"/>
              <w:top w:w="55" w:type="dxa"/>
              <w:right w:w="90" w:type="dxa"/>
              <w:bottom w:w="55" w:type="dxa"/>
            </w:tcMar>
            <w:tcW w:w="2270" w:type="dxa"/>
            <w:vAlign w:val="top"/>
          </w:tcPr>
          <w:p>
            <w:pPr>
              <w:pBdr/>
              <w:spacing w:after="30" w:before="30" w:line="240" w:lineRule="auto"/>
              <w:ind/>
              <w:jc w:val="left"/>
              <w:rPr/>
            </w:pPr>
            <w:r>
              <w:rPr>
                <w:rFonts w:ascii="Calibri" w:hAnsi="Calibri" w:eastAsia="Calibri" w:cs="Calibri"/>
                <w:b w:val="0"/>
                <w:bCs w:val="0"/>
                <w:sz w:val="17"/>
                <w:szCs w:val="17"/>
              </w:rPr>
              <w:t xml:space="preserve">Sí</w:t>
            </w: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FD-11</w:t>
            </w:r>
            <w:r/>
          </w:p>
        </w:tc>
        <w:tc>
          <w:tcPr>
            <w:shd w:val="clear" w:color="auto" w:fill="ffffff"/>
            <w:tcBorders/>
            <w:tcMar>
              <w:left w:w="90" w:type="dxa"/>
              <w:top w:w="55" w:type="dxa"/>
              <w:right w:w="90" w:type="dxa"/>
              <w:bottom w:w="55" w:type="dxa"/>
            </w:tcMar>
            <w:tcW w:w="3400" w:type="dxa"/>
            <w:vAlign w:val="top"/>
          </w:tcPr>
          <w:p>
            <w:pPr>
              <w:pBdr/>
              <w:spacing w:after="30" w:before="30" w:line="240" w:lineRule="auto"/>
              <w:ind/>
              <w:jc w:val="left"/>
              <w:rPr/>
            </w:pPr>
            <w:r>
              <w:rPr>
                <w:rFonts w:ascii="Calibri" w:hAnsi="Calibri" w:eastAsia="Calibri" w:cs="Calibri"/>
                <w:b w:val="0"/>
                <w:bCs w:val="0"/>
                <w:sz w:val="17"/>
                <w:szCs w:val="17"/>
              </w:rPr>
              <w:t xml:space="preserve">Apertura gobernada de la especificación.</w:t>
            </w:r>
            <w:r/>
          </w:p>
        </w:tc>
        <w:tc>
          <w:tcPr>
            <w:shd w:val="clear" w:color="auto" w:fill="ffffff"/>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Paradigma abierto al cambio en 2.4 · DM-09 · MT-08</w:t>
            </w:r>
            <w:r/>
          </w:p>
        </w:tc>
        <w:tc>
          <w:tcPr>
            <w:shd w:val="clear" w:color="auto" w:fill="ffffff"/>
            <w:tcBorders/>
            <w:tcMar>
              <w:left w:w="90" w:type="dxa"/>
              <w:top w:w="55" w:type="dxa"/>
              <w:right w:w="90" w:type="dxa"/>
              <w:bottom w:w="55" w:type="dxa"/>
            </w:tcMar>
            <w:tcW w:w="2270" w:type="dxa"/>
            <w:vAlign w:val="top"/>
          </w:tcPr>
          <w:p>
            <w:pPr>
              <w:pBdr/>
              <w:spacing w:after="30" w:before="30" w:line="240" w:lineRule="auto"/>
              <w:ind/>
              <w:jc w:val="left"/>
              <w:rPr/>
            </w:pPr>
            <w:r>
              <w:rPr>
                <w:rFonts w:ascii="Calibri" w:hAnsi="Calibri" w:eastAsia="Calibri" w:cs="Calibri"/>
                <w:b w:val="0"/>
                <w:bCs w:val="0"/>
                <w:sz w:val="17"/>
                <w:szCs w:val="17"/>
              </w:rPr>
              <w:t xml:space="preserve">Sí</w:t>
            </w: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FD-12</w:t>
            </w:r>
            <w:r/>
          </w:p>
        </w:tc>
        <w:tc>
          <w:tcPr>
            <w:shd w:val="clear" w:color="auto" w:fill="f2f2f2"/>
            <w:tcBorders/>
            <w:tcMar>
              <w:left w:w="90" w:type="dxa"/>
              <w:top w:w="55" w:type="dxa"/>
              <w:right w:w="90" w:type="dxa"/>
              <w:bottom w:w="55" w:type="dxa"/>
            </w:tcMar>
            <w:tcW w:w="3400" w:type="dxa"/>
            <w:vAlign w:val="top"/>
          </w:tcPr>
          <w:p>
            <w:pPr>
              <w:pBdr/>
              <w:spacing w:after="30" w:before="30" w:line="240" w:lineRule="auto"/>
              <w:ind/>
              <w:jc w:val="left"/>
              <w:rPr/>
            </w:pPr>
            <w:r>
              <w:rPr>
                <w:rFonts w:ascii="Calibri" w:hAnsi="Calibri" w:eastAsia="Calibri" w:cs="Calibri"/>
                <w:b w:val="0"/>
                <w:bCs w:val="0"/>
                <w:sz w:val="17"/>
                <w:szCs w:val="17"/>
              </w:rPr>
              <w:t xml:space="preserve">Confrontación periódica de la hipótesis de negocio.</w:t>
            </w:r>
            <w:r/>
          </w:p>
        </w:tc>
        <w:tc>
          <w:tcPr>
            <w:shd w:val="clear" w:color="auto" w:fill="f2f2f2"/>
            <w:tcBorders/>
            <w:tcMar>
              <w:left w:w="90" w:type="dxa"/>
              <w:top w:w="55" w:type="dxa"/>
              <w:right w:w="90" w:type="dxa"/>
              <w:bottom w:w="55" w:type="dxa"/>
            </w:tcMar>
            <w:tcW w:w="2500" w:type="dxa"/>
            <w:vAlign w:val="top"/>
          </w:tcPr>
          <w:p>
            <w:pPr>
              <w:pBdr/>
              <w:spacing w:after="30" w:before="30" w:line="240" w:lineRule="auto"/>
              <w:ind/>
              <w:jc w:val="left"/>
              <w:rPr/>
            </w:pPr>
            <w:r>
              <w:rPr>
                <w:rFonts w:ascii="Calibri" w:hAnsi="Calibri" w:eastAsia="Calibri" w:cs="Calibri"/>
                <w:b w:val="0"/>
                <w:bCs w:val="0"/>
                <w:sz w:val="17"/>
                <w:szCs w:val="17"/>
              </w:rPr>
              <w:t xml:space="preserve">PR-04 · bucle de producto de 2.14 · orden de IT-03 y IT-04</w:t>
            </w:r>
            <w:r/>
          </w:p>
        </w:tc>
        <w:tc>
          <w:tcPr>
            <w:shd w:val="clear" w:color="auto" w:fill="f2f2f2"/>
            <w:tcBorders/>
            <w:tcMar>
              <w:left w:w="90" w:type="dxa"/>
              <w:top w:w="55" w:type="dxa"/>
              <w:right w:w="90" w:type="dxa"/>
              <w:bottom w:w="55" w:type="dxa"/>
            </w:tcMar>
            <w:tcW w:w="2270" w:type="dxa"/>
            <w:vAlign w:val="top"/>
          </w:tcPr>
          <w:p>
            <w:pPr>
              <w:pBdr/>
              <w:spacing w:after="30" w:before="30" w:line="240" w:lineRule="auto"/>
              <w:ind/>
              <w:jc w:val="left"/>
              <w:rPr/>
            </w:pPr>
            <w:r>
              <w:rPr>
                <w:rFonts w:ascii="Calibri" w:hAnsi="Calibri" w:eastAsia="Calibri" w:cs="Calibri"/>
                <w:b w:val="0"/>
                <w:bCs w:val="0"/>
                <w:sz w:val="17"/>
                <w:szCs w:val="17"/>
              </w:rPr>
              <w:t xml:space="preserve">Sí</w:t>
            </w:r>
            <w:r/>
          </w:p>
        </w:tc>
      </w:tr>
    </w:tbl>
    <w:p>
      <w:pPr>
        <w:pBdr/>
        <w:spacing w:after="120" w:before="0" w:line="276" w:lineRule="auto"/>
        <w:ind/>
        <w:jc w:val="both"/>
        <w:rPr/>
      </w:pPr>
      <w:r>
        <w:rPr>
          <w:rFonts w:ascii="Calibri" w:hAnsi="Calibri" w:eastAsia="Calibri" w:cs="Calibri"/>
          <w:b w:val="0"/>
          <w:bCs w:val="0"/>
          <w:i w:val="0"/>
          <w:iCs w:val="0"/>
          <w:color w:val="000000"/>
          <w:sz w:val="22"/>
          <w:szCs w:val="22"/>
        </w:rPr>
        <w:t xml:space="preserve">La cobertura es completa. En sentido inverso, todas las decisiones DM-01 a DM-09 y todas las prácticas PR-01 a PR-12 salvo una aparecen al menos una vez en la columna central. La excepción es PR-06, que no procede de un factor FD sino directamente del riesgo R-04 y del umbral de RNF-04 del documento 3: su origen es igualmente heredado, pero no se formalizó como factor determinante porque no restringe la elección del modelo de ciclo de vida, sino el alcance con que se aplica una de sus prácticas. Se declara para que la ausencia no se lea como una decisión sin origen.</w:t>
      </w:r>
      <w:r/>
    </w:p>
    <w:p>
      <w:pPr>
        <w:pStyle w:val="918"/>
        <w:pBdr/>
        <w:spacing w:after="140" w:before="280"/>
        <w:ind/>
        <w:rPr>
          <w:color w:val="000000" w:themeColor="text1"/>
        </w:rPr>
      </w:pPr>
      <w:r>
        <w:rPr>
          <w:color w:val="000000" w:themeColor="text1"/>
        </w:rPr>
      </w:r>
      <w:bookmarkStart w:id="41" w:name="_Toc41"/>
      <w:r>
        <w:rPr>
          <w:rFonts w:ascii="Calibri" w:hAnsi="Calibri" w:eastAsia="Calibri" w:cs="Calibri"/>
          <w:b/>
          <w:bCs/>
          <w:color w:val="000000" w:themeColor="text1"/>
          <w:sz w:val="25"/>
          <w:szCs w:val="25"/>
        </w:rPr>
        <w:t xml:space="preserve">Anexo B — Asignación de módulos a iteraciones y conflictos de ordenación</w:t>
      </w:r>
      <w:bookmarkEnd w:id="41"/>
      <w:r>
        <w:rPr>
          <w:color w:val="000000" w:themeColor="text1"/>
        </w:rPr>
      </w:r>
    </w:p>
    <w:p>
      <w:pPr>
        <w:pBdr/>
        <w:spacing w:after="120" w:before="0" w:line="276" w:lineRule="auto"/>
        <w:ind/>
        <w:jc w:val="both"/>
        <w:rPr/>
      </w:pPr>
      <w:r>
        <w:rPr>
          <w:rFonts w:ascii="Calibri" w:hAnsi="Calibri" w:eastAsia="Calibri" w:cs="Calibri"/>
          <w:b w:val="0"/>
          <w:bCs w:val="0"/>
          <w:i w:val="0"/>
          <w:iCs w:val="0"/>
          <w:color w:val="000000"/>
          <w:sz w:val="22"/>
          <w:szCs w:val="22"/>
        </w:rPr>
        <w:t xml:space="preserve">La sección 2.13 declaró tres criterios de ordenación con precedencia entre sí. Este anexo registra los casos en que entraron en conflicto y cómo se resolvió, porque una ordenación sin conflictos declarados suele ser una ordenación que no se examinó.</w:t>
      </w:r>
      <w:r/>
    </w:p>
    <w:p>
      <w:pPr>
        <w:pBdr/>
        <w:spacing w:after="60"/>
        <w:ind/>
        <w:rPr/>
      </w:p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2400"/>
        <w:gridCol w:w="3200"/>
        <w:gridCol w:w="3470"/>
      </w:tblGrid>
      <w:tr>
        <w:trPr>
          <w:tblHeader/>
        </w:trPr>
        <w:tc>
          <w:tcPr>
            <w:shd w:val="clear" w:color="auto" w:fill="dce6f1"/>
            <w:tcBorders/>
            <w:tcMar>
              <w:left w:w="90" w:type="dxa"/>
              <w:top w:w="60" w:type="dxa"/>
              <w:right w:w="90" w:type="dxa"/>
              <w:bottom w:w="60" w:type="dxa"/>
            </w:tcMar>
            <w:tcW w:w="2400" w:type="dxa"/>
            <w:vAlign w:val="center"/>
          </w:tcPr>
          <w:p>
            <w:pPr>
              <w:pBdr/>
              <w:spacing w:after="30" w:before="30" w:line="240" w:lineRule="auto"/>
              <w:ind/>
              <w:jc w:val="left"/>
              <w:rPr/>
            </w:pPr>
            <w:r>
              <w:rPr>
                <w:rFonts w:ascii="Calibri" w:hAnsi="Calibri" w:eastAsia="Calibri" w:cs="Calibri"/>
                <w:b/>
                <w:bCs/>
                <w:sz w:val="17"/>
                <w:szCs w:val="17"/>
              </w:rPr>
              <w:t xml:space="preserve">Conflicto detectado</w:t>
            </w:r>
            <w:r/>
          </w:p>
        </w:tc>
        <w:tc>
          <w:tcPr>
            <w:shd w:val="clear" w:color="auto" w:fill="dce6f1"/>
            <w:tcBorders/>
            <w:tcMar>
              <w:left w:w="90" w:type="dxa"/>
              <w:top w:w="60" w:type="dxa"/>
              <w:right w:w="90" w:type="dxa"/>
              <w:bottom w:w="60" w:type="dxa"/>
            </w:tcMar>
            <w:tcW w:w="3200" w:type="dxa"/>
            <w:vAlign w:val="center"/>
          </w:tcPr>
          <w:p>
            <w:pPr>
              <w:pBdr/>
              <w:spacing w:after="30" w:before="30" w:line="240" w:lineRule="auto"/>
              <w:ind/>
              <w:jc w:val="left"/>
              <w:rPr/>
            </w:pPr>
            <w:r>
              <w:rPr>
                <w:rFonts w:ascii="Calibri" w:hAnsi="Calibri" w:eastAsia="Calibri" w:cs="Calibri"/>
                <w:b/>
                <w:bCs/>
                <w:sz w:val="17"/>
                <w:szCs w:val="17"/>
              </w:rPr>
              <w:t xml:space="preserve">Criterios en tensión</w:t>
            </w:r>
            <w:r/>
          </w:p>
        </w:tc>
        <w:tc>
          <w:tcPr>
            <w:shd w:val="clear" w:color="auto" w:fill="dce6f1"/>
            <w:tcBorders/>
            <w:tcMar>
              <w:left w:w="90" w:type="dxa"/>
              <w:top w:w="60" w:type="dxa"/>
              <w:right w:w="90" w:type="dxa"/>
              <w:bottom w:w="60" w:type="dxa"/>
            </w:tcMar>
            <w:tcW w:w="3470" w:type="dxa"/>
            <w:vAlign w:val="center"/>
          </w:tcPr>
          <w:p>
            <w:pPr>
              <w:pBdr/>
              <w:spacing w:after="30" w:before="30" w:line="240" w:lineRule="auto"/>
              <w:ind/>
              <w:jc w:val="left"/>
              <w:rPr/>
            </w:pPr>
            <w:r>
              <w:rPr>
                <w:rFonts w:ascii="Calibri" w:hAnsi="Calibri" w:eastAsia="Calibri" w:cs="Calibri"/>
                <w:b/>
                <w:bCs/>
                <w:sz w:val="17"/>
                <w:szCs w:val="17"/>
              </w:rPr>
              <w:t xml:space="preserve">Resolución adoptada</w:t>
            </w:r>
            <w:r/>
          </w:p>
        </w:tc>
      </w:tr>
      <w:tr>
        <w:trPr/>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pPr>
            <w:r>
              <w:rPr>
                <w:rFonts w:ascii="Calibri" w:hAnsi="Calibri" w:eastAsia="Calibri" w:cs="Calibri"/>
                <w:b w:val="0"/>
                <w:bCs w:val="0"/>
                <w:sz w:val="17"/>
                <w:szCs w:val="17"/>
              </w:rPr>
              <w:t xml:space="preserve">El motor de búsqueda (M5) soporta PM-04, el proceso misional que junto con PM-05 justifica la existencia del sistema, y sin embargo se construye en quinto lugar.</w:t>
            </w:r>
            <w:r/>
          </w:p>
        </w:tc>
        <w:tc>
          <w:tcPr>
            <w:shd w:val="clear" w:color="auto" w:fill="ffffff"/>
            <w:tcBorders/>
            <w:tcMar>
              <w:left w:w="90" w:type="dxa"/>
              <w:top w:w="55" w:type="dxa"/>
              <w:right w:w="90" w:type="dxa"/>
              <w:bottom w:w="55" w:type="dxa"/>
            </w:tcMar>
            <w:tcW w:w="3200" w:type="dxa"/>
            <w:vAlign w:val="top"/>
          </w:tcPr>
          <w:p>
            <w:pPr>
              <w:pBdr/>
              <w:spacing w:after="30" w:before="30" w:line="240" w:lineRule="auto"/>
              <w:ind/>
              <w:jc w:val="left"/>
              <w:rPr/>
            </w:pPr>
            <w:r>
              <w:rPr>
                <w:rFonts w:ascii="Calibri" w:hAnsi="Calibri" w:eastAsia="Calibri" w:cs="Calibri"/>
                <w:b w:val="0"/>
                <w:bCs w:val="0"/>
                <w:sz w:val="17"/>
                <w:szCs w:val="17"/>
              </w:rPr>
              <w:t xml:space="preserve">Prioridad de negocio frente a dependencia arquitectónica.</w:t>
            </w:r>
            <w:r/>
          </w:p>
        </w:tc>
        <w:tc>
          <w:tcPr>
            <w:shd w:val="clear" w:color="auto" w:fill="ffffff"/>
            <w:tcBorders/>
            <w:tcMar>
              <w:left w:w="90" w:type="dxa"/>
              <w:top w:w="55" w:type="dxa"/>
              <w:right w:w="90" w:type="dxa"/>
              <w:bottom w:w="55" w:type="dxa"/>
            </w:tcMar>
            <w:tcW w:w="3470" w:type="dxa"/>
            <w:vAlign w:val="top"/>
          </w:tcPr>
          <w:p>
            <w:pPr>
              <w:pBdr/>
              <w:spacing w:after="30" w:before="30" w:line="240" w:lineRule="auto"/>
              <w:ind/>
              <w:jc w:val="left"/>
              <w:rPr/>
            </w:pPr>
            <w:r>
              <w:rPr>
                <w:rFonts w:ascii="Calibri" w:hAnsi="Calibri" w:eastAsia="Calibri" w:cs="Calibri"/>
                <w:b w:val="0"/>
                <w:bCs w:val="0"/>
                <w:sz w:val="17"/>
                <w:szCs w:val="17"/>
              </w:rPr>
              <w:t xml:space="preserve">Prevalece la dependencia: buscar exige que existan demandas (M3) y ofertas (M4) que buscar. Construir M5 antes produciría un motor sobre un conjunto vacío, imposible de verificar contra los umbrales de rendimiento.</w:t>
            </w:r>
            <w:r/>
          </w:p>
        </w:tc>
      </w:tr>
      <w:tr>
        <w:trPr/>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pPr>
            <w:r>
              <w:rPr>
                <w:rFonts w:ascii="Calibri" w:hAnsi="Calibri" w:eastAsia="Calibri" w:cs="Calibri"/>
                <w:b w:val="0"/>
                <w:bCs w:val="0"/>
                <w:sz w:val="17"/>
                <w:szCs w:val="17"/>
              </w:rPr>
              <w:t xml:space="preserve">La línea base arquitectónica de IT-01 consume dos semanas sin producir funcionalidad visible.</w:t>
            </w:r>
            <w:r/>
          </w:p>
        </w:tc>
        <w:tc>
          <w:tcPr>
            <w:shd w:val="clear" w:color="auto" w:fill="f2f2f2"/>
            <w:tcBorders/>
            <w:tcMar>
              <w:left w:w="90" w:type="dxa"/>
              <w:top w:w="55" w:type="dxa"/>
              <w:right w:w="90" w:type="dxa"/>
              <w:bottom w:w="55" w:type="dxa"/>
            </w:tcMar>
            <w:tcW w:w="3200" w:type="dxa"/>
            <w:vAlign w:val="top"/>
          </w:tcPr>
          <w:p>
            <w:pPr>
              <w:pBdr/>
              <w:spacing w:after="30" w:before="30" w:line="240" w:lineRule="auto"/>
              <w:ind/>
              <w:jc w:val="left"/>
              <w:rPr/>
            </w:pPr>
            <w:r>
              <w:rPr>
                <w:rFonts w:ascii="Calibri" w:hAnsi="Calibri" w:eastAsia="Calibri" w:cs="Calibri"/>
                <w:b w:val="0"/>
                <w:bCs w:val="0"/>
                <w:sz w:val="17"/>
                <w:szCs w:val="17"/>
              </w:rPr>
              <w:t xml:space="preserve">Reducción del riesgo frente a entrega temprana de valor.</w:t>
            </w:r>
            <w:r/>
          </w:p>
        </w:tc>
        <w:tc>
          <w:tcPr>
            <w:shd w:val="clear" w:color="auto" w:fill="f2f2f2"/>
            <w:tcBorders/>
            <w:tcMar>
              <w:left w:w="90" w:type="dxa"/>
              <w:top w:w="55" w:type="dxa"/>
              <w:right w:w="90" w:type="dxa"/>
              <w:bottom w:w="55" w:type="dxa"/>
            </w:tcMar>
            <w:tcW w:w="3470" w:type="dxa"/>
            <w:vAlign w:val="top"/>
          </w:tcPr>
          <w:p>
            <w:pPr>
              <w:pBdr/>
              <w:spacing w:after="30" w:before="30" w:line="240" w:lineRule="auto"/>
              <w:ind/>
              <w:jc w:val="left"/>
              <w:rPr/>
            </w:pPr>
            <w:r>
              <w:rPr>
                <w:rFonts w:ascii="Calibri" w:hAnsi="Calibri" w:eastAsia="Calibri" w:cs="Calibri"/>
                <w:b w:val="0"/>
                <w:bCs w:val="0"/>
                <w:sz w:val="17"/>
                <w:szCs w:val="17"/>
              </w:rPr>
              <w:t xml:space="preserve">Prevalece la reducción del riesgo, conforme a la precedencia declarada y a DM-08. El costo se acepta de forma expresa y se compensa situando el primer proceso misional completo ya en IT-02.</w:t>
            </w:r>
            <w:r/>
          </w:p>
        </w:tc>
      </w:tr>
      <w:tr>
        <w:trPr/>
        <w:tc>
          <w:tcPr>
            <w:shd w:val="clear" w:color="auto" w:fill="ffffff"/>
            <w:tcBorders/>
            <w:tcMar>
              <w:left w:w="90" w:type="dxa"/>
              <w:top w:w="55" w:type="dxa"/>
              <w:right w:w="90" w:type="dxa"/>
              <w:bottom w:w="55" w:type="dxa"/>
            </w:tcMar>
            <w:tcW w:w="2400" w:type="dxa"/>
            <w:vAlign w:val="top"/>
          </w:tcPr>
          <w:p>
            <w:pPr>
              <w:pBdr/>
              <w:spacing w:after="30" w:before="30" w:line="240" w:lineRule="auto"/>
              <w:ind/>
              <w:jc w:val="left"/>
              <w:rPr/>
            </w:pPr>
            <w:r>
              <w:rPr>
                <w:rFonts w:ascii="Calibri" w:hAnsi="Calibri" w:eastAsia="Calibri" w:cs="Calibri"/>
                <w:b w:val="0"/>
                <w:bCs w:val="0"/>
                <w:sz w:val="17"/>
                <w:szCs w:val="17"/>
              </w:rPr>
              <w:t xml:space="preserve">El cumplimiento normativo (PE-02) se completa en IT-09, penúltima iteración.</w:t>
            </w:r>
            <w:r/>
          </w:p>
        </w:tc>
        <w:tc>
          <w:tcPr>
            <w:shd w:val="clear" w:color="auto" w:fill="ffffff"/>
            <w:tcBorders/>
            <w:tcMar>
              <w:left w:w="90" w:type="dxa"/>
              <w:top w:w="55" w:type="dxa"/>
              <w:right w:w="90" w:type="dxa"/>
              <w:bottom w:w="55" w:type="dxa"/>
            </w:tcMar>
            <w:tcW w:w="3200" w:type="dxa"/>
            <w:vAlign w:val="top"/>
          </w:tcPr>
          <w:p>
            <w:pPr>
              <w:pBdr/>
              <w:spacing w:after="30" w:before="30" w:line="240" w:lineRule="auto"/>
              <w:ind/>
              <w:jc w:val="left"/>
              <w:rPr/>
            </w:pPr>
            <w:r>
              <w:rPr>
                <w:rFonts w:ascii="Calibri" w:hAnsi="Calibri" w:eastAsia="Calibri" w:cs="Calibri"/>
                <w:b w:val="0"/>
                <w:bCs w:val="0"/>
                <w:sz w:val="17"/>
                <w:szCs w:val="17"/>
              </w:rPr>
              <w:t xml:space="preserve">Riesgo de cumplimiento frente a dependencia arquitectónica.</w:t>
            </w:r>
            <w:r/>
          </w:p>
        </w:tc>
        <w:tc>
          <w:tcPr>
            <w:shd w:val="clear" w:color="auto" w:fill="ffffff"/>
            <w:tcBorders/>
            <w:tcMar>
              <w:left w:w="90" w:type="dxa"/>
              <w:top w:w="55" w:type="dxa"/>
              <w:right w:w="90" w:type="dxa"/>
              <w:bottom w:w="55" w:type="dxa"/>
            </w:tcMar>
            <w:tcW w:w="3470" w:type="dxa"/>
            <w:vAlign w:val="top"/>
          </w:tcPr>
          <w:p>
            <w:pPr>
              <w:pBdr/>
              <w:spacing w:after="30" w:before="30" w:line="240" w:lineRule="auto"/>
              <w:ind/>
              <w:jc w:val="left"/>
              <w:rPr/>
            </w:pPr>
            <w:r>
              <w:rPr>
                <w:rFonts w:ascii="Calibri" w:hAnsi="Calibri" w:eastAsia="Calibri" w:cs="Calibri"/>
                <w:b w:val="0"/>
                <w:bCs w:val="0"/>
                <w:sz w:val="17"/>
                <w:szCs w:val="17"/>
              </w:rPr>
              <w:t xml:space="preserve">Se acepta el orden porque la estructura que el cumplimiento requiere —bitácora inmutable y recogida del consentimiento— se construye en IT-02. Lo que IT-09 añade es gestión y exportación. El razonamiento se declara en 2.13 por ser el punto más discutible del plan.</w:t>
            </w:r>
            <w:r/>
          </w:p>
        </w:tc>
      </w:tr>
      <w:tr>
        <w:trPr/>
        <w:tc>
          <w:tcPr>
            <w:shd w:val="clear" w:color="auto" w:fill="f2f2f2"/>
            <w:tcBorders/>
            <w:tcMar>
              <w:left w:w="90" w:type="dxa"/>
              <w:top w:w="55" w:type="dxa"/>
              <w:right w:w="90" w:type="dxa"/>
              <w:bottom w:w="55" w:type="dxa"/>
            </w:tcMar>
            <w:tcW w:w="2400" w:type="dxa"/>
            <w:vAlign w:val="top"/>
          </w:tcPr>
          <w:p>
            <w:pPr>
              <w:pBdr/>
              <w:spacing w:after="30" w:before="30" w:line="240" w:lineRule="auto"/>
              <w:ind/>
              <w:jc w:val="left"/>
              <w:rPr/>
            </w:pPr>
            <w:r>
              <w:rPr>
                <w:rFonts w:ascii="Calibri" w:hAnsi="Calibri" w:eastAsia="Calibri" w:cs="Calibri"/>
                <w:b w:val="0"/>
                <w:bCs w:val="0"/>
                <w:sz w:val="17"/>
                <w:szCs w:val="17"/>
              </w:rPr>
              <w:t xml:space="preserve">M9 se construye en dos tramos separados, IT-02 e IT-09.</w:t>
            </w:r>
            <w:r/>
          </w:p>
        </w:tc>
        <w:tc>
          <w:tcPr>
            <w:shd w:val="clear" w:color="auto" w:fill="f2f2f2"/>
            <w:tcBorders/>
            <w:tcMar>
              <w:left w:w="90" w:type="dxa"/>
              <w:top w:w="55" w:type="dxa"/>
              <w:right w:w="90" w:type="dxa"/>
              <w:bottom w:w="55" w:type="dxa"/>
            </w:tcMar>
            <w:tcW w:w="3200" w:type="dxa"/>
            <w:vAlign w:val="top"/>
          </w:tcPr>
          <w:p>
            <w:pPr>
              <w:pBdr/>
              <w:spacing w:after="30" w:before="30" w:line="240" w:lineRule="auto"/>
              <w:ind/>
              <w:jc w:val="left"/>
              <w:rPr/>
            </w:pPr>
            <w:r>
              <w:rPr>
                <w:rFonts w:ascii="Calibri" w:hAnsi="Calibri" w:eastAsia="Calibri" w:cs="Calibri"/>
                <w:b w:val="0"/>
                <w:bCs w:val="0"/>
                <w:sz w:val="17"/>
                <w:szCs w:val="17"/>
              </w:rPr>
              <w:t xml:space="preserve">Cohesión modular frente a dependencia funcional.</w:t>
            </w:r>
            <w:r/>
          </w:p>
        </w:tc>
        <w:tc>
          <w:tcPr>
            <w:shd w:val="clear" w:color="auto" w:fill="f2f2f2"/>
            <w:tcBorders/>
            <w:tcMar>
              <w:left w:w="90" w:type="dxa"/>
              <w:top w:w="55" w:type="dxa"/>
              <w:right w:w="90" w:type="dxa"/>
              <w:bottom w:w="55" w:type="dxa"/>
            </w:tcMar>
            <w:tcW w:w="3470" w:type="dxa"/>
            <w:vAlign w:val="top"/>
          </w:tcPr>
          <w:p>
            <w:pPr>
              <w:pBdr/>
              <w:spacing w:after="30" w:before="30" w:line="240" w:lineRule="auto"/>
              <w:ind/>
              <w:jc w:val="left"/>
              <w:rPr/>
            </w:pPr>
            <w:r>
              <w:rPr>
                <w:rFonts w:ascii="Calibri" w:hAnsi="Calibri" w:eastAsia="Calibri" w:cs="Calibri"/>
                <w:b w:val="0"/>
                <w:bCs w:val="0"/>
                <w:sz w:val="17"/>
                <w:szCs w:val="17"/>
              </w:rPr>
              <w:t xml:space="preserve">PM-01 no puede cerrarse sin la aprobación administrativa y la bitácora, que pertenecen a M9. Se fracciona el módulo en el tiempo, no en su estructura: sus fronteras y su esquema se fijan íntegros en IT-02.</w:t>
            </w:r>
            <w:r/>
          </w:p>
        </w:tc>
      </w:tr>
    </w:tbl>
    <w:p>
      <w:pPr>
        <w:pBdr/>
        <w:spacing w:after="120"/>
        <w:ind/>
        <w:rPr/>
      </w:pPr>
      <w:r/>
    </w:p>
    <w:p>
      <w:pPr>
        <w:pBdr/>
        <w:spacing w:after="120" w:before="0" w:line="276" w:lineRule="auto"/>
        <w:ind/>
        <w:jc w:val="both"/>
        <w:rPr/>
      </w:pPr>
      <w:r>
        <w:rPr>
          <w:rFonts w:ascii="Calibri" w:hAnsi="Calibri" w:eastAsia="Calibri" w:cs="Calibri"/>
          <w:b/>
          <w:bCs/>
          <w:i w:val="0"/>
          <w:iCs w:val="0"/>
          <w:color w:val="000000"/>
          <w:sz w:val="22"/>
          <w:szCs w:val="22"/>
        </w:rPr>
        <w:t xml:space="preserve">Cobertura de los procesos misionales.</w:t>
      </w:r>
      <w:r>
        <w:rPr>
          <w:rFonts w:ascii="Calibri" w:hAnsi="Calibri" w:eastAsia="Calibri" w:cs="Calibri"/>
          <w:b w:val="0"/>
          <w:bCs w:val="0"/>
          <w:i w:val="0"/>
          <w:iCs w:val="0"/>
          <w:color w:val="000000"/>
          <w:sz w:val="22"/>
          <w:szCs w:val="22"/>
        </w:rPr>
        <w:t xml:space="preserve"> Los siete procesos misionales del documento 1 quedan cubiertos por el plan: PM-01 en IT-02, PM-02 en IT-03, PM-03 en IT-04, PM-04 en IT-05, PM-05 en IT-06 e IT-07, PM-06 en IT-08 y PM-07 parcialmente en IT-09, en el mismo alcance parcial que el Anexo C.2 del documento 1 ya había declarado. Los procesos de soporte PS-01 y PS-02 y el proceso estratégico PE-02 se cubren en IT-09. Los procesos PE-01, PS-03 y PS-04 no aparecen porque no se soportan mediante el sistema, conforme a lo ya establecido en ese mismo anexo.</w:t>
      </w:r>
      <w:r/>
    </w:p>
    <w:p>
      <w:pPr>
        <w:pStyle w:val="918"/>
        <w:pBdr/>
        <w:spacing w:after="140" w:before="280"/>
        <w:ind/>
        <w:rPr>
          <w:color w:val="000000" w:themeColor="text1"/>
        </w:rPr>
      </w:pPr>
      <w:r/>
      <w:bookmarkStart w:id="42" w:name="_Toc42"/>
      <w:r>
        <w:rPr>
          <w:rFonts w:ascii="Calibri" w:hAnsi="Calibri" w:eastAsia="Calibri" w:cs="Calibri"/>
          <w:b/>
          <w:bCs/>
          <w:color w:val="000000" w:themeColor="text1"/>
          <w:sz w:val="25"/>
          <w:szCs w:val="25"/>
        </w:rPr>
        <w:t xml:space="preserve">Anexo C — Cuadro comparativo de los modelos de ciclo de vida considerados</w:t>
      </w:r>
      <w:bookmarkEnd w:id="42"/>
      <w:r>
        <w:rPr>
          <w:color w:val="000000" w:themeColor="text1"/>
        </w:rPr>
      </w:r>
    </w:p>
    <w:p>
      <w:pPr>
        <w:pBdr/>
        <w:spacing w:after="120" w:before="0" w:line="276" w:lineRule="auto"/>
        <w:ind/>
        <w:jc w:val="both"/>
        <w:rPr/>
      </w:pPr>
      <w:r>
        <w:rPr>
          <w:rFonts w:ascii="Calibri" w:hAnsi="Calibri" w:eastAsia="Calibri" w:cs="Calibri"/>
          <w:b w:val="0"/>
          <w:bCs w:val="0"/>
          <w:i w:val="0"/>
          <w:iCs w:val="0"/>
          <w:color w:val="000000"/>
          <w:sz w:val="22"/>
          <w:szCs w:val="22"/>
        </w:rPr>
        <w:t xml:space="preserve">Se reproduce en forma sintética el cuadro que el capítulo 10 del SWEBOK v4.0a ofrece, ampliado con la columna de aplicabilidad al caso. Su función es dejar constancia de que el universo se examinó completo antes de reducirlo a tres alternativas.</w:t>
      </w:r>
      <w:r/>
    </w:p>
    <w:p>
      <w:pPr>
        <w:pBdr/>
        <w:spacing w:after="60"/>
        <w:ind/>
        <w:rPr/>
      </w:p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1400"/>
        <w:gridCol w:w="1500"/>
        <w:gridCol w:w="1400"/>
        <w:gridCol w:w="2100"/>
        <w:gridCol w:w="2670"/>
      </w:tblGrid>
      <w:tr>
        <w:trPr>
          <w:tblHeader/>
        </w:trPr>
        <w:tc>
          <w:tcPr>
            <w:shd w:val="clear" w:color="auto" w:fill="dce6f1"/>
            <w:tcBorders/>
            <w:tcMar>
              <w:left w:w="90" w:type="dxa"/>
              <w:top w:w="60" w:type="dxa"/>
              <w:right w:w="90" w:type="dxa"/>
              <w:bottom w:w="60" w:type="dxa"/>
            </w:tcMar>
            <w:tcW w:w="1400" w:type="dxa"/>
            <w:vAlign w:val="center"/>
          </w:tcPr>
          <w:p>
            <w:pPr>
              <w:pBdr/>
              <w:spacing w:after="30" w:before="30" w:line="240" w:lineRule="auto"/>
              <w:ind/>
              <w:jc w:val="left"/>
              <w:rPr/>
            </w:pPr>
            <w:r>
              <w:rPr>
                <w:rFonts w:ascii="Calibri" w:hAnsi="Calibri" w:eastAsia="Calibri" w:cs="Calibri"/>
                <w:b/>
                <w:bCs/>
                <w:sz w:val="17"/>
                <w:szCs w:val="17"/>
              </w:rPr>
              <w:t xml:space="preserve">Modelo</w:t>
            </w:r>
            <w:r/>
          </w:p>
        </w:tc>
        <w:tc>
          <w:tcPr>
            <w:shd w:val="clear" w:color="auto" w:fill="dce6f1"/>
            <w:tcBorders/>
            <w:tcMar>
              <w:left w:w="90" w:type="dxa"/>
              <w:top w:w="60" w:type="dxa"/>
              <w:right w:w="90" w:type="dxa"/>
              <w:bottom w:w="60" w:type="dxa"/>
            </w:tcMar>
            <w:tcW w:w="1500" w:type="dxa"/>
            <w:vAlign w:val="center"/>
          </w:tcPr>
          <w:p>
            <w:pPr>
              <w:pBdr/>
              <w:spacing w:after="30" w:before="30" w:line="240" w:lineRule="auto"/>
              <w:ind/>
              <w:jc w:val="left"/>
              <w:rPr/>
            </w:pPr>
            <w:r>
              <w:rPr>
                <w:rFonts w:ascii="Calibri" w:hAnsi="Calibri" w:eastAsia="Calibri" w:cs="Calibri"/>
                <w:b/>
                <w:bCs/>
                <w:sz w:val="17"/>
                <w:szCs w:val="17"/>
              </w:rPr>
              <w:t xml:space="preserve">Paradigma</w:t>
            </w:r>
            <w:r/>
          </w:p>
        </w:tc>
        <w:tc>
          <w:tcPr>
            <w:shd w:val="clear" w:color="auto" w:fill="dce6f1"/>
            <w:tcBorders/>
            <w:tcMar>
              <w:left w:w="90" w:type="dxa"/>
              <w:top w:w="60" w:type="dxa"/>
              <w:right w:w="90" w:type="dxa"/>
              <w:bottom w:w="60" w:type="dxa"/>
            </w:tcMar>
            <w:tcW w:w="1400" w:type="dxa"/>
            <w:vAlign w:val="center"/>
          </w:tcPr>
          <w:p>
            <w:pPr>
              <w:pBdr/>
              <w:spacing w:after="30" w:before="30" w:line="240" w:lineRule="auto"/>
              <w:ind/>
              <w:jc w:val="left"/>
              <w:rPr/>
            </w:pPr>
            <w:r>
              <w:rPr>
                <w:rFonts w:ascii="Calibri" w:hAnsi="Calibri" w:eastAsia="Calibri" w:cs="Calibri"/>
                <w:b/>
                <w:bCs/>
                <w:sz w:val="17"/>
                <w:szCs w:val="17"/>
              </w:rPr>
              <w:t xml:space="preserve">Impulsado por</w:t>
            </w:r>
            <w:r/>
          </w:p>
        </w:tc>
        <w:tc>
          <w:tcPr>
            <w:shd w:val="clear" w:color="auto" w:fill="dce6f1"/>
            <w:tcBorders/>
            <w:tcMar>
              <w:left w:w="90" w:type="dxa"/>
              <w:top w:w="60" w:type="dxa"/>
              <w:right w:w="90" w:type="dxa"/>
              <w:bottom w:w="60" w:type="dxa"/>
            </w:tcMar>
            <w:tcW w:w="2100" w:type="dxa"/>
            <w:vAlign w:val="center"/>
          </w:tcPr>
          <w:p>
            <w:pPr>
              <w:pBdr/>
              <w:spacing w:after="30" w:before="30" w:line="240" w:lineRule="auto"/>
              <w:ind/>
              <w:jc w:val="left"/>
              <w:rPr/>
            </w:pPr>
            <w:r>
              <w:rPr>
                <w:rFonts w:ascii="Calibri" w:hAnsi="Calibri" w:eastAsia="Calibri" w:cs="Calibri"/>
                <w:b/>
                <w:bCs/>
                <w:sz w:val="17"/>
                <w:szCs w:val="17"/>
              </w:rPr>
              <w:t xml:space="preserve">Mejor para</w:t>
            </w:r>
            <w:r/>
          </w:p>
        </w:tc>
        <w:tc>
          <w:tcPr>
            <w:shd w:val="clear" w:color="auto" w:fill="dce6f1"/>
            <w:tcBorders/>
            <w:tcMar>
              <w:left w:w="90" w:type="dxa"/>
              <w:top w:w="60" w:type="dxa"/>
              <w:right w:w="90" w:type="dxa"/>
              <w:bottom w:w="60" w:type="dxa"/>
            </w:tcMar>
            <w:tcW w:w="2670" w:type="dxa"/>
            <w:vAlign w:val="center"/>
          </w:tcPr>
          <w:p>
            <w:pPr>
              <w:pBdr/>
              <w:spacing w:after="30" w:before="30" w:line="240" w:lineRule="auto"/>
              <w:ind/>
              <w:jc w:val="left"/>
              <w:rPr/>
            </w:pPr>
            <w:r>
              <w:rPr>
                <w:rFonts w:ascii="Calibri" w:hAnsi="Calibri" w:eastAsia="Calibri" w:cs="Calibri"/>
                <w:b/>
                <w:bCs/>
                <w:sz w:val="17"/>
                <w:szCs w:val="17"/>
              </w:rPr>
              <w:t xml:space="preserve">Aplicabilidad a AbasteceNi</w:t>
            </w:r>
            <w:r/>
          </w:p>
        </w:tc>
      </w:tr>
      <w:tr>
        <w:trPr/>
        <w:tc>
          <w:tcPr>
            <w:shd w:val="clear" w:color="auto" w:fill="ffffff"/>
            <w:tcBorders/>
            <w:tcMar>
              <w:left w:w="90" w:type="dxa"/>
              <w:top w:w="55" w:type="dxa"/>
              <w:right w:w="90" w:type="dxa"/>
              <w:bottom w:w="55" w:type="dxa"/>
            </w:tcMar>
            <w:tcW w:w="1400" w:type="dxa"/>
            <w:vAlign w:val="top"/>
          </w:tcPr>
          <w:p>
            <w:pPr>
              <w:pBdr/>
              <w:spacing w:after="30" w:before="30" w:line="240" w:lineRule="auto"/>
              <w:ind/>
              <w:jc w:val="left"/>
              <w:rPr/>
            </w:pPr>
            <w:r>
              <w:rPr>
                <w:rFonts w:ascii="Calibri" w:hAnsi="Calibri" w:eastAsia="Calibri" w:cs="Calibri"/>
                <w:b w:val="0"/>
                <w:bCs w:val="0"/>
                <w:sz w:val="17"/>
                <w:szCs w:val="17"/>
              </w:rPr>
              <w:t xml:space="preserve">Cascada</w:t>
            </w: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val="0"/>
                <w:bCs w:val="0"/>
                <w:sz w:val="17"/>
                <w:szCs w:val="17"/>
              </w:rPr>
              <w:t xml:space="preserve">Predictivo</w:t>
            </w:r>
            <w:r/>
          </w:p>
        </w:tc>
        <w:tc>
          <w:tcPr>
            <w:shd w:val="clear" w:color="auto" w:fill="ffffff"/>
            <w:tcBorders/>
            <w:tcMar>
              <w:left w:w="90" w:type="dxa"/>
              <w:top w:w="55" w:type="dxa"/>
              <w:right w:w="90" w:type="dxa"/>
              <w:bottom w:w="55" w:type="dxa"/>
            </w:tcMar>
            <w:tcW w:w="1400" w:type="dxa"/>
            <w:vAlign w:val="top"/>
          </w:tcPr>
          <w:p>
            <w:pPr>
              <w:pBdr/>
              <w:spacing w:after="30" w:before="30" w:line="240" w:lineRule="auto"/>
              <w:ind/>
              <w:jc w:val="left"/>
              <w:rPr/>
            </w:pPr>
            <w:r>
              <w:rPr>
                <w:rFonts w:ascii="Calibri" w:hAnsi="Calibri" w:eastAsia="Calibri" w:cs="Calibri"/>
                <w:b w:val="0"/>
                <w:bCs w:val="0"/>
                <w:sz w:val="17"/>
                <w:szCs w:val="17"/>
              </w:rPr>
              <w:t xml:space="preserve">Documentos</w:t>
            </w:r>
            <w:r/>
          </w:p>
        </w:tc>
        <w:tc>
          <w:tcPr>
            <w:shd w:val="clear" w:color="auto" w:fill="ffffff"/>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Requisitos estables y bien conocidos.</w:t>
            </w:r>
            <w:r/>
          </w:p>
        </w:tc>
        <w:tc>
          <w:tcPr>
            <w:shd w:val="clear" w:color="auto" w:fill="ffffff"/>
            <w:tcBorders/>
            <w:tcMar>
              <w:left w:w="90" w:type="dxa"/>
              <w:top w:w="55" w:type="dxa"/>
              <w:right w:w="90" w:type="dxa"/>
              <w:bottom w:w="55" w:type="dxa"/>
            </w:tcMar>
            <w:tcW w:w="2670" w:type="dxa"/>
            <w:vAlign w:val="top"/>
          </w:tcPr>
          <w:p>
            <w:pPr>
              <w:pBdr/>
              <w:spacing w:after="30" w:before="30" w:line="240" w:lineRule="auto"/>
              <w:ind/>
              <w:jc w:val="left"/>
              <w:rPr/>
            </w:pPr>
            <w:r>
              <w:rPr>
                <w:rFonts w:ascii="Calibri" w:hAnsi="Calibri" w:eastAsia="Calibri" w:cs="Calibri"/>
                <w:b w:val="0"/>
                <w:bCs w:val="0"/>
                <w:sz w:val="17"/>
                <w:szCs w:val="17"/>
              </w:rPr>
              <w:t xml:space="preserve">Inaplicable: la especificación se declaró abierta y la hipótesis de negocio no está validada.</w:t>
            </w:r>
            <w:r/>
          </w:p>
        </w:tc>
      </w:tr>
      <w:tr>
        <w:trPr/>
        <w:tc>
          <w:tcPr>
            <w:shd w:val="clear" w:color="auto" w:fill="f2f2f2"/>
            <w:tcBorders/>
            <w:tcMar>
              <w:left w:w="90" w:type="dxa"/>
              <w:top w:w="55" w:type="dxa"/>
              <w:right w:w="90" w:type="dxa"/>
              <w:bottom w:w="55" w:type="dxa"/>
            </w:tcMar>
            <w:tcW w:w="1400" w:type="dxa"/>
            <w:vAlign w:val="top"/>
          </w:tcPr>
          <w:p>
            <w:pPr>
              <w:pBdr/>
              <w:spacing w:after="30" w:before="30" w:line="240" w:lineRule="auto"/>
              <w:ind/>
              <w:jc w:val="left"/>
              <w:rPr/>
            </w:pPr>
            <w:r>
              <w:rPr>
                <w:rFonts w:ascii="Calibri" w:hAnsi="Calibri" w:eastAsia="Calibri" w:cs="Calibri"/>
                <w:b w:val="0"/>
                <w:bCs w:val="0"/>
                <w:sz w:val="17"/>
                <w:szCs w:val="17"/>
              </w:rPr>
              <w:t xml:space="preserve">Modelo en V</w:t>
            </w: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val="0"/>
                <w:bCs w:val="0"/>
                <w:sz w:val="17"/>
                <w:szCs w:val="17"/>
              </w:rPr>
              <w:t xml:space="preserve">Predictivo</w:t>
            </w:r>
            <w:r/>
          </w:p>
        </w:tc>
        <w:tc>
          <w:tcPr>
            <w:shd w:val="clear" w:color="auto" w:fill="f2f2f2"/>
            <w:tcBorders/>
            <w:tcMar>
              <w:left w:w="90" w:type="dxa"/>
              <w:top w:w="55" w:type="dxa"/>
              <w:right w:w="90" w:type="dxa"/>
              <w:bottom w:w="55" w:type="dxa"/>
            </w:tcMar>
            <w:tcW w:w="1400" w:type="dxa"/>
            <w:vAlign w:val="top"/>
          </w:tcPr>
          <w:p>
            <w:pPr>
              <w:pBdr/>
              <w:spacing w:after="30" w:before="30" w:line="240" w:lineRule="auto"/>
              <w:ind/>
              <w:jc w:val="left"/>
              <w:rPr/>
            </w:pPr>
            <w:r>
              <w:rPr>
                <w:rFonts w:ascii="Calibri" w:hAnsi="Calibri" w:eastAsia="Calibri" w:cs="Calibri"/>
                <w:b w:val="0"/>
                <w:bCs w:val="0"/>
                <w:sz w:val="17"/>
                <w:szCs w:val="17"/>
              </w:rPr>
              <w:t xml:space="preserve">Verificación</w:t>
            </w:r>
            <w:r/>
          </w:p>
        </w:tc>
        <w:tc>
          <w:tcPr>
            <w:shd w:val="clear" w:color="auto" w:fill="f2f2f2"/>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Sistemas críticos donde la verificación es clave.</w:t>
            </w:r>
            <w:r/>
          </w:p>
        </w:tc>
        <w:tc>
          <w:tcPr>
            <w:shd w:val="clear" w:color="auto" w:fill="f2f2f2"/>
            <w:tcBorders/>
            <w:tcMar>
              <w:left w:w="90" w:type="dxa"/>
              <w:top w:w="55" w:type="dxa"/>
              <w:right w:w="90" w:type="dxa"/>
              <w:bottom w:w="55" w:type="dxa"/>
            </w:tcMar>
            <w:tcW w:w="2670" w:type="dxa"/>
            <w:vAlign w:val="top"/>
          </w:tcPr>
          <w:p>
            <w:pPr>
              <w:pBdr/>
              <w:spacing w:after="30" w:before="30" w:line="240" w:lineRule="auto"/>
              <w:ind/>
              <w:jc w:val="left"/>
              <w:rPr/>
            </w:pPr>
            <w:r>
              <w:rPr>
                <w:rFonts w:ascii="Calibri" w:hAnsi="Calibri" w:eastAsia="Calibri" w:cs="Calibri"/>
                <w:b w:val="0"/>
                <w:bCs w:val="0"/>
                <w:sz w:val="17"/>
                <w:szCs w:val="17"/>
              </w:rPr>
              <w:t xml:space="preserve">Evaluado como alternativa A. Descartado: 2,66 sobre 5,00, último en los tres escenarios.</w:t>
            </w:r>
            <w:r/>
          </w:p>
        </w:tc>
      </w:tr>
      <w:tr>
        <w:trPr/>
        <w:tc>
          <w:tcPr>
            <w:shd w:val="clear" w:color="auto" w:fill="ffffff"/>
            <w:tcBorders/>
            <w:tcMar>
              <w:left w:w="90" w:type="dxa"/>
              <w:top w:w="55" w:type="dxa"/>
              <w:right w:w="90" w:type="dxa"/>
              <w:bottom w:w="55" w:type="dxa"/>
            </w:tcMar>
            <w:tcW w:w="1400" w:type="dxa"/>
            <w:vAlign w:val="top"/>
          </w:tcPr>
          <w:p>
            <w:pPr>
              <w:pBdr/>
              <w:spacing w:after="30" w:before="30" w:line="240" w:lineRule="auto"/>
              <w:ind/>
              <w:jc w:val="left"/>
              <w:rPr/>
            </w:pPr>
            <w:r>
              <w:rPr>
                <w:rFonts w:ascii="Calibri" w:hAnsi="Calibri" w:eastAsia="Calibri" w:cs="Calibri"/>
                <w:b w:val="0"/>
                <w:bCs w:val="0"/>
                <w:sz w:val="17"/>
                <w:szCs w:val="17"/>
              </w:rPr>
              <w:t xml:space="preserve">Incremental</w:t>
            </w: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val="0"/>
                <w:bCs w:val="0"/>
                <w:sz w:val="17"/>
                <w:szCs w:val="17"/>
              </w:rPr>
              <w:t xml:space="preserve">Adaptativo o predictivo</w:t>
            </w:r>
            <w:r/>
          </w:p>
        </w:tc>
        <w:tc>
          <w:tcPr>
            <w:shd w:val="clear" w:color="auto" w:fill="ffffff"/>
            <w:tcBorders/>
            <w:tcMar>
              <w:left w:w="90" w:type="dxa"/>
              <w:top w:w="55" w:type="dxa"/>
              <w:right w:w="90" w:type="dxa"/>
              <w:bottom w:w="55" w:type="dxa"/>
            </w:tcMar>
            <w:tcW w:w="1400" w:type="dxa"/>
            <w:vAlign w:val="top"/>
          </w:tcPr>
          <w:p>
            <w:pPr>
              <w:pBdr/>
              <w:spacing w:after="30" w:before="30" w:line="240" w:lineRule="auto"/>
              <w:ind/>
              <w:jc w:val="left"/>
              <w:rPr/>
            </w:pPr>
            <w:r>
              <w:rPr>
                <w:rFonts w:ascii="Calibri" w:hAnsi="Calibri" w:eastAsia="Calibri" w:cs="Calibri"/>
                <w:b w:val="0"/>
                <w:bCs w:val="0"/>
                <w:sz w:val="17"/>
                <w:szCs w:val="17"/>
              </w:rPr>
              <w:t xml:space="preserve">Entregas parciales</w:t>
            </w:r>
            <w:r/>
          </w:p>
        </w:tc>
        <w:tc>
          <w:tcPr>
            <w:shd w:val="clear" w:color="auto" w:fill="ffffff"/>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Proyectos donde se quiere valor temprano.</w:t>
            </w:r>
            <w:r/>
          </w:p>
        </w:tc>
        <w:tc>
          <w:tcPr>
            <w:shd w:val="clear" w:color="auto" w:fill="ffffff"/>
            <w:tcBorders/>
            <w:tcMar>
              <w:left w:w="90" w:type="dxa"/>
              <w:top w:w="55" w:type="dxa"/>
              <w:right w:w="90" w:type="dxa"/>
              <w:bottom w:w="55" w:type="dxa"/>
            </w:tcMar>
            <w:tcW w:w="2670" w:type="dxa"/>
            <w:vAlign w:val="top"/>
          </w:tcPr>
          <w:p>
            <w:pPr>
              <w:pBdr/>
              <w:spacing w:after="30" w:before="30" w:line="240" w:lineRule="auto"/>
              <w:ind/>
              <w:jc w:val="left"/>
              <w:rPr/>
            </w:pPr>
            <w:r>
              <w:rPr>
                <w:rFonts w:ascii="Calibri" w:hAnsi="Calibri" w:eastAsia="Calibri" w:cs="Calibri"/>
                <w:b w:val="0"/>
                <w:bCs w:val="0"/>
                <w:sz w:val="17"/>
                <w:szCs w:val="17"/>
              </w:rPr>
              <w:t xml:space="preserve">Adoptado como modelo base, en su variante adaptativa.</w:t>
            </w:r>
            <w:r/>
          </w:p>
        </w:tc>
      </w:tr>
      <w:tr>
        <w:trPr/>
        <w:tc>
          <w:tcPr>
            <w:shd w:val="clear" w:color="auto" w:fill="f2f2f2"/>
            <w:tcBorders/>
            <w:tcMar>
              <w:left w:w="90" w:type="dxa"/>
              <w:top w:w="55" w:type="dxa"/>
              <w:right w:w="90" w:type="dxa"/>
              <w:bottom w:w="55" w:type="dxa"/>
            </w:tcMar>
            <w:tcW w:w="1400" w:type="dxa"/>
            <w:vAlign w:val="top"/>
          </w:tcPr>
          <w:p>
            <w:pPr>
              <w:pBdr/>
              <w:spacing w:after="30" w:before="30" w:line="240" w:lineRule="auto"/>
              <w:ind/>
              <w:jc w:val="left"/>
              <w:rPr/>
            </w:pPr>
            <w:r>
              <w:rPr>
                <w:rFonts w:ascii="Calibri" w:hAnsi="Calibri" w:eastAsia="Calibri" w:cs="Calibri"/>
                <w:b w:val="0"/>
                <w:bCs w:val="0"/>
                <w:sz w:val="17"/>
                <w:szCs w:val="17"/>
              </w:rPr>
              <w:t xml:space="preserve">Espiral</w:t>
            </w: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val="0"/>
                <w:bCs w:val="0"/>
                <w:sz w:val="17"/>
                <w:szCs w:val="17"/>
              </w:rPr>
              <w:t xml:space="preserve">Evolutivo</w:t>
            </w:r>
            <w:r/>
          </w:p>
        </w:tc>
        <w:tc>
          <w:tcPr>
            <w:shd w:val="clear" w:color="auto" w:fill="f2f2f2"/>
            <w:tcBorders/>
            <w:tcMar>
              <w:left w:w="90" w:type="dxa"/>
              <w:top w:w="55" w:type="dxa"/>
              <w:right w:w="90" w:type="dxa"/>
              <w:bottom w:w="55" w:type="dxa"/>
            </w:tcMar>
            <w:tcW w:w="1400" w:type="dxa"/>
            <w:vAlign w:val="top"/>
          </w:tcPr>
          <w:p>
            <w:pPr>
              <w:pBdr/>
              <w:spacing w:after="30" w:before="30" w:line="240" w:lineRule="auto"/>
              <w:ind/>
              <w:jc w:val="left"/>
              <w:rPr/>
            </w:pPr>
            <w:r>
              <w:rPr>
                <w:rFonts w:ascii="Calibri" w:hAnsi="Calibri" w:eastAsia="Calibri" w:cs="Calibri"/>
                <w:b w:val="0"/>
                <w:bCs w:val="0"/>
                <w:sz w:val="17"/>
                <w:szCs w:val="17"/>
              </w:rPr>
              <w:t xml:space="preserve">Riesgos</w:t>
            </w:r>
            <w:r/>
          </w:p>
        </w:tc>
        <w:tc>
          <w:tcPr>
            <w:shd w:val="clear" w:color="auto" w:fill="f2f2f2"/>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Proyectos grandes y de alto riesgo.</w:t>
            </w:r>
            <w:r/>
          </w:p>
        </w:tc>
        <w:tc>
          <w:tcPr>
            <w:shd w:val="clear" w:color="auto" w:fill="f2f2f2"/>
            <w:tcBorders/>
            <w:tcMar>
              <w:left w:w="90" w:type="dxa"/>
              <w:top w:w="55" w:type="dxa"/>
              <w:right w:w="90" w:type="dxa"/>
              <w:bottom w:w="55" w:type="dxa"/>
            </w:tcMar>
            <w:tcW w:w="2670" w:type="dxa"/>
            <w:vAlign w:val="top"/>
          </w:tcPr>
          <w:p>
            <w:pPr>
              <w:pBdr/>
              <w:spacing w:after="30" w:before="30" w:line="240" w:lineRule="auto"/>
              <w:ind/>
              <w:jc w:val="left"/>
              <w:rPr/>
            </w:pPr>
            <w:r>
              <w:rPr>
                <w:rFonts w:ascii="Calibri" w:hAnsi="Calibri" w:eastAsia="Calibri" w:cs="Calibri"/>
                <w:b w:val="0"/>
                <w:bCs w:val="0"/>
                <w:sz w:val="17"/>
                <w:szCs w:val="17"/>
              </w:rPr>
              <w:t xml:space="preserve">Descartado como modelo global por su complejidad; su principio de ordenación por riesgo se conserva en DM-08.</w:t>
            </w:r>
            <w:r/>
          </w:p>
        </w:tc>
      </w:tr>
      <w:tr>
        <w:trPr/>
        <w:tc>
          <w:tcPr>
            <w:shd w:val="clear" w:color="auto" w:fill="ffffff"/>
            <w:tcBorders/>
            <w:tcMar>
              <w:left w:w="90" w:type="dxa"/>
              <w:top w:w="55" w:type="dxa"/>
              <w:right w:w="90" w:type="dxa"/>
              <w:bottom w:w="55" w:type="dxa"/>
            </w:tcMar>
            <w:tcW w:w="1400" w:type="dxa"/>
            <w:vAlign w:val="top"/>
          </w:tcPr>
          <w:p>
            <w:pPr>
              <w:pBdr/>
              <w:spacing w:after="30" w:before="30" w:line="240" w:lineRule="auto"/>
              <w:ind/>
              <w:jc w:val="left"/>
              <w:rPr/>
            </w:pPr>
            <w:r>
              <w:rPr>
                <w:rFonts w:ascii="Calibri" w:hAnsi="Calibri" w:eastAsia="Calibri" w:cs="Calibri"/>
                <w:b w:val="0"/>
                <w:bCs w:val="0"/>
                <w:sz w:val="17"/>
                <w:szCs w:val="17"/>
              </w:rPr>
              <w:t xml:space="preserve">Prototipado rápido</w:t>
            </w: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val="0"/>
                <w:bCs w:val="0"/>
                <w:sz w:val="17"/>
                <w:szCs w:val="17"/>
              </w:rPr>
              <w:t xml:space="preserve">Exploratorio</w:t>
            </w:r>
            <w:r/>
          </w:p>
        </w:tc>
        <w:tc>
          <w:tcPr>
            <w:shd w:val="clear" w:color="auto" w:fill="ffffff"/>
            <w:tcBorders/>
            <w:tcMar>
              <w:left w:w="90" w:type="dxa"/>
              <w:top w:w="55" w:type="dxa"/>
              <w:right w:w="90" w:type="dxa"/>
              <w:bottom w:w="55" w:type="dxa"/>
            </w:tcMar>
            <w:tcW w:w="1400" w:type="dxa"/>
            <w:vAlign w:val="top"/>
          </w:tcPr>
          <w:p>
            <w:pPr>
              <w:pBdr/>
              <w:spacing w:after="30" w:before="30" w:line="240" w:lineRule="auto"/>
              <w:ind/>
              <w:jc w:val="left"/>
              <w:rPr/>
            </w:pPr>
            <w:r>
              <w:rPr>
                <w:rFonts w:ascii="Calibri" w:hAnsi="Calibri" w:eastAsia="Calibri" w:cs="Calibri"/>
                <w:b w:val="0"/>
                <w:bCs w:val="0"/>
                <w:sz w:val="17"/>
                <w:szCs w:val="17"/>
              </w:rPr>
              <w:t xml:space="preserve">Retroalimentación</w:t>
            </w:r>
            <w:r/>
          </w:p>
        </w:tc>
        <w:tc>
          <w:tcPr>
            <w:shd w:val="clear" w:color="auto" w:fill="ffffff"/>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Requisitos poco claros, experiencia de usuario crítica.</w:t>
            </w:r>
            <w:r/>
          </w:p>
        </w:tc>
        <w:tc>
          <w:tcPr>
            <w:shd w:val="clear" w:color="auto" w:fill="ffffff"/>
            <w:tcBorders/>
            <w:tcMar>
              <w:left w:w="90" w:type="dxa"/>
              <w:top w:w="55" w:type="dxa"/>
              <w:right w:w="90" w:type="dxa"/>
              <w:bottom w:w="55" w:type="dxa"/>
            </w:tcMar>
            <w:tcW w:w="2670" w:type="dxa"/>
            <w:vAlign w:val="top"/>
          </w:tcPr>
          <w:p>
            <w:pPr>
              <w:pBdr/>
              <w:spacing w:after="30" w:before="30" w:line="240" w:lineRule="auto"/>
              <w:ind/>
              <w:jc w:val="left"/>
              <w:rPr/>
            </w:pPr>
            <w:r>
              <w:rPr>
                <w:rFonts w:ascii="Calibri" w:hAnsi="Calibri" w:eastAsia="Calibri" w:cs="Calibri"/>
                <w:b w:val="0"/>
                <w:bCs w:val="0"/>
                <w:sz w:val="17"/>
                <w:szCs w:val="17"/>
              </w:rPr>
              <w:t xml:space="preserve">Descartado como modelo; retenido como técnica local para los flujos de registro y publicación, por RO-06.</w:t>
            </w:r>
            <w:r/>
          </w:p>
        </w:tc>
      </w:tr>
      <w:tr>
        <w:trPr/>
        <w:tc>
          <w:tcPr>
            <w:shd w:val="clear" w:color="auto" w:fill="f2f2f2"/>
            <w:tcBorders/>
            <w:tcMar>
              <w:left w:w="90" w:type="dxa"/>
              <w:top w:w="55" w:type="dxa"/>
              <w:right w:w="90" w:type="dxa"/>
              <w:bottom w:w="55" w:type="dxa"/>
            </w:tcMar>
            <w:tcW w:w="1400" w:type="dxa"/>
            <w:vAlign w:val="top"/>
          </w:tcPr>
          <w:p>
            <w:pPr>
              <w:pBdr/>
              <w:spacing w:after="30" w:before="30" w:line="240" w:lineRule="auto"/>
              <w:ind/>
              <w:jc w:val="left"/>
              <w:rPr/>
            </w:pPr>
            <w:r>
              <w:rPr>
                <w:rFonts w:ascii="Calibri" w:hAnsi="Calibri" w:eastAsia="Calibri" w:cs="Calibri"/>
                <w:b w:val="0"/>
                <w:bCs w:val="0"/>
                <w:sz w:val="17"/>
                <w:szCs w:val="17"/>
              </w:rPr>
              <w:t xml:space="preserve">Proceso Unificado, RUP, OpenUP</w:t>
            </w: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val="0"/>
                <w:bCs w:val="0"/>
                <w:sz w:val="17"/>
                <w:szCs w:val="17"/>
              </w:rPr>
              <w:t xml:space="preserve">Iterativo e incremental</w:t>
            </w:r>
            <w:r/>
          </w:p>
        </w:tc>
        <w:tc>
          <w:tcPr>
            <w:shd w:val="clear" w:color="auto" w:fill="f2f2f2"/>
            <w:tcBorders/>
            <w:tcMar>
              <w:left w:w="90" w:type="dxa"/>
              <w:top w:w="55" w:type="dxa"/>
              <w:right w:w="90" w:type="dxa"/>
              <w:bottom w:w="55" w:type="dxa"/>
            </w:tcMar>
            <w:tcW w:w="1400" w:type="dxa"/>
            <w:vAlign w:val="top"/>
          </w:tcPr>
          <w:p>
            <w:pPr>
              <w:pBdr/>
              <w:spacing w:after="30" w:before="30" w:line="240" w:lineRule="auto"/>
              <w:ind/>
              <w:jc w:val="left"/>
              <w:rPr/>
            </w:pPr>
            <w:r>
              <w:rPr>
                <w:rFonts w:ascii="Calibri" w:hAnsi="Calibri" w:eastAsia="Calibri" w:cs="Calibri"/>
                <w:b w:val="0"/>
                <w:bCs w:val="0"/>
                <w:sz w:val="17"/>
                <w:szCs w:val="17"/>
              </w:rPr>
              <w:t xml:space="preserve">Arquitectura</w:t>
            </w:r>
            <w:r/>
          </w:p>
        </w:tc>
        <w:tc>
          <w:tcPr>
            <w:shd w:val="clear" w:color="auto" w:fill="f2f2f2"/>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Proyectos medianos o grandes con equipo experimentado.</w:t>
            </w:r>
            <w:r/>
          </w:p>
        </w:tc>
        <w:tc>
          <w:tcPr>
            <w:shd w:val="clear" w:color="auto" w:fill="f2f2f2"/>
            <w:tcBorders/>
            <w:tcMar>
              <w:left w:w="90" w:type="dxa"/>
              <w:top w:w="55" w:type="dxa"/>
              <w:right w:w="90" w:type="dxa"/>
              <w:bottom w:w="55" w:type="dxa"/>
            </w:tcMar>
            <w:tcW w:w="2670" w:type="dxa"/>
            <w:vAlign w:val="top"/>
          </w:tcPr>
          <w:p>
            <w:pPr>
              <w:pBdr/>
              <w:spacing w:after="30" w:before="30" w:line="240" w:lineRule="auto"/>
              <w:ind/>
              <w:jc w:val="left"/>
              <w:rPr/>
            </w:pPr>
            <w:r>
              <w:rPr>
                <w:rFonts w:ascii="Calibri" w:hAnsi="Calibri" w:eastAsia="Calibri" w:cs="Calibri"/>
                <w:b w:val="0"/>
                <w:bCs w:val="0"/>
                <w:sz w:val="17"/>
                <w:szCs w:val="17"/>
              </w:rPr>
              <w:t xml:space="preserve">Evaluado como alternativa C. Descartado: 3,63 sobre 5,00, por carga documental desproporcionada frente a FD-01. Su práctica de registro de decisiones sí se adopta.</w:t>
            </w:r>
            <w:r/>
          </w:p>
        </w:tc>
      </w:tr>
      <w:tr>
        <w:trPr/>
        <w:tc>
          <w:tcPr>
            <w:shd w:val="clear" w:color="auto" w:fill="ffffff"/>
            <w:tcBorders/>
            <w:tcMar>
              <w:left w:w="90" w:type="dxa"/>
              <w:top w:w="55" w:type="dxa"/>
              <w:right w:w="90" w:type="dxa"/>
              <w:bottom w:w="55" w:type="dxa"/>
            </w:tcMar>
            <w:tcW w:w="1400" w:type="dxa"/>
            <w:vAlign w:val="top"/>
          </w:tcPr>
          <w:p>
            <w:pPr>
              <w:pBdr/>
              <w:spacing w:after="30" w:before="30" w:line="240" w:lineRule="auto"/>
              <w:ind/>
              <w:jc w:val="left"/>
              <w:rPr/>
            </w:pPr>
            <w:r>
              <w:rPr>
                <w:rFonts w:ascii="Calibri" w:hAnsi="Calibri" w:eastAsia="Calibri" w:cs="Calibri"/>
                <w:b w:val="0"/>
                <w:bCs w:val="0"/>
                <w:sz w:val="17"/>
                <w:szCs w:val="17"/>
              </w:rPr>
              <w:t xml:space="preserve">Ágil</w:t>
            </w:r>
            <w:r/>
          </w:p>
        </w:tc>
        <w:tc>
          <w:tcPr>
            <w:shd w:val="clear" w:color="auto" w:fill="ffffff"/>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val="0"/>
                <w:bCs w:val="0"/>
                <w:sz w:val="17"/>
                <w:szCs w:val="17"/>
              </w:rPr>
              <w:t xml:space="preserve">Abierto al cambio</w:t>
            </w:r>
            <w:r/>
          </w:p>
        </w:tc>
        <w:tc>
          <w:tcPr>
            <w:shd w:val="clear" w:color="auto" w:fill="ffffff"/>
            <w:tcBorders/>
            <w:tcMar>
              <w:left w:w="90" w:type="dxa"/>
              <w:top w:w="55" w:type="dxa"/>
              <w:right w:w="90" w:type="dxa"/>
              <w:bottom w:w="55" w:type="dxa"/>
            </w:tcMar>
            <w:tcW w:w="1400" w:type="dxa"/>
            <w:vAlign w:val="top"/>
          </w:tcPr>
          <w:p>
            <w:pPr>
              <w:pBdr/>
              <w:spacing w:after="30" w:before="30" w:line="240" w:lineRule="auto"/>
              <w:ind/>
              <w:jc w:val="left"/>
              <w:rPr/>
            </w:pPr>
            <w:r>
              <w:rPr>
                <w:rFonts w:ascii="Calibri" w:hAnsi="Calibri" w:eastAsia="Calibri" w:cs="Calibri"/>
                <w:b w:val="0"/>
                <w:bCs w:val="0"/>
                <w:sz w:val="17"/>
                <w:szCs w:val="17"/>
              </w:rPr>
              <w:t xml:space="preserve">Valores y principios</w:t>
            </w:r>
            <w:r/>
          </w:p>
        </w:tc>
        <w:tc>
          <w:tcPr>
            <w:shd w:val="clear" w:color="auto" w:fill="ffffff"/>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Requisitos cambiantes, entornos dinámicos.</w:t>
            </w:r>
            <w:r/>
          </w:p>
        </w:tc>
        <w:tc>
          <w:tcPr>
            <w:shd w:val="clear" w:color="auto" w:fill="ffffff"/>
            <w:tcBorders/>
            <w:tcMar>
              <w:left w:w="90" w:type="dxa"/>
              <w:top w:w="55" w:type="dxa"/>
              <w:right w:w="90" w:type="dxa"/>
              <w:bottom w:w="55" w:type="dxa"/>
            </w:tcMar>
            <w:tcW w:w="2670" w:type="dxa"/>
            <w:vAlign w:val="top"/>
          </w:tcPr>
          <w:p>
            <w:pPr>
              <w:pBdr/>
              <w:spacing w:after="30" w:before="30" w:line="240" w:lineRule="auto"/>
              <w:ind/>
              <w:jc w:val="left"/>
              <w:rPr/>
            </w:pPr>
            <w:r>
              <w:rPr>
                <w:rFonts w:ascii="Calibri" w:hAnsi="Calibri" w:eastAsia="Calibri" w:cs="Calibri"/>
                <w:b w:val="0"/>
                <w:bCs w:val="0"/>
                <w:sz w:val="17"/>
                <w:szCs w:val="17"/>
              </w:rPr>
              <w:t xml:space="preserve">Adoptado como marco de gestión y como conjunto de prácticas, no como modelo de ciclo de vida, conforme a la precisión de 1.5.</w:t>
            </w:r>
            <w:r/>
          </w:p>
        </w:tc>
      </w:tr>
      <w:tr>
        <w:trPr/>
        <w:tc>
          <w:tcPr>
            <w:shd w:val="clear" w:color="auto" w:fill="f2f2f2"/>
            <w:tcBorders/>
            <w:tcMar>
              <w:left w:w="90" w:type="dxa"/>
              <w:top w:w="55" w:type="dxa"/>
              <w:right w:w="90" w:type="dxa"/>
              <w:bottom w:w="55" w:type="dxa"/>
            </w:tcMar>
            <w:tcW w:w="1400" w:type="dxa"/>
            <w:vAlign w:val="top"/>
          </w:tcPr>
          <w:p>
            <w:pPr>
              <w:pBdr/>
              <w:spacing w:after="30" w:before="30" w:line="240" w:lineRule="auto"/>
              <w:ind/>
              <w:jc w:val="left"/>
              <w:rPr/>
            </w:pPr>
            <w:r>
              <w:rPr>
                <w:rFonts w:ascii="Calibri" w:hAnsi="Calibri" w:eastAsia="Calibri" w:cs="Calibri"/>
                <w:b w:val="0"/>
                <w:bCs w:val="0"/>
                <w:sz w:val="17"/>
                <w:szCs w:val="17"/>
              </w:rPr>
              <w:t xml:space="preserve">DevOps</w:t>
            </w:r>
            <w:r/>
          </w:p>
        </w:tc>
        <w:tc>
          <w:tcPr>
            <w:shd w:val="clear" w:color="auto" w:fill="f2f2f2"/>
            <w:tcBorders/>
            <w:tcMar>
              <w:left w:w="90" w:type="dxa"/>
              <w:top w:w="55" w:type="dxa"/>
              <w:right w:w="90" w:type="dxa"/>
              <w:bottom w:w="55" w:type="dxa"/>
            </w:tcMar>
            <w:tcW w:w="1500" w:type="dxa"/>
            <w:vAlign w:val="top"/>
          </w:tcPr>
          <w:p>
            <w:pPr>
              <w:pBdr/>
              <w:spacing w:after="30" w:before="30" w:line="240" w:lineRule="auto"/>
              <w:ind/>
              <w:jc w:val="left"/>
              <w:rPr/>
            </w:pPr>
            <w:r>
              <w:rPr>
                <w:rFonts w:ascii="Calibri" w:hAnsi="Calibri" w:eastAsia="Calibri" w:cs="Calibri"/>
                <w:b w:val="0"/>
                <w:bCs w:val="0"/>
                <w:sz w:val="17"/>
                <w:szCs w:val="17"/>
              </w:rPr>
              <w:t xml:space="preserve">Continuo</w:t>
            </w:r>
            <w:r/>
          </w:p>
        </w:tc>
        <w:tc>
          <w:tcPr>
            <w:shd w:val="clear" w:color="auto" w:fill="f2f2f2"/>
            <w:tcBorders/>
            <w:tcMar>
              <w:left w:w="90" w:type="dxa"/>
              <w:top w:w="55" w:type="dxa"/>
              <w:right w:w="90" w:type="dxa"/>
              <w:bottom w:w="55" w:type="dxa"/>
            </w:tcMar>
            <w:tcW w:w="1400" w:type="dxa"/>
            <w:vAlign w:val="top"/>
          </w:tcPr>
          <w:p>
            <w:pPr>
              <w:pBdr/>
              <w:spacing w:after="30" w:before="30" w:line="240" w:lineRule="auto"/>
              <w:ind/>
              <w:jc w:val="left"/>
              <w:rPr/>
            </w:pPr>
            <w:r>
              <w:rPr>
                <w:rFonts w:ascii="Calibri" w:hAnsi="Calibri" w:eastAsia="Calibri" w:cs="Calibri"/>
                <w:b w:val="0"/>
                <w:bCs w:val="0"/>
                <w:sz w:val="17"/>
                <w:szCs w:val="17"/>
              </w:rPr>
              <w:t xml:space="preserve">Colaboración entre desarrollo y operación</w:t>
            </w:r>
            <w:r/>
          </w:p>
        </w:tc>
        <w:tc>
          <w:tcPr>
            <w:shd w:val="clear" w:color="auto" w:fill="f2f2f2"/>
            <w:tcBorders/>
            <w:tcMar>
              <w:left w:w="90" w:type="dxa"/>
              <w:top w:w="55" w:type="dxa"/>
              <w:right w:w="90" w:type="dxa"/>
              <w:bottom w:w="55" w:type="dxa"/>
            </w:tcMar>
            <w:tcW w:w="2100" w:type="dxa"/>
            <w:vAlign w:val="top"/>
          </w:tcPr>
          <w:p>
            <w:pPr>
              <w:pBdr/>
              <w:spacing w:after="30" w:before="30" w:line="240" w:lineRule="auto"/>
              <w:ind/>
              <w:jc w:val="left"/>
              <w:rPr/>
            </w:pPr>
            <w:r>
              <w:rPr>
                <w:rFonts w:ascii="Calibri" w:hAnsi="Calibri" w:eastAsia="Calibri" w:cs="Calibri"/>
                <w:b w:val="0"/>
                <w:bCs w:val="0"/>
                <w:sz w:val="17"/>
                <w:szCs w:val="17"/>
              </w:rPr>
              <w:t xml:space="preserve">Organizaciones que necesitan entrega continua.</w:t>
            </w:r>
            <w:r/>
          </w:p>
        </w:tc>
        <w:tc>
          <w:tcPr>
            <w:shd w:val="clear" w:color="auto" w:fill="f2f2f2"/>
            <w:tcBorders/>
            <w:tcMar>
              <w:left w:w="90" w:type="dxa"/>
              <w:top w:w="55" w:type="dxa"/>
              <w:right w:w="90" w:type="dxa"/>
              <w:bottom w:w="55" w:type="dxa"/>
            </w:tcMar>
            <w:tcW w:w="2670" w:type="dxa"/>
            <w:vAlign w:val="top"/>
          </w:tcPr>
          <w:p>
            <w:pPr>
              <w:pBdr/>
              <w:spacing w:after="30" w:before="30" w:line="240" w:lineRule="auto"/>
              <w:ind/>
              <w:jc w:val="left"/>
              <w:rPr/>
            </w:pPr>
            <w:r>
              <w:rPr>
                <w:rFonts w:ascii="Calibri" w:hAnsi="Calibri" w:eastAsia="Calibri" w:cs="Calibri"/>
                <w:b w:val="0"/>
                <w:bCs w:val="0"/>
                <w:sz w:val="17"/>
                <w:szCs w:val="17"/>
              </w:rPr>
              <w:t xml:space="preserve">Descartado como modelo por RO-02; sus prácticas de integración y verificación automatizadas se adoptan en DM-06 y PR-08.</w:t>
            </w:r>
            <w:r/>
          </w:p>
        </w:tc>
      </w:tr>
    </w:tbl>
    <w:p>
      <w:pPr>
        <w:pStyle w:val="918"/>
        <w:pBdr/>
        <w:spacing w:after="140" w:before="280"/>
        <w:ind/>
        <w:rPr/>
      </w:pPr>
      <w:r/>
      <w:bookmarkStart w:id="43" w:name="_Toc43"/>
      <w:r>
        <w:rPr>
          <w:rFonts w:ascii="Calibri" w:hAnsi="Calibri" w:eastAsia="Calibri" w:cs="Calibri"/>
          <w:b/>
          <w:bCs/>
          <w:color w:val="1f4e79"/>
          <w:sz w:val="25"/>
          <w:szCs w:val="25"/>
        </w:rPr>
        <w:t xml:space="preserve">Anexo D — Registro de inconsistencias conocidas de la serie</w:t>
      </w:r>
      <w:bookmarkEnd w:id="43"/>
      <w:r/>
    </w:p>
    <w:p>
      <w:pPr>
        <w:pBdr/>
        <w:spacing w:after="120" w:before="0" w:line="276" w:lineRule="auto"/>
        <w:ind/>
        <w:jc w:val="both"/>
        <w:rPr/>
      </w:pPr>
      <w:r>
        <w:rPr>
          <w:rFonts w:ascii="Calibri" w:hAnsi="Calibri" w:eastAsia="Calibri" w:cs="Calibri"/>
          <w:b w:val="0"/>
          <w:bCs w:val="0"/>
          <w:i w:val="0"/>
          <w:iCs w:val="0"/>
          <w:color w:val="000000"/>
          <w:sz w:val="22"/>
          <w:szCs w:val="22"/>
        </w:rPr>
        <w:t xml:space="preserve">Se continúa la práctica establecida en el Anexo D del documento 1, que extiende al conjunto de la serie la exigencia de ISO/IEC/IEEE 42010:2022 de registrar las inconsistencias conocidas en lugar de ocultarlas. Los registros INC-01 a INC-04 constan cerrados en la versión vigente de aquel documento y no se reproducen. Se recogen el único que permanece abierto y los detectados durante la redacción del presente.</w:t>
      </w:r>
      <w:r/>
    </w:p>
    <w:p>
      <w:pPr>
        <w:pBdr/>
        <w:spacing w:after="60"/>
        <w:ind/>
        <w:rPr/>
      </w:pPr>
      <w:r/>
    </w:p>
    <w:tbl>
      <w:tblPr>
        <w:tblW w:w="9070" w:type="dxa"/>
        <w:tblBorders>
          <w:top w:val="single" w:color="8ea9c1" w:sz="4" w:space="0"/>
          <w:left w:val="single" w:color="8ea9c1" w:sz="4" w:space="0"/>
          <w:bottom w:val="single" w:color="8ea9c1" w:sz="4" w:space="0"/>
          <w:right w:val="single" w:color="8ea9c1" w:sz="4" w:space="0"/>
          <w:insideH w:val="single" w:color="bfcddc" w:sz="2" w:space="0"/>
          <w:insideV w:val="single" w:color="bfcddc" w:sz="2" w:space="0"/>
        </w:tblBorders>
        <w:tblLook w:val="04A0" w:firstRow="1" w:lastRow="0" w:firstColumn="1" w:lastColumn="0" w:noHBand="0" w:noVBand="1"/>
      </w:tblPr>
      <w:tblGrid>
        <w:gridCol w:w="900"/>
        <w:gridCol w:w="3300"/>
        <w:gridCol w:w="1700"/>
        <w:gridCol w:w="3170"/>
      </w:tblGrid>
      <w:tr>
        <w:trPr>
          <w:tblHeader/>
        </w:trPr>
        <w:tc>
          <w:tcPr>
            <w:shd w:val="clear" w:color="auto" w:fill="dce6f1"/>
            <w:tcBorders/>
            <w:tcMar>
              <w:left w:w="90" w:type="dxa"/>
              <w:top w:w="60" w:type="dxa"/>
              <w:right w:w="90" w:type="dxa"/>
              <w:bottom w:w="60" w:type="dxa"/>
            </w:tcMar>
            <w:tcW w:w="900" w:type="dxa"/>
            <w:vAlign w:val="center"/>
          </w:tcPr>
          <w:p>
            <w:pPr>
              <w:pBdr/>
              <w:spacing w:after="30" w:before="30" w:line="240" w:lineRule="auto"/>
              <w:ind/>
              <w:jc w:val="left"/>
              <w:rPr/>
            </w:pPr>
            <w:r>
              <w:rPr>
                <w:rFonts w:ascii="Calibri" w:hAnsi="Calibri" w:eastAsia="Calibri" w:cs="Calibri"/>
                <w:b/>
                <w:bCs/>
                <w:sz w:val="17"/>
                <w:szCs w:val="17"/>
              </w:rPr>
              <w:t xml:space="preserve">#</w:t>
            </w:r>
            <w:r/>
          </w:p>
        </w:tc>
        <w:tc>
          <w:tcPr>
            <w:shd w:val="clear" w:color="auto" w:fill="dce6f1"/>
            <w:tcBorders/>
            <w:tcMar>
              <w:left w:w="90" w:type="dxa"/>
              <w:top w:w="60" w:type="dxa"/>
              <w:right w:w="90" w:type="dxa"/>
              <w:bottom w:w="60" w:type="dxa"/>
            </w:tcMar>
            <w:tcW w:w="3300" w:type="dxa"/>
            <w:vAlign w:val="center"/>
          </w:tcPr>
          <w:p>
            <w:pPr>
              <w:pBdr/>
              <w:spacing w:after="30" w:before="30" w:line="240" w:lineRule="auto"/>
              <w:ind/>
              <w:jc w:val="left"/>
              <w:rPr/>
            </w:pPr>
            <w:r>
              <w:rPr>
                <w:rFonts w:ascii="Calibri" w:hAnsi="Calibri" w:eastAsia="Calibri" w:cs="Calibri"/>
                <w:b/>
                <w:bCs/>
                <w:sz w:val="17"/>
                <w:szCs w:val="17"/>
              </w:rPr>
              <w:t xml:space="preserve">Inconsistencia</w:t>
            </w:r>
            <w:r/>
          </w:p>
        </w:tc>
        <w:tc>
          <w:tcPr>
            <w:shd w:val="clear" w:color="auto" w:fill="dce6f1"/>
            <w:tcBorders/>
            <w:tcMar>
              <w:left w:w="90" w:type="dxa"/>
              <w:top w:w="60" w:type="dxa"/>
              <w:right w:w="90" w:type="dxa"/>
              <w:bottom w:w="60" w:type="dxa"/>
            </w:tcMar>
            <w:tcW w:w="1700" w:type="dxa"/>
            <w:vAlign w:val="center"/>
          </w:tcPr>
          <w:p>
            <w:pPr>
              <w:pBdr/>
              <w:spacing w:after="30" w:before="30" w:line="240" w:lineRule="auto"/>
              <w:ind/>
              <w:jc w:val="left"/>
              <w:rPr/>
            </w:pPr>
            <w:r>
              <w:rPr>
                <w:rFonts w:ascii="Calibri" w:hAnsi="Calibri" w:eastAsia="Calibri" w:cs="Calibri"/>
                <w:b/>
                <w:bCs/>
                <w:sz w:val="17"/>
                <w:szCs w:val="17"/>
              </w:rPr>
              <w:t xml:space="preserve">Documentos afectados</w:t>
            </w:r>
            <w:r/>
          </w:p>
        </w:tc>
        <w:tc>
          <w:tcPr>
            <w:shd w:val="clear" w:color="auto" w:fill="dce6f1"/>
            <w:tcBorders/>
            <w:tcMar>
              <w:left w:w="90" w:type="dxa"/>
              <w:top w:w="60" w:type="dxa"/>
              <w:right w:w="90" w:type="dxa"/>
              <w:bottom w:w="60" w:type="dxa"/>
            </w:tcMar>
            <w:tcW w:w="3170" w:type="dxa"/>
            <w:vAlign w:val="center"/>
          </w:tcPr>
          <w:p>
            <w:pPr>
              <w:pBdr/>
              <w:spacing w:after="30" w:before="30" w:line="240" w:lineRule="auto"/>
              <w:ind/>
              <w:jc w:val="left"/>
              <w:rPr/>
            </w:pPr>
            <w:r>
              <w:rPr>
                <w:rFonts w:ascii="Calibri" w:hAnsi="Calibri" w:eastAsia="Calibri" w:cs="Calibri"/>
                <w:b/>
                <w:bCs/>
                <w:sz w:val="17"/>
                <w:szCs w:val="17"/>
              </w:rPr>
              <w:t xml:space="preserve">Acción correctiva prevista y estado</w:t>
            </w: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INC-05</w:t>
            </w:r>
            <w:r/>
          </w:p>
        </w:tc>
        <w:tc>
          <w:tcPr>
            <w:shd w:val="clear" w:color="auto" w:fill="ffffff"/>
            <w:tcBorders/>
            <w:tcMar>
              <w:left w:w="90" w:type="dxa"/>
              <w:top w:w="55" w:type="dxa"/>
              <w:right w:w="90" w:type="dxa"/>
              <w:bottom w:w="55" w:type="dxa"/>
            </w:tcMar>
            <w:tcW w:w="3300" w:type="dxa"/>
            <w:vAlign w:val="top"/>
          </w:tcPr>
          <w:p>
            <w:pPr>
              <w:pBdr/>
              <w:spacing w:after="30" w:before="30" w:line="240" w:lineRule="auto"/>
              <w:ind/>
              <w:jc w:val="left"/>
              <w:rPr/>
            </w:pPr>
            <w:r>
              <w:rPr>
                <w:rFonts w:ascii="Calibri" w:hAnsi="Calibri" w:eastAsia="Calibri" w:cs="Calibri"/>
                <w:b w:val="0"/>
                <w:bCs w:val="0"/>
                <w:sz w:val="17"/>
                <w:szCs w:val="17"/>
              </w:rPr>
              <w:t xml:space="preserve">Los documentos emitidos llevan fechas distintas y la edición integrada requerirá fecha y versión únicas.</w:t>
            </w:r>
            <w:r/>
          </w:p>
        </w:tc>
        <w:tc>
          <w:tcPr>
            <w:shd w:val="clear" w:color="auto" w:fill="ffffff"/>
            <w:tcBorders/>
            <w:tcMar>
              <w:left w:w="90" w:type="dxa"/>
              <w:top w:w="55" w:type="dxa"/>
              <w:right w:w="90" w:type="dxa"/>
              <w:bottom w:w="55" w:type="dxa"/>
            </w:tcMar>
            <w:tcW w:w="1700" w:type="dxa"/>
            <w:vAlign w:val="top"/>
          </w:tcPr>
          <w:p>
            <w:pPr>
              <w:pBdr/>
              <w:spacing w:after="30" w:before="30" w:line="240" w:lineRule="auto"/>
              <w:ind/>
              <w:jc w:val="left"/>
              <w:rPr/>
            </w:pPr>
            <w:r>
              <w:rPr>
                <w:rFonts w:ascii="Calibri" w:hAnsi="Calibri" w:eastAsia="Calibri" w:cs="Calibri"/>
                <w:b w:val="0"/>
                <w:bCs w:val="0"/>
                <w:sz w:val="17"/>
                <w:szCs w:val="17"/>
              </w:rPr>
              <w:t xml:space="preserve">Los cuatro documentos emitidos</w:t>
            </w:r>
            <w:r/>
          </w:p>
        </w:tc>
        <w:tc>
          <w:tcPr>
            <w:shd w:val="clear" w:color="auto" w:fill="ffffff"/>
            <w:tcBorders/>
            <w:tcMar>
              <w:left w:w="90" w:type="dxa"/>
              <w:top w:w="55" w:type="dxa"/>
              <w:right w:w="90" w:type="dxa"/>
              <w:bottom w:w="55" w:type="dxa"/>
            </w:tcMar>
            <w:tcW w:w="3170" w:type="dxa"/>
            <w:vAlign w:val="top"/>
          </w:tcPr>
          <w:p>
            <w:pPr>
              <w:pBdr/>
              <w:spacing w:after="30" w:before="30" w:line="240" w:lineRule="auto"/>
              <w:ind/>
              <w:jc w:val="left"/>
              <w:rPr/>
            </w:pPr>
            <w:r>
              <w:rPr>
                <w:rFonts w:ascii="Calibri" w:hAnsi="Calibri" w:eastAsia="Calibri" w:cs="Calibri"/>
                <w:b/>
                <w:bCs/>
                <w:sz w:val="17"/>
                <w:szCs w:val="17"/>
              </w:rPr>
              <w:t xml:space="preserve">Previsto.</w:t>
            </w:r>
            <w:r>
              <w:rPr>
                <w:rFonts w:ascii="Calibri" w:hAnsi="Calibri" w:eastAsia="Calibri" w:cs="Calibri"/>
                <w:b w:val="0"/>
                <w:bCs w:val="0"/>
                <w:sz w:val="17"/>
                <w:szCs w:val="17"/>
              </w:rPr>
              <w:t xml:space="preserve"> Fijar fecha y versión de la edición integrada al momento de la fusión.</w:t>
            </w: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INC-06</w:t>
            </w:r>
            <w:r/>
          </w:p>
        </w:tc>
        <w:tc>
          <w:tcPr>
            <w:shd w:val="clear" w:color="auto" w:fill="f2f2f2"/>
            <w:tcBorders/>
            <w:tcMar>
              <w:left w:w="90" w:type="dxa"/>
              <w:top w:w="55" w:type="dxa"/>
              <w:right w:w="90" w:type="dxa"/>
              <w:bottom w:w="55" w:type="dxa"/>
            </w:tcMar>
            <w:tcW w:w="3300" w:type="dxa"/>
            <w:vAlign w:val="top"/>
          </w:tcPr>
          <w:p>
            <w:pPr>
              <w:pBdr/>
              <w:spacing w:after="30" w:before="30" w:line="240" w:lineRule="auto"/>
              <w:ind/>
              <w:jc w:val="left"/>
              <w:rPr/>
            </w:pPr>
            <w:r>
              <w:rPr>
                <w:rFonts w:ascii="Calibri" w:hAnsi="Calibri" w:eastAsia="Calibri" w:cs="Calibri"/>
                <w:b w:val="0"/>
                <w:bCs w:val="0"/>
                <w:sz w:val="17"/>
                <w:szCs w:val="17"/>
              </w:rPr>
              <w:t xml:space="preserve">El propio texto de INC-05 en el documento 1 afirma que los documentos 2 y 3 están fechados el 31 de agosto de 2026. Solo el documento 2 lo está: el documento 3 lleva fecha de 14 de septiembre de 2026 en su portada y en su sección 2.1.</w:t>
            </w:r>
            <w:r/>
          </w:p>
        </w:tc>
        <w:tc>
          <w:tcPr>
            <w:shd w:val="clear" w:color="auto" w:fill="f2f2f2"/>
            <w:tcBorders/>
            <w:tcMar>
              <w:left w:w="90" w:type="dxa"/>
              <w:top w:w="55" w:type="dxa"/>
              <w:right w:w="90" w:type="dxa"/>
              <w:bottom w:w="55" w:type="dxa"/>
            </w:tcMar>
            <w:tcW w:w="1700" w:type="dxa"/>
            <w:vAlign w:val="top"/>
          </w:tcPr>
          <w:p>
            <w:pPr>
              <w:pBdr/>
              <w:spacing w:after="30" w:before="30" w:line="240" w:lineRule="auto"/>
              <w:ind/>
              <w:jc w:val="left"/>
              <w:rPr/>
            </w:pPr>
            <w:r>
              <w:rPr>
                <w:rFonts w:ascii="Calibri" w:hAnsi="Calibri" w:eastAsia="Calibri" w:cs="Calibri"/>
                <w:b w:val="0"/>
                <w:bCs w:val="0"/>
                <w:sz w:val="17"/>
                <w:szCs w:val="17"/>
              </w:rPr>
              <w:t xml:space="preserve">Documento 1, Anexo D</w:t>
            </w:r>
            <w:r/>
          </w:p>
        </w:tc>
        <w:tc>
          <w:tcPr>
            <w:shd w:val="clear" w:color="auto" w:fill="f2f2f2"/>
            <w:tcBorders/>
            <w:tcMar>
              <w:left w:w="90" w:type="dxa"/>
              <w:top w:w="55" w:type="dxa"/>
              <w:right w:w="90" w:type="dxa"/>
              <w:bottom w:w="55" w:type="dxa"/>
            </w:tcMar>
            <w:tcW w:w="3170" w:type="dxa"/>
            <w:vAlign w:val="top"/>
          </w:tcPr>
          <w:p>
            <w:pPr>
              <w:pBdr/>
              <w:spacing w:after="30" w:before="30" w:line="240" w:lineRule="auto"/>
              <w:ind/>
              <w:jc w:val="left"/>
              <w:rPr/>
            </w:pPr>
            <w:r>
              <w:rPr>
                <w:rFonts w:ascii="Calibri" w:hAnsi="Calibri" w:eastAsia="Calibri" w:cs="Calibri"/>
                <w:b/>
                <w:bCs/>
                <w:sz w:val="17"/>
                <w:szCs w:val="17"/>
                <w:lang w:val="es-ES"/>
              </w:rPr>
              <w:t xml:space="preserve">Cerrado</w:t>
            </w:r>
            <w:r>
              <w:rPr>
                <w:rFonts w:ascii="Calibri" w:hAnsi="Calibri" w:eastAsia="Calibri" w:cs="Calibri"/>
                <w:b/>
                <w:bCs/>
                <w:sz w:val="17"/>
                <w:szCs w:val="17"/>
              </w:rPr>
              <w:t xml:space="preserve">.</w:t>
            </w:r>
            <w:r>
              <w:rPr>
                <w:rFonts w:ascii="Calibri" w:hAnsi="Calibri" w:eastAsia="Calibri" w:cs="Calibri"/>
                <w:b w:val="0"/>
                <w:bCs w:val="0"/>
                <w:sz w:val="17"/>
                <w:szCs w:val="17"/>
              </w:rPr>
              <w:t xml:space="preserve"> Rectificar la redacción de la celda para que refleje las tres fechas efectivas: 31 de agosto, 14 de septiembre y 21 de septiembre de 2026.</w:t>
            </w: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INC-07</w:t>
            </w:r>
            <w:r/>
          </w:p>
        </w:tc>
        <w:tc>
          <w:tcPr>
            <w:shd w:val="clear" w:color="auto" w:fill="ffffff"/>
            <w:tcBorders/>
            <w:tcMar>
              <w:left w:w="90" w:type="dxa"/>
              <w:top w:w="55" w:type="dxa"/>
              <w:right w:w="90" w:type="dxa"/>
              <w:bottom w:w="55" w:type="dxa"/>
            </w:tcMar>
            <w:tcW w:w="3300" w:type="dxa"/>
            <w:vAlign w:val="top"/>
          </w:tcPr>
          <w:p>
            <w:pPr>
              <w:pBdr/>
              <w:spacing w:after="30" w:before="30" w:line="240" w:lineRule="auto"/>
              <w:ind/>
              <w:jc w:val="left"/>
              <w:rPr/>
            </w:pPr>
            <w:r>
              <w:rPr>
                <w:rFonts w:ascii="Calibri" w:hAnsi="Calibri" w:eastAsia="Calibri" w:cs="Calibri"/>
                <w:b w:val="0"/>
                <w:bCs w:val="0"/>
                <w:sz w:val="17"/>
                <w:szCs w:val="17"/>
              </w:rPr>
              <w:t xml:space="preserve">La portada del documento 1 declara «Versión: 1.0 (emisión integral)» mientras que la denominación del archivo corresponde a una versión 2.0. La emisión incorpora el cierre de INC-01 a INC-04, de modo que materialmente es una segunda emisión.</w:t>
            </w:r>
            <w:r/>
          </w:p>
        </w:tc>
        <w:tc>
          <w:tcPr>
            <w:shd w:val="clear" w:color="auto" w:fill="ffffff"/>
            <w:tcBorders/>
            <w:tcMar>
              <w:left w:w="90" w:type="dxa"/>
              <w:top w:w="55" w:type="dxa"/>
              <w:right w:w="90" w:type="dxa"/>
              <w:bottom w:w="55" w:type="dxa"/>
            </w:tcMar>
            <w:tcW w:w="1700" w:type="dxa"/>
            <w:vAlign w:val="top"/>
          </w:tcPr>
          <w:p>
            <w:pPr>
              <w:pBdr/>
              <w:spacing w:after="30" w:before="30" w:line="240" w:lineRule="auto"/>
              <w:ind/>
              <w:jc w:val="left"/>
              <w:rPr/>
            </w:pPr>
            <w:r>
              <w:rPr>
                <w:rFonts w:ascii="Calibri" w:hAnsi="Calibri" w:eastAsia="Calibri" w:cs="Calibri"/>
                <w:b w:val="0"/>
                <w:bCs w:val="0"/>
                <w:sz w:val="17"/>
                <w:szCs w:val="17"/>
              </w:rPr>
              <w:t xml:space="preserve">Documento 1, portada</w:t>
            </w:r>
            <w:r/>
          </w:p>
        </w:tc>
        <w:tc>
          <w:tcPr>
            <w:shd w:val="clear" w:color="auto" w:fill="ffffff"/>
            <w:tcBorders/>
            <w:tcMar>
              <w:left w:w="90" w:type="dxa"/>
              <w:top w:w="55" w:type="dxa"/>
              <w:right w:w="90" w:type="dxa"/>
              <w:bottom w:w="55" w:type="dxa"/>
            </w:tcMar>
            <w:tcW w:w="3170" w:type="dxa"/>
            <w:vAlign w:val="top"/>
          </w:tcPr>
          <w:p>
            <w:pPr>
              <w:pBdr/>
              <w:spacing w:after="30" w:before="30" w:line="240" w:lineRule="auto"/>
              <w:ind/>
              <w:jc w:val="left"/>
              <w:rPr/>
            </w:pPr>
            <w:r>
              <w:rPr>
                <w:rFonts w:ascii="Calibri" w:hAnsi="Calibri" w:eastAsia="Calibri" w:cs="Calibri"/>
                <w:b/>
                <w:bCs/>
                <w:sz w:val="17"/>
                <w:szCs w:val="17"/>
                <w:lang w:val="es-ES"/>
              </w:rPr>
              <w:t xml:space="preserve">Cerrado</w:t>
            </w:r>
            <w:r>
              <w:rPr>
                <w:rFonts w:ascii="Calibri" w:hAnsi="Calibri" w:eastAsia="Calibri" w:cs="Calibri"/>
                <w:b/>
                <w:bCs/>
                <w:sz w:val="17"/>
                <w:szCs w:val="17"/>
              </w:rPr>
              <w:t xml:space="preserve">.</w:t>
            </w:r>
            <w:r>
              <w:rPr>
                <w:rFonts w:ascii="Calibri" w:hAnsi="Calibri" w:eastAsia="Calibri" w:cs="Calibri"/>
                <w:b w:val="0"/>
                <w:bCs w:val="0"/>
                <w:sz w:val="17"/>
                <w:szCs w:val="17"/>
              </w:rPr>
              <w:t xml:space="preserve"> La portada, el cierre del documento y la denominación del archivo declaran ahora la misma versión, 2.1.</w:t>
            </w:r>
            <w:r/>
          </w:p>
        </w:tc>
      </w:tr>
      <w:tr>
        <w:trPr/>
        <w:tc>
          <w:tcPr>
            <w:shd w:val="clear" w:color="auto" w:fill="f2f2f2"/>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INC-08</w:t>
            </w:r>
            <w:r/>
          </w:p>
        </w:tc>
        <w:tc>
          <w:tcPr>
            <w:shd w:val="clear" w:color="auto" w:fill="f2f2f2"/>
            <w:tcBorders/>
            <w:tcMar>
              <w:left w:w="90" w:type="dxa"/>
              <w:top w:w="55" w:type="dxa"/>
              <w:right w:w="90" w:type="dxa"/>
              <w:bottom w:w="55" w:type="dxa"/>
            </w:tcMar>
            <w:tcW w:w="3300" w:type="dxa"/>
            <w:vAlign w:val="top"/>
          </w:tcPr>
          <w:p>
            <w:pPr>
              <w:pBdr/>
              <w:spacing w:after="30" w:before="30" w:line="240" w:lineRule="auto"/>
              <w:ind/>
              <w:jc w:val="left"/>
              <w:rPr/>
            </w:pPr>
            <w:r>
              <w:rPr>
                <w:rFonts w:ascii="Calibri" w:hAnsi="Calibri" w:eastAsia="Calibri" w:cs="Calibri"/>
                <w:b w:val="0"/>
                <w:bCs w:val="0"/>
                <w:sz w:val="17"/>
                <w:szCs w:val="17"/>
              </w:rPr>
              <w:t xml:space="preserve">El documento 3 empleaba la expresión «catálogo original» al referirse a los cincuenta y tres requisitos, en cuatro apariciones: secciones 2.2.1, 2.2.2, 2.2.3 y 2.11.2. Tras el cierre de INC-01 existe un catálogo único y vigente, por lo que el calificativo podía inducir a pensar que subsiste un catálogo posterior.</w:t>
            </w:r>
            <w:r/>
          </w:p>
        </w:tc>
        <w:tc>
          <w:tcPr>
            <w:shd w:val="clear" w:color="auto" w:fill="f2f2f2"/>
            <w:tcBorders/>
            <w:tcMar>
              <w:left w:w="90" w:type="dxa"/>
              <w:top w:w="55" w:type="dxa"/>
              <w:right w:w="90" w:type="dxa"/>
              <w:bottom w:w="55" w:type="dxa"/>
            </w:tcMar>
            <w:tcW w:w="1700" w:type="dxa"/>
            <w:vAlign w:val="top"/>
          </w:tcPr>
          <w:p>
            <w:pPr>
              <w:pBdr/>
              <w:spacing w:after="30" w:before="30" w:line="240" w:lineRule="auto"/>
              <w:ind/>
              <w:jc w:val="left"/>
              <w:rPr/>
            </w:pPr>
            <w:r>
              <w:rPr>
                <w:rFonts w:ascii="Calibri" w:hAnsi="Calibri" w:eastAsia="Calibri" w:cs="Calibri"/>
                <w:b w:val="0"/>
                <w:bCs w:val="0"/>
                <w:sz w:val="17"/>
                <w:szCs w:val="17"/>
              </w:rPr>
              <w:t xml:space="preserve">Documento 3, secciones 2.2.1, 2.2.2, 2.2.3 y 2.11.2</w:t>
            </w:r>
            <w:r/>
          </w:p>
        </w:tc>
        <w:tc>
          <w:tcPr>
            <w:shd w:val="clear" w:color="auto" w:fill="f2f2f2"/>
            <w:tcBorders/>
            <w:tcMar>
              <w:left w:w="90" w:type="dxa"/>
              <w:top w:w="55" w:type="dxa"/>
              <w:right w:w="90" w:type="dxa"/>
              <w:bottom w:w="55" w:type="dxa"/>
            </w:tcMar>
            <w:tcW w:w="3170" w:type="dxa"/>
            <w:vAlign w:val="top"/>
          </w:tcPr>
          <w:p>
            <w:pPr>
              <w:pBdr/>
              <w:spacing w:after="30" w:before="30" w:line="240" w:lineRule="auto"/>
              <w:ind/>
              <w:jc w:val="left"/>
              <w:rPr/>
            </w:pPr>
            <w:r>
              <w:rPr>
                <w:rFonts w:ascii="Calibri" w:hAnsi="Calibri" w:eastAsia="Calibri" w:cs="Calibri"/>
                <w:b/>
                <w:bCs/>
                <w:sz w:val="17"/>
                <w:szCs w:val="17"/>
              </w:rPr>
              <w:t xml:space="preserve">Cerrado.</w:t>
            </w:r>
            <w:r>
              <w:rPr>
                <w:rFonts w:ascii="Calibri" w:hAnsi="Calibri" w:eastAsia="Calibri" w:cs="Calibri"/>
                <w:b w:val="0"/>
                <w:bCs w:val="0"/>
                <w:sz w:val="17"/>
                <w:szCs w:val="17"/>
              </w:rPr>
              <w:t xml:space="preserve"> Sustituido «catálogo original» por «catálogo» en las cuatro apariciones, en la versión 1.1 del documento 3.</w:t>
            </w:r>
            <w:r/>
          </w:p>
        </w:tc>
      </w:tr>
      <w:tr>
        <w:trPr/>
        <w:tc>
          <w:tcPr>
            <w:shd w:val="clear" w:color="auto" w:fill="ffffff"/>
            <w:tcBorders/>
            <w:tcMar>
              <w:left w:w="90" w:type="dxa"/>
              <w:top w:w="55" w:type="dxa"/>
              <w:right w:w="90" w:type="dxa"/>
              <w:bottom w:w="55" w:type="dxa"/>
            </w:tcMar>
            <w:tcW w:w="900" w:type="dxa"/>
            <w:vAlign w:val="top"/>
          </w:tcPr>
          <w:p>
            <w:pPr>
              <w:pBdr/>
              <w:spacing w:after="30" w:before="30" w:line="240" w:lineRule="auto"/>
              <w:ind/>
              <w:jc w:val="left"/>
              <w:rPr/>
            </w:pPr>
            <w:r>
              <w:rPr>
                <w:rFonts w:ascii="Calibri" w:hAnsi="Calibri" w:eastAsia="Calibri" w:cs="Calibri"/>
                <w:b w:val="0"/>
                <w:bCs w:val="0"/>
                <w:sz w:val="17"/>
                <w:szCs w:val="17"/>
              </w:rPr>
              <w:t xml:space="preserve">INC-09</w:t>
            </w:r>
            <w:r/>
          </w:p>
        </w:tc>
        <w:tc>
          <w:tcPr>
            <w:shd w:val="clear" w:color="auto" w:fill="ffffff"/>
            <w:tcBorders/>
            <w:tcMar>
              <w:left w:w="90" w:type="dxa"/>
              <w:top w:w="55" w:type="dxa"/>
              <w:right w:w="90" w:type="dxa"/>
              <w:bottom w:w="55" w:type="dxa"/>
            </w:tcMar>
            <w:tcW w:w="3300" w:type="dxa"/>
            <w:vAlign w:val="top"/>
          </w:tcPr>
          <w:p>
            <w:pPr>
              <w:pBdr/>
              <w:spacing w:after="30" w:before="30" w:line="240" w:lineRule="auto"/>
              <w:ind/>
              <w:jc w:val="left"/>
              <w:rPr/>
            </w:pPr>
            <w:r>
              <w:rPr>
                <w:rFonts w:ascii="Calibri" w:hAnsi="Calibri" w:eastAsia="Calibri" w:cs="Calibri"/>
                <w:b w:val="0"/>
                <w:bCs w:val="0"/>
                <w:sz w:val="17"/>
                <w:szCs w:val="17"/>
              </w:rPr>
              <w:t xml:space="preserve">Este documento fija el compromiso del MVP en las clases «Debe» y «Debería» del esquema MoSCoW y excluye la clase «Podría». El documento 2 asigna la prioridad pero no declara ese umbral de compromiso de forma expresa, aunque el documento 3 ya operó con él al excluir SYS-NFN-12.</w:t>
            </w:r>
            <w:r/>
          </w:p>
        </w:tc>
        <w:tc>
          <w:tcPr>
            <w:shd w:val="clear" w:color="auto" w:fill="ffffff"/>
            <w:tcBorders/>
            <w:tcMar>
              <w:left w:w="90" w:type="dxa"/>
              <w:top w:w="55" w:type="dxa"/>
              <w:right w:w="90" w:type="dxa"/>
              <w:bottom w:w="55" w:type="dxa"/>
            </w:tcMar>
            <w:tcW w:w="1700" w:type="dxa"/>
            <w:vAlign w:val="top"/>
          </w:tcPr>
          <w:p>
            <w:pPr>
              <w:pBdr/>
              <w:spacing w:after="30" w:before="30" w:line="240" w:lineRule="auto"/>
              <w:ind/>
              <w:jc w:val="left"/>
              <w:rPr/>
            </w:pPr>
            <w:r>
              <w:rPr>
                <w:rFonts w:ascii="Calibri" w:hAnsi="Calibri" w:eastAsia="Calibri" w:cs="Calibri"/>
                <w:b w:val="0"/>
                <w:bCs w:val="0"/>
                <w:sz w:val="17"/>
                <w:szCs w:val="17"/>
              </w:rPr>
              <w:t xml:space="preserve">Documentos 2, 3 y 4</w:t>
            </w:r>
            <w:r/>
          </w:p>
        </w:tc>
        <w:tc>
          <w:tcPr>
            <w:shd w:val="clear" w:color="auto" w:fill="ffffff"/>
            <w:tcBorders/>
            <w:tcMar>
              <w:left w:w="90" w:type="dxa"/>
              <w:top w:w="55" w:type="dxa"/>
              <w:right w:w="90" w:type="dxa"/>
              <w:bottom w:w="55" w:type="dxa"/>
            </w:tcMar>
            <w:tcW w:w="3170" w:type="dxa"/>
            <w:vAlign w:val="top"/>
          </w:tcPr>
          <w:p>
            <w:pPr>
              <w:pBdr/>
              <w:spacing w:after="30" w:before="30" w:line="240" w:lineRule="auto"/>
              <w:ind/>
              <w:jc w:val="left"/>
              <w:rPr/>
            </w:pPr>
            <w:r>
              <w:rPr>
                <w:rFonts w:ascii="Calibri" w:hAnsi="Calibri" w:eastAsia="Calibri" w:cs="Calibri"/>
                <w:b/>
                <w:bCs/>
                <w:sz w:val="17"/>
                <w:szCs w:val="17"/>
              </w:rPr>
              <w:t xml:space="preserve">Cerrado.</w:t>
            </w:r>
            <w:r>
              <w:rPr>
                <w:rFonts w:ascii="Calibri" w:hAnsi="Calibri" w:eastAsia="Calibri" w:cs="Calibri"/>
                <w:b w:val="0"/>
                <w:bCs w:val="0"/>
                <w:sz w:val="17"/>
                <w:szCs w:val="17"/>
              </w:rPr>
              <w:t xml:space="preserve"> La versión 1.1 del documento 2 declara el umbral de compromiso de forma expresa en su sección 2.7, de modo que los tres documentos lo enuncian y no solo lo aplican.</w:t>
            </w:r>
            <w:r/>
          </w:p>
        </w:tc>
      </w:tr>
    </w:tbl>
    <w:p w14:paraId="391255DC">
      <w:pPr>
        <w:pBdr/>
        <w:spacing w:after="140"/>
        <w:ind/>
        <w:rPr/>
      </w:pPr>
      <w:r/>
    </w:p>
    <w:p>
      <w:pPr>
        <w:pBdr/>
        <w:spacing w:after="140"/>
        <w:ind/>
        <w:rPr/>
      </w:pPr>
      <w:r/>
    </w:p>
    <w:p>
      <w:pPr>
        <w:pBdr/>
        <w:spacing w:after="120" w:before="0" w:line="276" w:lineRule="auto"/>
        <w:ind/>
        <w:jc w:val="center"/>
        <w:rPr/>
      </w:pPr>
      <w:r>
        <w:rPr>
          <w:rFonts w:ascii="Calibri" w:hAnsi="Calibri" w:eastAsia="Calibri" w:cs="Calibri"/>
          <w:b w:val="0"/>
          <w:bCs w:val="0"/>
          <w:i/>
          <w:iCs/>
          <w:color w:val="000000"/>
          <w:sz w:val="20"/>
          <w:szCs w:val="20"/>
        </w:rPr>
        <w:t xml:space="preserve">Fin del documento. Versión 1.1 — emisión original de 23 de septiembre de 2026.</w:t>
      </w:r>
      <w:r/>
    </w:p>
    <w:sectPr>
      <w:footerReference w:type="default" r:id="rId11"/>
      <w:footnotePr/>
      <w:endnotePr/>
      <w:type w:val="nextPage"/>
      <w:pgSz w:h="16838" w:orient="portrait" w:w="11906"/>
      <w:pgMar w:top="1418" w:right="1418" w:bottom="1418" w:left="1418"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bfbfbf" w:sz="4" w:space="6"/>
      </w:pBdr>
      <w:spacing/>
      <w:ind/>
      <w:jc w:val="center"/>
      <w:rPr/>
    </w:pPr>
    <w:r>
      <w:rPr>
        <w:rFonts w:ascii="Calibri" w:hAnsi="Calibri" w:eastAsia="Calibri" w:cs="Calibri"/>
        <w:color w:val="808080"/>
        <w:sz w:val="16"/>
        <w:szCs w:val="16"/>
      </w:rPr>
      <w:t xml:space="preserve">AbasteceNi · Documento 4 — Metodología y modelo de ciclo de vida · v1.1 · </w:t>
    </w:r>
    <w:r>
      <w:rPr>
        <w:rFonts w:ascii="Calibri" w:hAnsi="Calibri" w:eastAsia="Calibri" w:cs="Calibri"/>
        <w:color w:val="808080"/>
        <w:sz w:val="16"/>
        <w:szCs w:val="16"/>
      </w:rPr>
      <w:fldChar w:fldCharType="begin"/>
      <w:instrText xml:space="preserve">PAGE</w:instrText>
      <w:fldChar w:fldCharType="separate"/>
      <w:fldChar w:fldCharType="end"/>
    </w:r>
    <w:r>
      <w:rPr>
        <w:rFonts w:ascii="Calibri" w:hAnsi="Calibri" w:eastAsia="Calibri" w:cs="Calibri"/>
        <w:color w:val="808080"/>
        <w:sz w:val="16"/>
        <w:szCs w:val="16"/>
      </w:rPr>
      <w:t xml:space="preserve"> / </w:t>
    </w:r>
    <w:r>
      <w:rPr>
        <w:rFonts w:ascii="Calibri" w:hAnsi="Calibri" w:eastAsia="Calibri" w:cs="Calibri"/>
        <w:color w:val="808080"/>
        <w:sz w:val="16"/>
        <w:szCs w:val="16"/>
      </w:rPr>
      <w:fldChar w:fldCharType="begin"/>
      <w:instrText xml:space="preserve">NUMPAGES</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bfbfbf" w:sz="4" w:space="6"/>
      </w:pBdr>
      <w:spacing/>
      <w:ind/>
      <w:jc w:val="center"/>
      <w:rPr/>
    </w:pPr>
    <w:r>
      <w:rPr>
        <w:rFonts w:ascii="Calibri" w:hAnsi="Calibri" w:eastAsia="Calibri" w:cs="Calibri"/>
        <w:color w:val="808080"/>
        <w:sz w:val="16"/>
        <w:szCs w:val="16"/>
      </w:rPr>
      <w:t xml:space="preserve">AbasteceNi · Documento 4 — Metodología y modelo de ciclo de vida · v1.1 · </w:t>
    </w:r>
    <w:r>
      <w:rPr>
        <w:rFonts w:ascii="Calibri" w:hAnsi="Calibri" w:eastAsia="Calibri" w:cs="Calibri"/>
        <w:color w:val="808080"/>
        <w:sz w:val="16"/>
        <w:szCs w:val="16"/>
      </w:rPr>
      <w:fldChar w:fldCharType="begin"/>
      <w:instrText xml:space="preserve">PAGE</w:instrText>
      <w:fldChar w:fldCharType="separate"/>
      <w:fldChar w:fldCharType="end"/>
    </w:r>
    <w:r>
      <w:rPr>
        <w:rFonts w:ascii="Calibri" w:hAnsi="Calibri" w:eastAsia="Calibri" w:cs="Calibri"/>
        <w:color w:val="808080"/>
        <w:sz w:val="16"/>
        <w:szCs w:val="16"/>
      </w:rPr>
      <w:t xml:space="preserve"> / </w:t>
    </w:r>
    <w:r>
      <w:rPr>
        <w:rFonts w:ascii="Calibri" w:hAnsi="Calibri" w:eastAsia="Calibri" w:cs="Calibri"/>
        <w:color w:val="808080"/>
        <w:sz w:val="16"/>
        <w:szCs w:val="16"/>
      </w:rPr>
      <w:fldChar w:fldCharType="begin"/>
      <w:instrText xml:space="preserve">NUMPAGES</w:instrText>
      <w:fldChar w:fldCharType="separate"/>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bfbfbf" w:sz="4" w:space="6"/>
      </w:pBdr>
      <w:spacing/>
      <w:ind/>
      <w:jc w:val="center"/>
      <w:rPr/>
    </w:pPr>
    <w:r>
      <w:rPr>
        <w:rFonts w:ascii="Calibri" w:hAnsi="Calibri" w:eastAsia="Calibri" w:cs="Calibri"/>
        <w:color w:val="808080"/>
        <w:sz w:val="16"/>
        <w:szCs w:val="16"/>
      </w:rPr>
      <w:t xml:space="preserve">AbasteceNi · Documento 4 — Metodología y modelo de ciclo de vida · v1.1 · </w:t>
    </w:r>
    <w:r>
      <w:rPr>
        <w:rFonts w:ascii="Calibri" w:hAnsi="Calibri" w:eastAsia="Calibri" w:cs="Calibri"/>
        <w:color w:val="808080"/>
        <w:sz w:val="16"/>
        <w:szCs w:val="16"/>
      </w:rPr>
      <w:fldChar w:fldCharType="begin"/>
      <w:instrText xml:space="preserve">PAGE</w:instrText>
      <w:fldChar w:fldCharType="separate"/>
      <w:fldChar w:fldCharType="end"/>
    </w:r>
    <w:r>
      <w:rPr>
        <w:rFonts w:ascii="Calibri" w:hAnsi="Calibri" w:eastAsia="Calibri" w:cs="Calibri"/>
        <w:color w:val="808080"/>
        <w:sz w:val="16"/>
        <w:szCs w:val="16"/>
      </w:rPr>
      <w:t xml:space="preserve"> / </w:t>
    </w:r>
    <w:r>
      <w:rPr>
        <w:rFonts w:ascii="Calibri" w:hAnsi="Calibri" w:eastAsia="Calibri" w:cs="Calibri"/>
        <w:color w:val="808080"/>
        <w:sz w:val="16"/>
        <w:szCs w:val="16"/>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Table Grid"/>
    <w:basedOn w:val="74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Table Grid Light"/>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1"/>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2"/>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3"/>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4"/>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5"/>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w:basedOn w:val="7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1"/>
    <w:basedOn w:val="7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2"/>
    <w:basedOn w:val="7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3"/>
    <w:basedOn w:val="7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4"/>
    <w:basedOn w:val="7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5"/>
    <w:basedOn w:val="7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6"/>
    <w:basedOn w:val="7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w:basedOn w:val="7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1"/>
    <w:basedOn w:val="7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5"/>
    <w:basedOn w:val="7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6"/>
    <w:basedOn w:val="7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w:basedOn w:val="7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1"/>
    <w:basedOn w:val="7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5"/>
    <w:basedOn w:val="7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6"/>
    <w:basedOn w:val="7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w:basedOn w:val="7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1"/>
    <w:basedOn w:val="7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2"/>
    <w:basedOn w:val="7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3"/>
    <w:basedOn w:val="7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4"/>
    <w:basedOn w:val="7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5"/>
    <w:basedOn w:val="7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6"/>
    <w:basedOn w:val="7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Accent 1"/>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2"/>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3"/>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Accent 4"/>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5"/>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6"/>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6 Colorful"/>
    <w:basedOn w:val="7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6">
    <w:name w:val="Grid Table 6 Colorful - Accent 1"/>
    <w:basedOn w:val="7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7">
    <w:name w:val="Grid Table 6 Colorful - Accent 2"/>
    <w:basedOn w:val="7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8">
    <w:name w:val="Grid Table 6 Colorful - Accent 3"/>
    <w:basedOn w:val="7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9">
    <w:name w:val="Grid Table 6 Colorful - Accent 4"/>
    <w:basedOn w:val="7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0">
    <w:name w:val="Grid Table 6 Colorful - Accent 5"/>
    <w:basedOn w:val="7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1">
    <w:name w:val="Grid Table 6 Colorful - Accent 6"/>
    <w:basedOn w:val="7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7 Colorful"/>
    <w:basedOn w:val="7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1"/>
    <w:basedOn w:val="7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5"/>
    <w:basedOn w:val="7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6"/>
    <w:basedOn w:val="7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1"/>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2"/>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3"/>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4"/>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5"/>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6"/>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w:basedOn w:val="7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1"/>
    <w:basedOn w:val="7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2"/>
    <w:basedOn w:val="7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3"/>
    <w:basedOn w:val="7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4"/>
    <w:basedOn w:val="7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5"/>
    <w:basedOn w:val="7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6"/>
    <w:basedOn w:val="7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w:basedOn w:val="7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1"/>
    <w:basedOn w:val="7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2"/>
    <w:basedOn w:val="7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3"/>
    <w:basedOn w:val="7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4"/>
    <w:basedOn w:val="7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5"/>
    <w:basedOn w:val="7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6"/>
    <w:basedOn w:val="7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w:basedOn w:val="7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1"/>
    <w:basedOn w:val="7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2"/>
    <w:basedOn w:val="7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3"/>
    <w:basedOn w:val="7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4"/>
    <w:basedOn w:val="7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5"/>
    <w:basedOn w:val="7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6"/>
    <w:basedOn w:val="7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5 Dark"/>
    <w:basedOn w:val="7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1"/>
    <w:basedOn w:val="7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2"/>
    <w:basedOn w:val="7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3"/>
    <w:basedOn w:val="7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4"/>
    <w:basedOn w:val="7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5"/>
    <w:basedOn w:val="7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6"/>
    <w:basedOn w:val="7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6 Colorful"/>
    <w:basedOn w:val="7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1"/>
    <w:basedOn w:val="7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2"/>
    <w:basedOn w:val="7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3"/>
    <w:basedOn w:val="7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4"/>
    <w:basedOn w:val="7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5"/>
    <w:basedOn w:val="7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6"/>
    <w:basedOn w:val="7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7 Colorful"/>
    <w:basedOn w:val="7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2">
    <w:name w:val="List Table 7 Colorful - Accent 1"/>
    <w:basedOn w:val="7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3">
    <w:name w:val="List Table 7 Colorful - Accent 2"/>
    <w:basedOn w:val="7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4">
    <w:name w:val="List Table 7 Colorful - Accent 3"/>
    <w:basedOn w:val="7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5">
    <w:name w:val="List Table 7 Colorful - Accent 4"/>
    <w:basedOn w:val="7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6">
    <w:name w:val="List Table 7 Colorful - Accent 5"/>
    <w:basedOn w:val="7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7">
    <w:name w:val="List Table 7 Colorful - Accent 6"/>
    <w:basedOn w:val="7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8">
    <w:name w:val="Lined - Accent"/>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1"/>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2"/>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3"/>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4"/>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5"/>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6"/>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w:basedOn w:val="7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1"/>
    <w:basedOn w:val="7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2"/>
    <w:basedOn w:val="7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3"/>
    <w:basedOn w:val="7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4"/>
    <w:basedOn w:val="7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5"/>
    <w:basedOn w:val="7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6"/>
    <w:basedOn w:val="7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w:basedOn w:val="7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1"/>
    <w:basedOn w:val="7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2"/>
    <w:basedOn w:val="7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3"/>
    <w:basedOn w:val="7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4"/>
    <w:basedOn w:val="7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5"/>
    <w:basedOn w:val="7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6"/>
    <w:basedOn w:val="7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9" w:default="1">
    <w:name w:val="Normal"/>
    <w:qFormat/>
    <w:pPr>
      <w:pBdr/>
      <w:spacing/>
      <w:ind/>
    </w:pPr>
  </w:style>
  <w:style w:type="paragraph" w:styleId="870">
    <w:name w:val="Heading 7"/>
    <w:basedOn w:val="869"/>
    <w:next w:val="869"/>
    <w:link w:val="88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1">
    <w:name w:val="Heading 8"/>
    <w:basedOn w:val="869"/>
    <w:next w:val="869"/>
    <w:link w:val="88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2">
    <w:name w:val="Heading 9"/>
    <w:basedOn w:val="869"/>
    <w:next w:val="869"/>
    <w:link w:val="88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3" w:default="1">
    <w:name w:val="Default Paragraph Font"/>
    <w:uiPriority w:val="1"/>
    <w:semiHidden/>
    <w:unhideWhenUsed/>
    <w:pPr>
      <w:pBdr/>
      <w:spacing/>
      <w:ind/>
    </w:pPr>
  </w:style>
  <w:style w:type="numbering" w:styleId="874" w:default="1">
    <w:name w:val="No List"/>
    <w:uiPriority w:val="99"/>
    <w:semiHidden/>
    <w:unhideWhenUsed/>
    <w:pPr>
      <w:pBdr/>
      <w:spacing/>
      <w:ind/>
    </w:pPr>
  </w:style>
  <w:style w:type="character" w:styleId="875">
    <w:name w:val="Heading 1 Char"/>
    <w:basedOn w:val="873"/>
    <w:link w:val="917"/>
    <w:uiPriority w:val="9"/>
    <w:pPr>
      <w:pBdr/>
      <w:spacing/>
      <w:ind/>
    </w:pPr>
    <w:rPr>
      <w:rFonts w:ascii="Arial" w:hAnsi="Arial" w:eastAsia="Arial" w:cs="Arial"/>
      <w:color w:val="0f4761" w:themeColor="accent1" w:themeShade="BF"/>
      <w:sz w:val="40"/>
      <w:szCs w:val="40"/>
    </w:rPr>
  </w:style>
  <w:style w:type="character" w:styleId="876">
    <w:name w:val="Heading 2 Char"/>
    <w:basedOn w:val="873"/>
    <w:link w:val="918"/>
    <w:uiPriority w:val="9"/>
    <w:pPr>
      <w:pBdr/>
      <w:spacing/>
      <w:ind/>
    </w:pPr>
    <w:rPr>
      <w:rFonts w:ascii="Arial" w:hAnsi="Arial" w:eastAsia="Arial" w:cs="Arial"/>
      <w:color w:val="0f4761" w:themeColor="accent1" w:themeShade="BF"/>
      <w:sz w:val="32"/>
      <w:szCs w:val="32"/>
    </w:rPr>
  </w:style>
  <w:style w:type="character" w:styleId="877">
    <w:name w:val="Heading 3 Char"/>
    <w:basedOn w:val="873"/>
    <w:link w:val="919"/>
    <w:uiPriority w:val="9"/>
    <w:pPr>
      <w:pBdr/>
      <w:spacing/>
      <w:ind/>
    </w:pPr>
    <w:rPr>
      <w:rFonts w:ascii="Arial" w:hAnsi="Arial" w:eastAsia="Arial" w:cs="Arial"/>
      <w:color w:val="0f4761" w:themeColor="accent1" w:themeShade="BF"/>
      <w:sz w:val="28"/>
      <w:szCs w:val="28"/>
    </w:rPr>
  </w:style>
  <w:style w:type="character" w:styleId="878">
    <w:name w:val="Heading 4 Char"/>
    <w:basedOn w:val="873"/>
    <w:link w:val="920"/>
    <w:uiPriority w:val="9"/>
    <w:pPr>
      <w:pBdr/>
      <w:spacing/>
      <w:ind/>
    </w:pPr>
    <w:rPr>
      <w:rFonts w:ascii="Arial" w:hAnsi="Arial" w:eastAsia="Arial" w:cs="Arial"/>
      <w:i/>
      <w:iCs/>
      <w:color w:val="0f4761" w:themeColor="accent1" w:themeShade="BF"/>
    </w:rPr>
  </w:style>
  <w:style w:type="character" w:styleId="879">
    <w:name w:val="Heading 5 Char"/>
    <w:basedOn w:val="873"/>
    <w:link w:val="921"/>
    <w:uiPriority w:val="9"/>
    <w:pPr>
      <w:pBdr/>
      <w:spacing/>
      <w:ind/>
    </w:pPr>
    <w:rPr>
      <w:rFonts w:ascii="Arial" w:hAnsi="Arial" w:eastAsia="Arial" w:cs="Arial"/>
      <w:color w:val="0f4761" w:themeColor="accent1" w:themeShade="BF"/>
    </w:rPr>
  </w:style>
  <w:style w:type="character" w:styleId="880">
    <w:name w:val="Heading 6 Char"/>
    <w:basedOn w:val="873"/>
    <w:link w:val="922"/>
    <w:uiPriority w:val="9"/>
    <w:pPr>
      <w:pBdr/>
      <w:spacing/>
      <w:ind/>
    </w:pPr>
    <w:rPr>
      <w:rFonts w:ascii="Arial" w:hAnsi="Arial" w:eastAsia="Arial" w:cs="Arial"/>
      <w:i/>
      <w:iCs/>
      <w:color w:val="595959" w:themeColor="text1" w:themeTint="A6"/>
    </w:rPr>
  </w:style>
  <w:style w:type="character" w:styleId="881">
    <w:name w:val="Heading 7 Char"/>
    <w:basedOn w:val="873"/>
    <w:link w:val="870"/>
    <w:uiPriority w:val="9"/>
    <w:pPr>
      <w:pBdr/>
      <w:spacing/>
      <w:ind/>
    </w:pPr>
    <w:rPr>
      <w:rFonts w:ascii="Arial" w:hAnsi="Arial" w:eastAsia="Arial" w:cs="Arial"/>
      <w:color w:val="595959" w:themeColor="text1" w:themeTint="A6"/>
    </w:rPr>
  </w:style>
  <w:style w:type="character" w:styleId="882">
    <w:name w:val="Heading 8 Char"/>
    <w:basedOn w:val="873"/>
    <w:link w:val="871"/>
    <w:uiPriority w:val="9"/>
    <w:pPr>
      <w:pBdr/>
      <w:spacing/>
      <w:ind/>
    </w:pPr>
    <w:rPr>
      <w:rFonts w:ascii="Arial" w:hAnsi="Arial" w:eastAsia="Arial" w:cs="Arial"/>
      <w:i/>
      <w:iCs/>
      <w:color w:val="272727" w:themeColor="text1" w:themeTint="D8"/>
    </w:rPr>
  </w:style>
  <w:style w:type="character" w:styleId="883">
    <w:name w:val="Heading 9 Char"/>
    <w:basedOn w:val="873"/>
    <w:link w:val="872"/>
    <w:uiPriority w:val="9"/>
    <w:pPr>
      <w:pBdr/>
      <w:spacing/>
      <w:ind/>
    </w:pPr>
    <w:rPr>
      <w:rFonts w:ascii="Arial" w:hAnsi="Arial" w:eastAsia="Arial" w:cs="Arial"/>
      <w:i/>
      <w:iCs/>
      <w:color w:val="272727" w:themeColor="text1" w:themeTint="D8"/>
    </w:rPr>
  </w:style>
  <w:style w:type="character" w:styleId="884">
    <w:name w:val="Title Char"/>
    <w:basedOn w:val="873"/>
    <w:link w:val="916"/>
    <w:uiPriority w:val="10"/>
    <w:pPr>
      <w:pBdr/>
      <w:spacing/>
      <w:ind/>
    </w:pPr>
    <w:rPr>
      <w:rFonts w:ascii="Arial" w:hAnsi="Arial" w:eastAsia="Arial" w:cs="Arial"/>
      <w:spacing w:val="-10"/>
      <w:sz w:val="56"/>
      <w:szCs w:val="56"/>
    </w:rPr>
  </w:style>
  <w:style w:type="paragraph" w:styleId="885">
    <w:name w:val="Subtitle"/>
    <w:basedOn w:val="869"/>
    <w:next w:val="869"/>
    <w:link w:val="886"/>
    <w:uiPriority w:val="11"/>
    <w:qFormat/>
    <w:pPr>
      <w:numPr>
        <w:ilvl w:val="1"/>
      </w:numPr>
      <w:pBdr/>
      <w:spacing/>
      <w:ind/>
    </w:pPr>
    <w:rPr>
      <w:color w:val="595959" w:themeColor="text1" w:themeTint="A6"/>
      <w:spacing w:val="15"/>
      <w:sz w:val="28"/>
      <w:szCs w:val="28"/>
    </w:rPr>
  </w:style>
  <w:style w:type="character" w:styleId="886">
    <w:name w:val="Subtitle Char"/>
    <w:basedOn w:val="873"/>
    <w:link w:val="885"/>
    <w:uiPriority w:val="11"/>
    <w:pPr>
      <w:pBdr/>
      <w:spacing/>
      <w:ind/>
    </w:pPr>
    <w:rPr>
      <w:color w:val="595959" w:themeColor="text1" w:themeTint="A6"/>
      <w:spacing w:val="15"/>
      <w:sz w:val="28"/>
      <w:szCs w:val="28"/>
    </w:rPr>
  </w:style>
  <w:style w:type="paragraph" w:styleId="887">
    <w:name w:val="Quote"/>
    <w:basedOn w:val="869"/>
    <w:next w:val="869"/>
    <w:link w:val="888"/>
    <w:uiPriority w:val="29"/>
    <w:qFormat/>
    <w:pPr>
      <w:pBdr/>
      <w:spacing w:before="160"/>
      <w:ind/>
      <w:jc w:val="center"/>
    </w:pPr>
    <w:rPr>
      <w:i/>
      <w:iCs/>
      <w:color w:val="404040" w:themeColor="text1" w:themeTint="BF"/>
    </w:rPr>
  </w:style>
  <w:style w:type="character" w:styleId="888">
    <w:name w:val="Quote Char"/>
    <w:basedOn w:val="873"/>
    <w:link w:val="887"/>
    <w:uiPriority w:val="29"/>
    <w:pPr>
      <w:pBdr/>
      <w:spacing/>
      <w:ind/>
    </w:pPr>
    <w:rPr>
      <w:i/>
      <w:iCs/>
      <w:color w:val="404040" w:themeColor="text1" w:themeTint="BF"/>
    </w:rPr>
  </w:style>
  <w:style w:type="character" w:styleId="889">
    <w:name w:val="Intense Emphasis"/>
    <w:basedOn w:val="873"/>
    <w:uiPriority w:val="21"/>
    <w:qFormat/>
    <w:pPr>
      <w:pBdr/>
      <w:spacing/>
      <w:ind/>
    </w:pPr>
    <w:rPr>
      <w:i/>
      <w:iCs/>
      <w:color w:val="0f4761" w:themeColor="accent1" w:themeShade="BF"/>
    </w:rPr>
  </w:style>
  <w:style w:type="paragraph" w:styleId="890">
    <w:name w:val="Intense Quote"/>
    <w:basedOn w:val="869"/>
    <w:next w:val="869"/>
    <w:link w:val="89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1">
    <w:name w:val="Intense Quote Char"/>
    <w:basedOn w:val="873"/>
    <w:link w:val="890"/>
    <w:uiPriority w:val="30"/>
    <w:pPr>
      <w:pBdr/>
      <w:spacing/>
      <w:ind/>
    </w:pPr>
    <w:rPr>
      <w:i/>
      <w:iCs/>
      <w:color w:val="0f4761" w:themeColor="accent1" w:themeShade="BF"/>
    </w:rPr>
  </w:style>
  <w:style w:type="character" w:styleId="892">
    <w:name w:val="Intense Reference"/>
    <w:basedOn w:val="873"/>
    <w:uiPriority w:val="32"/>
    <w:qFormat/>
    <w:pPr>
      <w:pBdr/>
      <w:spacing/>
      <w:ind/>
    </w:pPr>
    <w:rPr>
      <w:b/>
      <w:bCs/>
      <w:smallCaps/>
      <w:color w:val="0f4761" w:themeColor="accent1" w:themeShade="BF"/>
      <w:spacing w:val="5"/>
    </w:rPr>
  </w:style>
  <w:style w:type="paragraph" w:styleId="893">
    <w:name w:val="No Spacing"/>
    <w:basedOn w:val="869"/>
    <w:uiPriority w:val="1"/>
    <w:qFormat/>
    <w:pPr>
      <w:pBdr/>
      <w:spacing w:after="0" w:line="240" w:lineRule="auto"/>
      <w:ind/>
    </w:pPr>
  </w:style>
  <w:style w:type="character" w:styleId="894">
    <w:name w:val="Subtle Emphasis"/>
    <w:basedOn w:val="873"/>
    <w:uiPriority w:val="19"/>
    <w:qFormat/>
    <w:pPr>
      <w:pBdr/>
      <w:spacing/>
      <w:ind/>
    </w:pPr>
    <w:rPr>
      <w:i/>
      <w:iCs/>
      <w:color w:val="404040" w:themeColor="text1" w:themeTint="BF"/>
    </w:rPr>
  </w:style>
  <w:style w:type="character" w:styleId="895">
    <w:name w:val="Emphasis"/>
    <w:basedOn w:val="873"/>
    <w:uiPriority w:val="20"/>
    <w:qFormat/>
    <w:pPr>
      <w:pBdr/>
      <w:spacing/>
      <w:ind/>
    </w:pPr>
    <w:rPr>
      <w:i/>
      <w:iCs/>
    </w:rPr>
  </w:style>
  <w:style w:type="character" w:styleId="896">
    <w:name w:val="Subtle Reference"/>
    <w:basedOn w:val="873"/>
    <w:uiPriority w:val="31"/>
    <w:qFormat/>
    <w:pPr>
      <w:pBdr/>
      <w:spacing/>
      <w:ind/>
    </w:pPr>
    <w:rPr>
      <w:smallCaps/>
      <w:color w:val="5a5a5a" w:themeColor="text1" w:themeTint="A5"/>
    </w:rPr>
  </w:style>
  <w:style w:type="character" w:styleId="897">
    <w:name w:val="Book Title"/>
    <w:basedOn w:val="873"/>
    <w:uiPriority w:val="33"/>
    <w:qFormat/>
    <w:pPr>
      <w:pBdr/>
      <w:spacing/>
      <w:ind/>
    </w:pPr>
    <w:rPr>
      <w:b/>
      <w:bCs/>
      <w:i/>
      <w:iCs/>
      <w:spacing w:val="5"/>
    </w:rPr>
  </w:style>
  <w:style w:type="paragraph" w:styleId="898">
    <w:name w:val="Header"/>
    <w:basedOn w:val="869"/>
    <w:link w:val="899"/>
    <w:uiPriority w:val="99"/>
    <w:unhideWhenUsed/>
    <w:pPr>
      <w:pBdr/>
      <w:tabs>
        <w:tab w:val="center" w:leader="none" w:pos="4844"/>
        <w:tab w:val="right" w:leader="none" w:pos="9689"/>
      </w:tabs>
      <w:spacing w:after="0" w:line="240" w:lineRule="auto"/>
      <w:ind/>
    </w:pPr>
  </w:style>
  <w:style w:type="character" w:styleId="899">
    <w:name w:val="Header Char"/>
    <w:basedOn w:val="873"/>
    <w:link w:val="898"/>
    <w:uiPriority w:val="99"/>
    <w:pPr>
      <w:pBdr/>
      <w:spacing/>
      <w:ind/>
    </w:pPr>
  </w:style>
  <w:style w:type="paragraph" w:styleId="900">
    <w:name w:val="Footer"/>
    <w:basedOn w:val="869"/>
    <w:link w:val="901"/>
    <w:uiPriority w:val="99"/>
    <w:unhideWhenUsed/>
    <w:pPr>
      <w:pBdr/>
      <w:tabs>
        <w:tab w:val="center" w:leader="none" w:pos="4844"/>
        <w:tab w:val="right" w:leader="none" w:pos="9689"/>
      </w:tabs>
      <w:spacing w:after="0" w:line="240" w:lineRule="auto"/>
      <w:ind/>
    </w:pPr>
  </w:style>
  <w:style w:type="character" w:styleId="901">
    <w:name w:val="Footer Char"/>
    <w:basedOn w:val="873"/>
    <w:link w:val="900"/>
    <w:uiPriority w:val="99"/>
    <w:pPr>
      <w:pBdr/>
      <w:spacing/>
      <w:ind/>
    </w:pPr>
  </w:style>
  <w:style w:type="paragraph" w:styleId="902">
    <w:name w:val="Caption"/>
    <w:basedOn w:val="869"/>
    <w:next w:val="869"/>
    <w:uiPriority w:val="35"/>
    <w:unhideWhenUsed/>
    <w:qFormat/>
    <w:pPr>
      <w:pBdr/>
      <w:spacing w:after="200" w:line="240" w:lineRule="auto"/>
      <w:ind/>
    </w:pPr>
    <w:rPr>
      <w:i/>
      <w:iCs/>
      <w:color w:val="0e2841" w:themeColor="text2"/>
      <w:sz w:val="18"/>
      <w:szCs w:val="18"/>
    </w:rPr>
  </w:style>
  <w:style w:type="character" w:styleId="903">
    <w:name w:val="FollowedHyperlink"/>
    <w:basedOn w:val="873"/>
    <w:uiPriority w:val="99"/>
    <w:semiHidden/>
    <w:unhideWhenUsed/>
    <w:pPr>
      <w:pBdr/>
      <w:spacing/>
      <w:ind/>
    </w:pPr>
    <w:rPr>
      <w:color w:val="954f72" w:themeColor="followedHyperlink"/>
      <w:u w:val="single"/>
    </w:rPr>
  </w:style>
  <w:style w:type="paragraph" w:styleId="904">
    <w:name w:val="toc 1"/>
    <w:basedOn w:val="869"/>
    <w:next w:val="869"/>
    <w:uiPriority w:val="39"/>
    <w:unhideWhenUsed/>
    <w:pPr>
      <w:pBdr/>
      <w:spacing w:after="100"/>
      <w:ind/>
    </w:pPr>
  </w:style>
  <w:style w:type="paragraph" w:styleId="905">
    <w:name w:val="toc 2"/>
    <w:basedOn w:val="869"/>
    <w:next w:val="869"/>
    <w:uiPriority w:val="39"/>
    <w:unhideWhenUsed/>
    <w:pPr>
      <w:pBdr/>
      <w:spacing w:after="100"/>
      <w:ind w:left="220"/>
    </w:pPr>
  </w:style>
  <w:style w:type="paragraph" w:styleId="906">
    <w:name w:val="toc 3"/>
    <w:basedOn w:val="869"/>
    <w:next w:val="869"/>
    <w:uiPriority w:val="39"/>
    <w:unhideWhenUsed/>
    <w:pPr>
      <w:pBdr/>
      <w:spacing w:after="100"/>
      <w:ind w:left="440"/>
    </w:pPr>
  </w:style>
  <w:style w:type="paragraph" w:styleId="907">
    <w:name w:val="toc 4"/>
    <w:basedOn w:val="869"/>
    <w:next w:val="869"/>
    <w:uiPriority w:val="39"/>
    <w:unhideWhenUsed/>
    <w:pPr>
      <w:pBdr/>
      <w:spacing w:after="100"/>
      <w:ind w:left="660"/>
    </w:pPr>
  </w:style>
  <w:style w:type="paragraph" w:styleId="908">
    <w:name w:val="toc 5"/>
    <w:basedOn w:val="869"/>
    <w:next w:val="869"/>
    <w:uiPriority w:val="39"/>
    <w:unhideWhenUsed/>
    <w:pPr>
      <w:pBdr/>
      <w:spacing w:after="100"/>
      <w:ind w:left="880"/>
    </w:pPr>
  </w:style>
  <w:style w:type="paragraph" w:styleId="909">
    <w:name w:val="toc 6"/>
    <w:basedOn w:val="869"/>
    <w:next w:val="869"/>
    <w:uiPriority w:val="39"/>
    <w:unhideWhenUsed/>
    <w:pPr>
      <w:pBdr/>
      <w:spacing w:after="100"/>
      <w:ind w:left="1100"/>
    </w:pPr>
  </w:style>
  <w:style w:type="paragraph" w:styleId="910">
    <w:name w:val="toc 7"/>
    <w:basedOn w:val="869"/>
    <w:next w:val="869"/>
    <w:uiPriority w:val="39"/>
    <w:unhideWhenUsed/>
    <w:pPr>
      <w:pBdr/>
      <w:spacing w:after="100"/>
      <w:ind w:left="1320"/>
    </w:pPr>
  </w:style>
  <w:style w:type="paragraph" w:styleId="911">
    <w:name w:val="toc 8"/>
    <w:basedOn w:val="869"/>
    <w:next w:val="869"/>
    <w:uiPriority w:val="39"/>
    <w:unhideWhenUsed/>
    <w:pPr>
      <w:pBdr/>
      <w:spacing w:after="100"/>
      <w:ind w:left="1540"/>
    </w:pPr>
  </w:style>
  <w:style w:type="paragraph" w:styleId="912">
    <w:name w:val="toc 9"/>
    <w:basedOn w:val="869"/>
    <w:next w:val="869"/>
    <w:uiPriority w:val="39"/>
    <w:unhideWhenUsed/>
    <w:pPr>
      <w:pBdr/>
      <w:spacing w:after="100"/>
      <w:ind w:left="1760"/>
    </w:pPr>
  </w:style>
  <w:style w:type="character" w:styleId="913">
    <w:name w:val="Placeholder Text"/>
    <w:basedOn w:val="873"/>
    <w:uiPriority w:val="99"/>
    <w:semiHidden/>
    <w:pPr>
      <w:pBdr/>
      <w:spacing/>
      <w:ind/>
    </w:pPr>
    <w:rPr>
      <w:color w:val="666666"/>
    </w:rPr>
  </w:style>
  <w:style w:type="paragraph" w:styleId="914">
    <w:name w:val="TOC Heading"/>
    <w:uiPriority w:val="39"/>
    <w:unhideWhenUsed/>
    <w:pPr>
      <w:pBdr/>
      <w:spacing/>
      <w:ind/>
    </w:pPr>
  </w:style>
  <w:style w:type="paragraph" w:styleId="915">
    <w:name w:val="table of figures"/>
    <w:basedOn w:val="869"/>
    <w:next w:val="869"/>
    <w:uiPriority w:val="99"/>
    <w:unhideWhenUsed/>
    <w:pPr>
      <w:pBdr/>
      <w:spacing w:after="0" w:afterAutospacing="0"/>
      <w:ind/>
    </w:pPr>
  </w:style>
  <w:style w:type="paragraph" w:styleId="916">
    <w:name w:val="Title"/>
    <w:qFormat/>
    <w:pPr>
      <w:pBdr/>
      <w:spacing/>
      <w:ind/>
    </w:pPr>
    <w:rPr>
      <w:sz w:val="56"/>
      <w:szCs w:val="56"/>
    </w:rPr>
  </w:style>
  <w:style w:type="paragraph" w:styleId="917">
    <w:name w:val="Heading 1"/>
    <w:qFormat/>
    <w:pPr>
      <w:pBdr/>
      <w:spacing/>
      <w:ind/>
    </w:pPr>
    <w:rPr>
      <w:rFonts w:ascii="Calibri" w:hAnsi="Calibri" w:eastAsia="Calibri" w:cs="Calibri"/>
      <w:b/>
      <w:bCs/>
      <w:color w:val="1f4e79"/>
      <w:sz w:val="30"/>
      <w:szCs w:val="30"/>
    </w:rPr>
  </w:style>
  <w:style w:type="paragraph" w:styleId="918">
    <w:name w:val="Heading 2"/>
    <w:qFormat/>
    <w:pPr>
      <w:pBdr/>
      <w:spacing/>
      <w:ind/>
    </w:pPr>
    <w:rPr>
      <w:rFonts w:ascii="Calibri" w:hAnsi="Calibri" w:eastAsia="Calibri" w:cs="Calibri"/>
      <w:b/>
      <w:bCs/>
      <w:color w:val="1f4e79"/>
      <w:sz w:val="25"/>
      <w:szCs w:val="25"/>
    </w:rPr>
  </w:style>
  <w:style w:type="paragraph" w:styleId="919">
    <w:name w:val="Heading 3"/>
    <w:qFormat/>
    <w:pPr>
      <w:pBdr/>
      <w:spacing/>
      <w:ind/>
    </w:pPr>
    <w:rPr>
      <w:rFonts w:ascii="Calibri" w:hAnsi="Calibri" w:eastAsia="Calibri" w:cs="Calibri"/>
      <w:b/>
      <w:bCs/>
      <w:color w:val="1f4e79"/>
      <w:sz w:val="23"/>
      <w:szCs w:val="23"/>
    </w:rPr>
  </w:style>
  <w:style w:type="paragraph" w:styleId="920">
    <w:name w:val="Heading 4"/>
    <w:qFormat/>
    <w:pPr>
      <w:pBdr/>
      <w:spacing/>
      <w:ind/>
    </w:pPr>
    <w:rPr>
      <w:i/>
      <w:iCs/>
      <w:color w:val="2e74b5"/>
    </w:rPr>
  </w:style>
  <w:style w:type="paragraph" w:styleId="921">
    <w:name w:val="Heading 5"/>
    <w:qFormat/>
    <w:pPr>
      <w:pBdr/>
      <w:spacing/>
      <w:ind/>
    </w:pPr>
    <w:rPr>
      <w:color w:val="2e74b5"/>
    </w:rPr>
  </w:style>
  <w:style w:type="paragraph" w:styleId="922">
    <w:name w:val="Heading 6"/>
    <w:qFormat/>
    <w:pPr>
      <w:pBdr/>
      <w:spacing/>
      <w:ind/>
    </w:pPr>
    <w:rPr>
      <w:color w:val="1f4d78"/>
    </w:rPr>
  </w:style>
  <w:style w:type="paragraph" w:styleId="923">
    <w:name w:val="Strong"/>
    <w:qFormat/>
    <w:pPr>
      <w:pBdr/>
      <w:spacing/>
      <w:ind/>
    </w:pPr>
    <w:rPr>
      <w:b/>
      <w:bCs/>
    </w:rPr>
  </w:style>
  <w:style w:type="paragraph" w:styleId="924">
    <w:name w:val="List Paragraph"/>
    <w:qFormat/>
    <w:pPr>
      <w:pBdr/>
      <w:spacing/>
      <w:ind/>
    </w:pPr>
  </w:style>
  <w:style w:type="character" w:styleId="925">
    <w:name w:val="Hyperlink"/>
    <w:uiPriority w:val="99"/>
    <w:unhideWhenUsed/>
    <w:pPr>
      <w:pBdr/>
      <w:spacing/>
      <w:ind/>
    </w:pPr>
    <w:rPr>
      <w:color w:val="0563c1"/>
      <w:u w:val="single"/>
    </w:rPr>
  </w:style>
  <w:style w:type="character" w:styleId="926">
    <w:name w:val="footnote reference"/>
    <w:uiPriority w:val="99"/>
    <w:semiHidden/>
    <w:unhideWhenUsed/>
    <w:pPr>
      <w:pBdr/>
      <w:spacing/>
      <w:ind/>
    </w:pPr>
    <w:rPr>
      <w:vertAlign w:val="superscript"/>
    </w:rPr>
  </w:style>
  <w:style w:type="paragraph" w:styleId="927">
    <w:name w:val="footnote text"/>
    <w:link w:val="928"/>
    <w:uiPriority w:val="99"/>
    <w:semiHidden/>
    <w:unhideWhenUsed/>
    <w:pPr>
      <w:pBdr/>
      <w:spacing w:after="0" w:line="240" w:lineRule="auto"/>
      <w:ind/>
    </w:pPr>
    <w:rPr>
      <w:sz w:val="20"/>
      <w:szCs w:val="20"/>
    </w:rPr>
  </w:style>
  <w:style w:type="character" w:styleId="928">
    <w:name w:val="Footnote Text Char"/>
    <w:link w:val="927"/>
    <w:uiPriority w:val="99"/>
    <w:semiHidden/>
    <w:unhideWhenUsed/>
    <w:pPr>
      <w:pBdr/>
      <w:spacing/>
      <w:ind/>
    </w:pPr>
    <w:rPr>
      <w:sz w:val="20"/>
      <w:szCs w:val="20"/>
    </w:rPr>
  </w:style>
  <w:style w:type="character" w:styleId="929">
    <w:name w:val="endnote reference"/>
    <w:uiPriority w:val="99"/>
    <w:semiHidden/>
    <w:unhideWhenUsed/>
    <w:pPr>
      <w:pBdr/>
      <w:spacing/>
      <w:ind/>
    </w:pPr>
    <w:rPr>
      <w:vertAlign w:val="superscript"/>
    </w:rPr>
  </w:style>
  <w:style w:type="paragraph" w:styleId="930">
    <w:name w:val="endnote text"/>
    <w:link w:val="931"/>
    <w:uiPriority w:val="99"/>
    <w:semiHidden/>
    <w:unhideWhenUsed/>
    <w:pPr>
      <w:pBdr/>
      <w:spacing w:after="0" w:line="240" w:lineRule="auto"/>
      <w:ind/>
    </w:pPr>
    <w:rPr>
      <w:sz w:val="20"/>
      <w:szCs w:val="20"/>
    </w:rPr>
  </w:style>
  <w:style w:type="character" w:styleId="931">
    <w:name w:val="Endnote Text Char"/>
    <w:link w:val="930"/>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image" Target="media/image1.png"/><Relationship Id="rId13"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Selección de Metodología y Modelo de Ciclo de Vida — AbasteceNi</dc:title>
  <dc:creator>Edith Yasohara Roda Hernández · Pedro José Miranda Gómez</dc:creator>
  <dc:description>Entregable 4 de la serie documental AbasteceNi. Grupo 4S1-COM, Ingeniería de Software I, UNI.</dc:description>
  <cp:revision>5</cp:revision>
  <dcterms:created xsi:type="dcterms:W3CDTF">2026-09-24T02:36:09Z</dcterms:created>
  <dcterms:modified xsi:type="dcterms:W3CDTF">2026-10-03T18:03:29Z</dcterms:modified>
</cp:coreProperties>
</file>