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center"/>
      </w:pPr>
      <w:r>
        <w:rPr>
          <w:rFonts w:ascii="Calibri" w:cs="Calibri" w:eastAsia="Calibri" w:hAnsi="Calibri"/>
          <w:b/>
          <w:bCs/>
          <w:sz w:val="26"/>
          <w:szCs w:val="26"/>
        </w:rPr>
        <w:t xml:space="preserve">UNIVERSIDAD NACIONAL DE INGENIERÍA</w:t>
      </w:r>
    </w:p>
    <w:p>
      <w:pPr>
        <w:spacing w:after="80" w:before="0" w:line="276"/>
        <w:jc w:val="center"/>
      </w:pPr>
      <w:r>
        <w:rPr>
          <w:rFonts w:ascii="Calibri" w:cs="Calibri" w:eastAsia="Calibri" w:hAnsi="Calibri"/>
          <w:b/>
          <w:bCs/>
          <w:sz w:val="26"/>
          <w:szCs w:val="26"/>
        </w:rPr>
        <w:t xml:space="preserve">ÁREA DACTIC</w:t>
      </w:r>
    </w:p>
    <w:p>
      <w:pPr>
        <w:spacing w:after="80" w:before="0" w:line="276"/>
        <w:jc w:val="center"/>
      </w:pPr>
      <w:r>
        <w:rPr>
          <w:rFonts w:ascii="Calibri" w:cs="Calibri" w:eastAsia="Calibri" w:hAnsi="Calibri"/>
          <w:b w:val="false"/>
          <w:bCs w:val="false"/>
          <w:sz w:val="26"/>
          <w:szCs w:val="26"/>
        </w:rPr>
        <w:t xml:space="preserve">Programa Académico de Ingeniería en Computación</w:t>
      </w:r>
    </w:p>
    <w:p>
      <w:pPr>
        <w:spacing w:after="80" w:before="0" w:line="276"/>
        <w:jc w:val="center"/>
      </w:pPr>
      <w:r>
        <w:rPr>
          <w:rFonts w:ascii="Calibri" w:cs="Calibri" w:eastAsia="Calibri" w:hAnsi="Calibri"/>
          <w:b/>
          <w:bCs/>
          <w:sz w:val="24"/>
          <w:szCs w:val="24"/>
        </w:rPr>
        <w:t xml:space="preserve">INGENIERÍA DE SOFTWARE I</w:t>
      </w:r>
    </w:p>
    <w:p>
      <w:pPr>
        <w:spacing w:after="600" w:before="0" w:line="276"/>
        <w:jc w:val="both"/>
      </w:pPr>
      <w:r>
        <w:rPr>
          <w:rFonts w:ascii="Calibri" w:cs="Calibri" w:eastAsia="Calibri" w:hAnsi="Calibri"/>
          <w:sz w:val="22"/>
          <w:szCs w:val="22"/>
        </w:rPr>
        <w:t xml:space="preserve"/>
      </w:r>
    </w:p>
    <w:p>
      <w:pPr>
        <w:spacing w:after="80" w:before="0" w:line="276"/>
        <w:jc w:val="center"/>
      </w:pPr>
      <w:r>
        <w:rPr>
          <w:rFonts w:ascii="Calibri" w:cs="Calibri" w:eastAsia="Calibri" w:hAnsi="Calibri"/>
          <w:b/>
          <w:bCs/>
          <w:sz w:val="36"/>
          <w:szCs w:val="36"/>
        </w:rPr>
        <w:t xml:space="preserve">INFORME TÉCNICO DEL ESCENARIO DE RED</w:t>
      </w:r>
    </w:p>
    <w:p>
      <w:pPr>
        <w:spacing w:after="300" w:before="0" w:line="276"/>
        <w:jc w:val="center"/>
      </w:pPr>
      <w:r>
        <w:rPr>
          <w:rFonts w:ascii="Calibri" w:cs="Calibri" w:eastAsia="Calibri" w:hAnsi="Calibri"/>
          <w:sz w:val="26"/>
          <w:szCs w:val="26"/>
        </w:rPr>
        <w:t xml:space="preserve">Estructura física de la sede y topología de red en la nube</w:t>
      </w:r>
    </w:p>
    <w:p>
      <w:pPr>
        <w:spacing w:after="60" w:before="0" w:line="276"/>
        <w:jc w:val="center"/>
      </w:pPr>
      <w:r>
        <w:rPr>
          <w:rFonts w:ascii="Calibri" w:cs="Calibri" w:eastAsia="Calibri" w:hAnsi="Calibri"/>
          <w:sz w:val="24"/>
          <w:szCs w:val="24"/>
        </w:rPr>
        <w:t xml:space="preserve">Plataforma Web B2B de Emparejamiento Comercial «AbasteceNi»</w:t>
      </w:r>
    </w:p>
    <w:p>
      <w:pPr>
        <w:spacing w:after="500" w:before="0" w:line="276"/>
        <w:jc w:val="center"/>
      </w:pPr>
      <w:r>
        <w:rPr>
          <w:rFonts w:ascii="Calibri" w:cs="Calibri" w:eastAsia="Calibri" w:hAnsi="Calibri"/>
          <w:i/>
          <w:iCs/>
          <w:sz w:val="22"/>
          <w:szCs w:val="22"/>
        </w:rPr>
        <w:t xml:space="preserve">Empresa simulada AbasteceNi, S.A. — Informe 5 de la fase de desarrollo</w:t>
      </w:r>
    </w:p>
    <w:p>
      <w:pPr>
        <w:spacing w:after="60" w:before="0" w:line="276"/>
        <w:jc w:val="center"/>
      </w:pPr>
      <w:r>
        <w:rPr>
          <w:rFonts w:ascii="Calibri" w:cs="Calibri" w:eastAsia="Calibri" w:hAnsi="Calibri"/>
          <w:b/>
          <w:bCs/>
          <w:sz w:val="22"/>
          <w:szCs w:val="22"/>
        </w:rPr>
        <w:t xml:space="preserve">Marco normativo rector</w:t>
      </w:r>
    </w:p>
    <w:p>
      <w:pPr>
        <w:spacing w:after="40" w:before="0" w:line="276"/>
        <w:jc w:val="center"/>
      </w:pPr>
      <w:r>
        <w:rPr>
          <w:rFonts w:ascii="Calibri" w:cs="Calibri" w:eastAsia="Calibri" w:hAnsi="Calibri"/>
          <w:sz w:val="20"/>
          <w:szCs w:val="20"/>
        </w:rPr>
        <w:t xml:space="preserve">ISO/IEC 11801-1:2017 y ANSI/TIA-568.2-D — cableado estructurado genérico</w:t>
      </w:r>
    </w:p>
    <w:p>
      <w:pPr>
        <w:spacing w:after="40" w:before="0" w:line="276"/>
        <w:jc w:val="center"/>
      </w:pPr>
      <w:r>
        <w:rPr>
          <w:rFonts w:ascii="Calibri" w:cs="Calibri" w:eastAsia="Calibri" w:hAnsi="Calibri"/>
          <w:sz w:val="20"/>
          <w:szCs w:val="20"/>
        </w:rPr>
        <w:t xml:space="preserve">ISO/IEC 27001:2022 Anexo A (7.8, 7.11, 7.12, 8.20 a 8.22, 5.23) e ISO/IEC 27033 — seguridad de redes</w:t>
      </w:r>
    </w:p>
    <w:p>
      <w:pPr>
        <w:spacing w:after="40" w:before="0" w:line="276"/>
        <w:jc w:val="center"/>
      </w:pPr>
      <w:r>
        <w:rPr>
          <w:rFonts w:ascii="Calibri" w:cs="Calibri" w:eastAsia="Calibri" w:hAnsi="Calibri"/>
          <w:sz w:val="20"/>
          <w:szCs w:val="20"/>
        </w:rPr>
        <w:t xml:space="preserve">ISO/IEC 27017:2015 e ISO/IEC 27018:2019 — servicios en la nube y datos personales en la nube</w:t>
      </w:r>
    </w:p>
    <w:p>
      <w:pPr>
        <w:spacing w:after="40" w:before="0" w:line="276"/>
        <w:jc w:val="center"/>
      </w:pPr>
      <w:r>
        <w:rPr>
          <w:rFonts w:ascii="Calibri" w:cs="Calibri" w:eastAsia="Calibri" w:hAnsi="Calibri"/>
          <w:sz w:val="20"/>
          <w:szCs w:val="20"/>
        </w:rPr>
        <w:t xml:space="preserve">Serie AbasteceNi: D1 (RO-02, RO-03, RO-04, RO-06), D3 (V-04), D5 (MD-05)</w:t>
      </w:r>
    </w:p>
    <w:p>
      <w:pPr>
        <w:spacing w:after="400" w:before="0" w:line="276"/>
        <w:jc w:val="both"/>
      </w:pPr>
      <w:r>
        <w:rPr>
          <w:rFonts w:ascii="Calibri" w:cs="Calibri" w:eastAsia="Calibri" w:hAnsi="Calibri"/>
          <w:sz w:val="22"/>
          <w:szCs w:val="22"/>
        </w:rPr>
        <w:t xml:space="preserve"/>
      </w:r>
    </w:p>
    <w:p>
      <w:pPr>
        <w:spacing w:after="60" w:before="0" w:line="276"/>
        <w:jc w:val="center"/>
      </w:pPr>
      <w:r>
        <w:rPr>
          <w:rFonts w:ascii="Calibri" w:cs="Calibri" w:eastAsia="Calibri" w:hAnsi="Calibri"/>
          <w:b/>
          <w:bCs/>
          <w:sz w:val="22"/>
          <w:szCs w:val="22"/>
        </w:rPr>
        <w:t xml:space="preserve">Integrantes</w:t>
      </w:r>
    </w:p>
    <w:p>
      <w:pPr>
        <w:spacing w:after="40" w:before="0" w:line="276"/>
        <w:jc w:val="center"/>
      </w:pPr>
      <w:r>
        <w:rPr>
          <w:rFonts w:ascii="Calibri" w:cs="Calibri" w:eastAsia="Calibri" w:hAnsi="Calibri"/>
          <w:sz w:val="22"/>
          <w:szCs w:val="22"/>
        </w:rPr>
        <w:t xml:space="preserve">Edith Yasohara Roda Hernández — 2023-0752U</w:t>
      </w:r>
    </w:p>
    <w:p>
      <w:pPr>
        <w:spacing w:after="200" w:before="0" w:line="276"/>
        <w:jc w:val="center"/>
      </w:pPr>
      <w:r>
        <w:rPr>
          <w:rFonts w:ascii="Calibri" w:cs="Calibri" w:eastAsia="Calibri" w:hAnsi="Calibri"/>
          <w:sz w:val="22"/>
          <w:szCs w:val="22"/>
        </w:rPr>
        <w:t xml:space="preserve">Pedro José Miranda Gómez — 2022-0288U</w:t>
      </w:r>
    </w:p>
    <w:p>
      <w:pPr>
        <w:spacing w:after="0" w:before="0" w:line="276"/>
        <w:jc w:val="center"/>
      </w:pPr>
      <w:r>
        <w:rPr>
          <w:rFonts w:ascii="Calibri" w:cs="Calibri" w:eastAsia="Calibri" w:hAnsi="Calibri"/>
          <w:sz w:val="22"/>
          <w:szCs w:val="22"/>
        </w:rPr>
        <w:t xml:space="preserve">Grupo: 4S1-COM · Versión 1.0 · 17 de octubre de 2026</w:t>
      </w:r>
    </w:p>
    <w:p>
      <w:r>
        <w:br w:type="page"/>
      </w:r>
    </w:p>
    <w:p>
      <w:pPr>
        <w:spacing w:after="140" w:before="0" w:line="276"/>
        <w:jc w:val="left"/>
      </w:pPr>
      <w:r>
        <w:rPr>
          <w:rFonts w:ascii="Calibri" w:cs="Calibri" w:eastAsia="Calibri" w:hAnsi="Calibri"/>
          <w:b/>
          <w:bCs/>
          <w:color w:val="1F3864"/>
          <w:sz w:val="30"/>
          <w:szCs w:val="30"/>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pPr>
        <w:spacing w:after="140" w:before="0" w:line="276"/>
        <w:jc w:val="left"/>
      </w:pPr>
      <w:r>
        <w:rPr>
          <w:rFonts w:ascii="Calibri" w:cs="Calibri" w:eastAsia="Calibri" w:hAnsi="Calibri"/>
          <w:i/>
          <w:iCs/>
          <w:color w:val="808080"/>
          <w:sz w:val="18"/>
          <w:szCs w:val="18"/>
        </w:rPr>
        <w:t xml:space="preserve">Si el índice aparece vacío, haga clic derecho sobre él y elija «Actualizar campo».</w:t>
      </w:r>
    </w:p>
    <w:p>
      <w:r>
        <w:br w:type="page"/>
      </w:r>
    </w:p>
    <w:p>
      <w:pPr>
        <w:sectPr>
          <w:pgSz w:w="12240" w:h="15840" w:orient="portrait"/>
          <w:pgMar w:top="1300" w:right="1440" w:bottom="1300" w:left="1440" w:header="708" w:footer="708" w:gutter="0"/>
          <w:pgNumType/>
          <w:docGrid w:linePitch="360"/>
        </w:sectPr>
      </w:pPr>
    </w:p>
    <w:p>
      <w:pPr>
        <w:pStyle w:val="Heading1"/>
        <w:spacing w:before="360" w:after="180"/>
      </w:pPr>
      <w:r>
        <w:rPr>
          <w:rFonts w:ascii="Calibri" w:cs="Calibri" w:eastAsia="Calibri" w:hAnsi="Calibri"/>
          <w:b/>
          <w:bCs/>
          <w:color w:val="1F3864"/>
          <w:sz w:val="30"/>
          <w:szCs w:val="30"/>
        </w:rPr>
        <w:t xml:space="preserve">1. Introducción</w:t>
      </w:r>
    </w:p>
    <w:p>
      <w:pPr>
        <w:pStyle w:val="Heading2"/>
        <w:keepNext/>
        <w:spacing w:before="260" w:after="140"/>
      </w:pPr>
      <w:r>
        <w:rPr>
          <w:rFonts w:ascii="Calibri" w:cs="Calibri" w:eastAsia="Calibri" w:hAnsi="Calibri"/>
          <w:b/>
          <w:bCs/>
          <w:color w:val="1F3864"/>
          <w:sz w:val="25"/>
          <w:szCs w:val="25"/>
        </w:rPr>
        <w:t xml:space="preserve">1.1 Propósito del documento</w:t>
      </w:r>
    </w:p>
    <w:p>
      <w:pPr>
        <w:spacing w:after="140" w:before="0" w:line="276"/>
        <w:jc w:val="both"/>
      </w:pPr>
      <w:r>
        <w:rPr>
          <w:rFonts w:ascii="Calibri" w:cs="Calibri" w:eastAsia="Calibri" w:hAnsi="Calibri"/>
          <w:sz w:val="22"/>
          <w:szCs w:val="22"/>
        </w:rPr>
        <w:t xml:space="preserve">Este informe describe el escenario de red sobre el que opera la plataforma AbasteceNi con un modelado físico, no lógico: qué equipos existen, dónde están, con qué medio y por qué puerto se conectan, y cómo se direcciona y se protege el tráfico entre ellos. Cubre los dos ámbitos en que la organización tiene infraestructura: la sede de Chinandega, donde trabajan las siete personas de la plantilla, y la nube pública donde se alojan los servidores de la plataforma.</w:t>
      </w:r>
    </w:p>
    <w:p>
      <w:pPr>
        <w:spacing w:after="140" w:before="0" w:line="276"/>
        <w:jc w:val="both"/>
      </w:pPr>
      <w:r>
        <w:rPr>
          <w:rFonts w:ascii="Calibri" w:cs="Calibri" w:eastAsia="Calibri" w:hAnsi="Calibri"/>
          <w:sz w:val="22"/>
          <w:szCs w:val="22"/>
        </w:rPr>
        <w:t xml:space="preserve">El informe no introduce decisiones de arquitectura nuevas. Toma como entrada la vista de despliegue V-04 del documento 3 y el modelo de despliegue MD-05 del documento 5, y los realiza sobre una infraestructura concreta. La única decisión nueva, el alojamiento en la nube pública de Microsoft Azure, se registra como ADR-09 en el registro vivo de decisiones del repositorio (PR-11) y se justifica en la sección 2.1.</w:t>
      </w:r>
    </w:p>
    <w:p>
      <w:pPr>
        <w:pStyle w:val="Heading2"/>
        <w:keepNext/>
        <w:spacing w:before="260" w:after="140"/>
      </w:pPr>
      <w:r>
        <w:rPr>
          <w:rFonts w:ascii="Calibri" w:cs="Calibri" w:eastAsia="Calibri" w:hAnsi="Calibri"/>
          <w:b/>
          <w:bCs/>
          <w:color w:val="1F3864"/>
          <w:sz w:val="25"/>
          <w:szCs w:val="25"/>
        </w:rPr>
        <w:t xml:space="preserve">1.2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Aspecto</w:t>
            </w:r>
          </w:p>
        </w:tc>
        <w:tc>
          <w:tcPr>
            <w:tcW w:type="dxa" w:w="756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Delimitación</w:t>
            </w:r>
          </w:p>
        </w:tc>
      </w:tr>
      <w:tr>
        <w:trPr>
          <w:cantSplit/>
          <w:tblHeader w:val="false"/>
        </w:trPr>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Incluido</w:t>
            </w:r>
          </w:p>
        </w:tc>
        <w:tc>
          <w:tcPr>
            <w:tcW w:type="dxa" w:w="7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Topología física de la sede: equipos activos y pasivos, cableado, puertos, etiquetado, alimentación eléctrica y red inalámbrica.</w:t>
            </w:r>
          </w:p>
        </w:tc>
      </w:tr>
      <w:tr>
        <w:trPr>
          <w:cantSplit/>
          <w:tblHeader w:val="false"/>
        </w:trPr>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Incluido</w:t>
            </w:r>
          </w:p>
        </w:tc>
        <w:tc>
          <w:tcPr>
            <w:tcW w:type="dxa" w:w="7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Segmentación por VLAN, direccionamiento IP y reglas de filtrado entre segmentos.</w:t>
            </w:r>
          </w:p>
        </w:tc>
      </w:tr>
      <w:tr>
        <w:trPr>
          <w:cantSplit/>
          <w:tblHeader w:val="false"/>
        </w:trPr>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Incluido</w:t>
            </w:r>
          </w:p>
        </w:tc>
        <w:tc>
          <w:tcPr>
            <w:tcW w:type="dxa" w:w="7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Topología de red en la nube: red virtual, subredes, servicios gestionados, puntos de entrada y salida, y flujos permitidos.</w:t>
            </w:r>
          </w:p>
        </w:tc>
      </w:tr>
      <w:tr>
        <w:trPr>
          <w:cantSplit/>
          <w:tblHeader w:val="false"/>
        </w:trPr>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Incluido</w:t>
            </w:r>
          </w:p>
        </w:tc>
        <w:tc>
          <w:tcPr>
            <w:tcW w:type="dxa" w:w="7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Correspondencia con MD-05 y V-04, controles de seguridad de red y continuidad.</w:t>
            </w:r>
          </w:p>
        </w:tc>
      </w:tr>
      <w:tr>
        <w:trPr>
          <w:cantSplit/>
          <w:tblHeader w:val="false"/>
        </w:trPr>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Incluido</w:t>
            </w:r>
          </w:p>
        </w:tc>
        <w:tc>
          <w:tcPr>
            <w:tcW w:type="dxa" w:w="7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Una simulación reproducible de la red de la sede en Cisco Packet Tracer (Anexo A).</w:t>
            </w:r>
          </w:p>
        </w:tc>
      </w:tr>
      <w:tr>
        <w:trPr>
          <w:cantSplit/>
          <w:tblHeader w:val="false"/>
        </w:trPr>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Excluido</w:t>
            </w:r>
          </w:p>
        </w:tc>
        <w:tc>
          <w:tcPr>
            <w:tcW w:type="dxa" w:w="7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El aprovisionamiento efectivo de los recursos en Azure. Los recursos se dimensionan para el plan de iteraciones del documento 4 y se aprovisionan cuando la iteración correspondiente lo requiere (sección 2.7).</w:t>
            </w:r>
          </w:p>
        </w:tc>
      </w:tr>
      <w:tr>
        <w:trPr>
          <w:cantSplit/>
          <w:tblHeader w:val="false"/>
        </w:trPr>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Excluido</w:t>
            </w:r>
          </w:p>
        </w:tc>
        <w:tc>
          <w:tcPr>
            <w:tcW w:type="dxa" w:w="7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La adquisición de equipos. Los modelos citados son de referencia: lo vinculante es la especificación funcional de cada equipo, que admite sustitutos equivalentes.</w:t>
            </w:r>
          </w:p>
        </w:tc>
      </w:tr>
    </w:tbl>
    <w:p>
      <w:pPr>
        <w:spacing w:after="120"/>
      </w:pPr>
    </w:p>
    <w:p>
      <w:pPr>
        <w:pStyle w:val="Heading2"/>
        <w:keepNext/>
        <w:spacing w:before="260" w:after="140"/>
      </w:pPr>
      <w:r>
        <w:rPr>
          <w:rFonts w:ascii="Calibri" w:cs="Calibri" w:eastAsia="Calibri" w:hAnsi="Calibri"/>
          <w:b/>
          <w:bCs/>
          <w:color w:val="1F3864"/>
          <w:sz w:val="25"/>
          <w:szCs w:val="25"/>
        </w:rPr>
        <w:t xml:space="preserve">1.3 Insumos heredados de la serie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cantSplit/>
          <w:tblHeader/>
        </w:trPr>
        <w:tc>
          <w:tcPr>
            <w:tcW w:type="dxa" w:w="30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Insumo</w:t>
            </w:r>
          </w:p>
        </w:tc>
        <w:tc>
          <w:tcPr>
            <w:tcW w:type="dxa" w:w="15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Origen</w:t>
            </w:r>
          </w:p>
        </w:tc>
        <w:tc>
          <w:tcPr>
            <w:tcW w:type="dxa" w:w="486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Consecuencia sobre la red</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RO-02: no existe personal de operación de infraestructura</w:t>
            </w:r>
          </w:p>
        </w:tc>
        <w:tc>
          <w:tcPr>
            <w:tcW w:type="dxa" w:w="1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D1 §2.12</w:t>
            </w:r>
          </w:p>
        </w:tc>
        <w:tc>
          <w:tcPr>
            <w:tcW w:type="dxa" w:w="4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La operación debe ser desatendida. Se prefieren servicios gestionados a servidores propios.</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RO-03: sin presupuesto de licencias; costo de infraestructura ≤ 10 % del ingreso por comisión</w:t>
            </w:r>
          </w:p>
        </w:tc>
        <w:tc>
          <w:tcPr>
            <w:tcW w:type="dxa" w:w="1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D1 §2.12; O-NEG-05</w:t>
            </w:r>
          </w:p>
        </w:tc>
        <w:tc>
          <w:tcPr>
            <w:tcW w:type="dxa" w:w="4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Equipos de red sin licencias por usuario; servicios de nube de capa gratuita o de costo marginal.</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RO-04: segregación entre quien construye (U-01) y quien administra el mercado (U-02)</w:t>
            </w:r>
          </w:p>
        </w:tc>
        <w:tc>
          <w:tcPr>
            <w:tcW w:type="dxa" w:w="1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D1 §2.12</w:t>
            </w:r>
          </w:p>
        </w:tc>
        <w:tc>
          <w:tcPr>
            <w:tcW w:type="dxa" w:w="4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Segmentos de red separados por unidad, y control de acceso por rol en la nube.</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RO-06: operación sobre redes celulares degradadas</w:t>
            </w:r>
          </w:p>
        </w:tc>
        <w:tc>
          <w:tcPr>
            <w:tcW w:type="dxa" w:w="1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D1 §2.12</w:t>
            </w:r>
          </w:p>
        </w:tc>
        <w:tc>
          <w:tcPr>
            <w:tcW w:type="dxa" w:w="4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El punto de entrada debe estar cerca del usuario (CDN) y la sede necesita un enlace de respaldo.</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V-04 y MD-05: balanceador con TLS 1.3 y límite por IP, instancias sin estado, trabajador, base primaria con réplica, caché, almacén de objetos</w:t>
            </w:r>
          </w:p>
        </w:tc>
        <w:tc>
          <w:tcPr>
            <w:tcW w:type="dxa" w:w="1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D3 §2.9.4; D5 §2.12.5</w:t>
            </w:r>
          </w:p>
        </w:tc>
        <w:tc>
          <w:tcPr>
            <w:tcW w:type="dxa" w:w="4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Define los nodos que la topología en la nube debe realizar uno a uno.</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SYS-NFN-01 a 04, 13 y 14</w:t>
            </w:r>
          </w:p>
        </w:tc>
        <w:tc>
          <w:tcPr>
            <w:tcW w:type="dxa" w:w="1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D2 §3</w:t>
            </w:r>
          </w:p>
        </w:tc>
        <w:tc>
          <w:tcPr>
            <w:tcW w:type="dxa" w:w="4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Cifrado en reposo, TLS 1.3, límite de 120 peticiones por minuto, retención de 90 días y 7 años, disponibilidad del 99,0 % y respaldos.</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ADR-08: límite de peticiones en dos niveles</w:t>
            </w:r>
          </w:p>
        </w:tc>
        <w:tc>
          <w:tcPr>
            <w:tcW w:type="dxa" w:w="1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Registro de decisiones</w:t>
            </w:r>
          </w:p>
        </w:tc>
        <w:tc>
          <w:tcPr>
            <w:tcW w:type="dxa" w:w="4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El balanceador aplica el límite por IP, y la capa 2 lo verifica con un contador en PostgreSQL.</w:t>
            </w:r>
          </w:p>
        </w:tc>
      </w:tr>
    </w:tbl>
    <w:p>
      <w:pPr>
        <w:spacing w:after="120"/>
      </w:pPr>
    </w:p>
    <w:p>
      <w:pPr>
        <w:pStyle w:val="Heading2"/>
        <w:keepNext/>
        <w:spacing w:before="260" w:after="140"/>
      </w:pPr>
      <w:r>
        <w:rPr>
          <w:rFonts w:ascii="Calibri" w:cs="Calibri" w:eastAsia="Calibri" w:hAnsi="Calibri"/>
          <w:b/>
          <w:bCs/>
          <w:color w:val="1F3864"/>
          <w:sz w:val="25"/>
          <w:szCs w:val="25"/>
        </w:rPr>
        <w:t xml:space="preserve">1.4 Normas aplicables</w:t>
      </w:r>
    </w:p>
    <w:p>
      <w:pPr>
        <w:spacing w:after="140" w:before="0" w:line="276"/>
        <w:jc w:val="both"/>
      </w:pPr>
      <w:r>
        <w:rPr>
          <w:rFonts w:ascii="Calibri" w:cs="Calibri" w:eastAsia="Calibri" w:hAnsi="Calibri"/>
          <w:sz w:val="22"/>
          <w:szCs w:val="22"/>
        </w:rPr>
        <w:t xml:space="preserve">Toda la fase de desarrollo se realiza conforme a normas. Las que gobiernan este informe son las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860"/>
      </w:tblGrid>
      <w:tr>
        <w:trPr>
          <w:cantSplit/>
          <w:tblHeader/>
        </w:trPr>
        <w:tc>
          <w:tcPr>
            <w:tcW w:type="dxa" w:w="26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Norma</w:t>
            </w:r>
          </w:p>
        </w:tc>
        <w:tc>
          <w:tcPr>
            <w:tcW w:type="dxa" w:w="49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Qué regula</w:t>
            </w:r>
          </w:p>
        </w:tc>
        <w:tc>
          <w:tcPr>
            <w:tcW w:type="dxa" w:w="186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Dónde se aplica</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ISO/IEC 11801-1:2017</w:t>
            </w:r>
          </w:p>
        </w:tc>
        <w:tc>
          <w:tcPr>
            <w:tcW w:type="dxa" w:w="4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Cableado estructurado genérico para locales de oficina: topología, clases de canal y longitudes.</w:t>
            </w:r>
          </w:p>
        </w:tc>
        <w:tc>
          <w:tcPr>
            <w:tcW w:type="dxa" w:w="1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§2.2.3</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ANSI/TIA-568.2-D</w:t>
            </w:r>
          </w:p>
        </w:tc>
        <w:tc>
          <w:tcPr>
            <w:tcW w:type="dxa" w:w="4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Componentes y desempeño del cableado de par trenzado de categoría 6.</w:t>
            </w:r>
          </w:p>
        </w:tc>
        <w:tc>
          <w:tcPr>
            <w:tcW w:type="dxa" w:w="1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§2.2.3</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ANSI/TIA-569</w:t>
            </w:r>
          </w:p>
        </w:tc>
        <w:tc>
          <w:tcPr>
            <w:tcW w:type="dxa" w:w="4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Canalizaciones y espacios de telecomunicaciones.</w:t>
            </w:r>
          </w:p>
        </w:tc>
        <w:tc>
          <w:tcPr>
            <w:tcW w:type="dxa" w:w="1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§2.2.1</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ANSI/TIA-606</w:t>
            </w:r>
          </w:p>
        </w:tc>
        <w:tc>
          <w:tcPr>
            <w:tcW w:type="dxa" w:w="4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Administración y etiquetado de la infraestructura de telecomunicaciones.</w:t>
            </w:r>
          </w:p>
        </w:tc>
        <w:tc>
          <w:tcPr>
            <w:tcW w:type="dxa" w:w="1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§2.2.3</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ANSI/TIA-607</w:t>
            </w:r>
          </w:p>
        </w:tc>
        <w:tc>
          <w:tcPr>
            <w:tcW w:type="dxa" w:w="4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Puesta a tierra y equipotencialidad de telecomunicaciones.</w:t>
            </w:r>
          </w:p>
        </w:tc>
        <w:tc>
          <w:tcPr>
            <w:tcW w:type="dxa" w:w="1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§2.2.1</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IEEE 802.3 (802.3ab, 802.3at)</w:t>
            </w:r>
          </w:p>
        </w:tc>
        <w:tc>
          <w:tcPr>
            <w:tcW w:type="dxa" w:w="4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Ethernet de 1 Gb/s sobre cobre y alimentación por Ethernet.</w:t>
            </w:r>
          </w:p>
        </w:tc>
        <w:tc>
          <w:tcPr>
            <w:tcW w:type="dxa" w:w="1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§2.2</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IEEE 802.1Q</w:t>
            </w:r>
          </w:p>
        </w:tc>
        <w:tc>
          <w:tcPr>
            <w:tcW w:type="dxa" w:w="4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Redes de área local virtuales y enlaces troncales.</w:t>
            </w:r>
          </w:p>
        </w:tc>
        <w:tc>
          <w:tcPr>
            <w:tcW w:type="dxa" w:w="1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§2.2.4</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IEEE 802.11ax y WPA3</w:t>
            </w:r>
          </w:p>
        </w:tc>
        <w:tc>
          <w:tcPr>
            <w:tcW w:type="dxa" w:w="4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Red inalámbrica Wi-Fi 6 y su protección.</w:t>
            </w:r>
          </w:p>
        </w:tc>
        <w:tc>
          <w:tcPr>
            <w:tcW w:type="dxa" w:w="1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§2.2.5</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ISO/IEC 27001:2022, Anexo A</w:t>
            </w:r>
          </w:p>
        </w:tc>
        <w:tc>
          <w:tcPr>
            <w:tcW w:type="dxa" w:w="4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Controles 5.23 (servicios en la nube), 7.8, 7.11 y 7.12 (equipos, suministros y cableado), 8.13 y 8.14 (respaldo y redundancia), 8.20, 8.21 y 8.22 (seguridad y segregación de redes).</w:t>
            </w:r>
          </w:p>
        </w:tc>
        <w:tc>
          <w:tcPr>
            <w:tcW w:type="dxa" w:w="1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§2.5</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ISO/IEC 27033 (partes 1 a 3)</w:t>
            </w:r>
          </w:p>
        </w:tc>
        <w:tc>
          <w:tcPr>
            <w:tcW w:type="dxa" w:w="4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Seguridad de redes: conceptos, diseño y escenarios de referencia.</w:t>
            </w:r>
          </w:p>
        </w:tc>
        <w:tc>
          <w:tcPr>
            <w:tcW w:type="dxa" w:w="1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§2.2.4 y §2.5</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ISO/IEC 27017:2015</w:t>
            </w:r>
          </w:p>
        </w:tc>
        <w:tc>
          <w:tcPr>
            <w:tcW w:type="dxa" w:w="4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Controles de seguridad para servicios en la nube.</w:t>
            </w:r>
          </w:p>
        </w:tc>
        <w:tc>
          <w:tcPr>
            <w:tcW w:type="dxa" w:w="1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§2.3 y §2.5</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ISO/IEC 27018:2019</w:t>
            </w:r>
          </w:p>
        </w:tc>
        <w:tc>
          <w:tcPr>
            <w:tcW w:type="dxa" w:w="4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Protección de datos personales en la nube pública.</w:t>
            </w:r>
          </w:p>
        </w:tc>
        <w:tc>
          <w:tcPr>
            <w:tcW w:type="dxa" w:w="1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§2.3 y §2.5</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ISO/IEC 17789:2014 e ISO/IEC 22123-1</w:t>
            </w:r>
          </w:p>
        </w:tc>
        <w:tc>
          <w:tcPr>
            <w:tcW w:type="dxa" w:w="4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Arquitectura de referencia y vocabulario de computación en la nube.</w:t>
            </w:r>
          </w:p>
        </w:tc>
        <w:tc>
          <w:tcPr>
            <w:tcW w:type="dxa" w:w="1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§2.1</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Ley No. 787 de Nicaragua</w:t>
            </w:r>
          </w:p>
        </w:tc>
        <w:tc>
          <w:tcPr>
            <w:tcW w:type="dxa" w:w="4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Protección de datos personales, incluida su transferencia fuera del país.</w:t>
            </w:r>
          </w:p>
        </w:tc>
        <w:tc>
          <w:tcPr>
            <w:tcW w:type="dxa" w:w="1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§2.1 y §2.5</w:t>
            </w:r>
          </w:p>
        </w:tc>
      </w:tr>
    </w:tbl>
    <w:p>
      <w:r>
        <w:br w:type="page"/>
      </w:r>
    </w:p>
    <w:p>
      <w:pPr>
        <w:pStyle w:val="Heading1"/>
        <w:spacing w:before="360" w:after="180"/>
      </w:pPr>
      <w:r>
        <w:rPr>
          <w:rFonts w:ascii="Calibri" w:cs="Calibri" w:eastAsia="Calibri" w:hAnsi="Calibri"/>
          <w:b/>
          <w:bCs/>
          <w:color w:val="1F3864"/>
          <w:sz w:val="30"/>
          <w:szCs w:val="30"/>
        </w:rPr>
        <w:t xml:space="preserve">2. Desarrollo</w:t>
      </w:r>
    </w:p>
    <w:p>
      <w:pPr>
        <w:pStyle w:val="Heading2"/>
        <w:keepNext/>
        <w:spacing w:before="260" w:after="140"/>
      </w:pPr>
      <w:r>
        <w:rPr>
          <w:rFonts w:ascii="Calibri" w:cs="Calibri" w:eastAsia="Calibri" w:hAnsi="Calibri"/>
          <w:b/>
          <w:bCs/>
          <w:color w:val="1F3864"/>
          <w:sz w:val="25"/>
          <w:szCs w:val="25"/>
        </w:rPr>
        <w:t xml:space="preserve">2.1 Alojamiento de los servidores: nube pública (ADR-09)</w:t>
      </w:r>
    </w:p>
    <w:p>
      <w:pPr>
        <w:spacing w:after="140" w:before="0" w:line="276"/>
        <w:jc w:val="both"/>
      </w:pPr>
      <w:r>
        <w:rPr>
          <w:rFonts w:ascii="Calibri" w:cs="Calibri" w:eastAsia="Calibri" w:hAnsi="Calibri"/>
          <w:sz w:val="22"/>
          <w:szCs w:val="22"/>
        </w:rPr>
        <w:t xml:space="preserve">La primera cuestión que el escenario debe resolver es dónde residen los servidores. Se evaluaron tres opciones frente a las restricciones organizacionales del documento 1 y a la vista V-04 del documento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rPr>
          <w:cantSplit/>
          <w:tblHeader/>
        </w:trPr>
        <w:tc>
          <w:tcPr>
            <w:tcW w:type="dxa" w:w="26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Opción</w:t>
            </w:r>
          </w:p>
        </w:tc>
        <w:tc>
          <w:tcPr>
            <w:tcW w:type="dxa" w:w="23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Ventaja principal</w:t>
            </w:r>
          </w:p>
        </w:tc>
        <w:tc>
          <w:tcPr>
            <w:tcW w:type="dxa" w:w="446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Motivo de la decisión</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 Instalaciones de la empresa (cuarto de servidores en la sede)</w:t>
            </w:r>
          </w:p>
        </w:tc>
        <w:tc>
          <w:tcPr>
            <w:tcW w:type="dxa" w:w="23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Control físico total del equipo.</w:t>
            </w:r>
          </w:p>
        </w:tc>
        <w:tc>
          <w:tcPr>
            <w:tcW w:type="dxa" w:w="44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Descartada. Exige personal que opere servidores, refrigeración, energía redundante y guardia, lo que contradice RO-02. La compra inicial de equipo choca con RO-03. Un único enlace de la sede quedaría como punto único de falla frente al 99,0 % de SYS-NFN-13.</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B. Híbrido (producción en la nube y servidor local)</w:t>
            </w:r>
          </w:p>
        </w:tc>
        <w:tc>
          <w:tcPr>
            <w:tcW w:type="dxa" w:w="23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Copia local de respaldo.</w:t>
            </w:r>
          </w:p>
        </w:tc>
        <w:tc>
          <w:tcPr>
            <w:tcW w:type="dxa" w:w="44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Descartada. Mantiene la carga operativa de la opción A sin una ventaja que la nube no cubra con respaldos gestionados.</w:t>
            </w:r>
          </w:p>
        </w:tc>
      </w:tr>
      <w:tr>
        <w:trPr>
          <w:cantSplit/>
          <w:tblHeader w:val="false"/>
        </w:trPr>
        <w:tc>
          <w:tcPr>
            <w:tcW w:type="dxa" w:w="2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 Nube pública con servicios gestionados</w:t>
            </w:r>
          </w:p>
        </w:tc>
        <w:tc>
          <w:tcPr>
            <w:tcW w:type="dxa" w:w="23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Operación desatendida, pago por uso y servicios que realizan V-04 directamente.</w:t>
            </w:r>
          </w:p>
        </w:tc>
        <w:tc>
          <w:tcPr>
            <w:tcW w:type="dxa" w:w="44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Adoptada. La base de datos, el balanceador y la red de distribución gestionados realizan los nodos de MD-05 sin operador (RO-02), y su costo es marginal en el piloto (RO-03).</w:t>
            </w:r>
          </w:p>
        </w:tc>
      </w:tr>
    </w:tbl>
    <w:p>
      <w:pPr>
        <w:spacing w:after="120"/>
      </w:pPr>
    </w:p>
    <w:p>
      <w:pPr>
        <w:spacing w:after="140" w:before="0" w:line="276"/>
        <w:jc w:val="both"/>
      </w:pPr>
      <w:r>
        <w:rPr>
          <w:rFonts w:ascii="Calibri" w:cs="Calibri" w:eastAsia="Calibri" w:hAnsi="Calibri"/>
          <w:sz w:val="22"/>
          <w:szCs w:val="22"/>
        </w:rPr>
        <w:t xml:space="preserve">Entre los proveedores de nube pública se elige Microsoft Azure. Los criterios se toman de la serie y no de una preferencia: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cantSplit/>
          <w:tblHeader/>
        </w:trPr>
        <w:tc>
          <w:tcPr>
            <w:tcW w:type="dxa" w:w="44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Necesidad de la serie</w:t>
            </w:r>
          </w:p>
        </w:tc>
        <w:tc>
          <w:tcPr>
            <w:tcW w:type="dxa" w:w="496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Servicio de Azure que la realiza</w:t>
            </w:r>
          </w:p>
        </w:tc>
      </w:tr>
      <w:tr>
        <w:trPr>
          <w:cantSplit/>
          <w:tblHeader w:val="false"/>
        </w:trPr>
        <w:tc>
          <w:tcPr>
            <w:tcW w:type="dxa" w:w="44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Base de datos PostgreSQL gestionada con réplica de lectura (ADR-03, ADR-07)</w:t>
            </w:r>
          </w:p>
        </w:tc>
        <w:tc>
          <w:tcPr>
            <w:tcW w:type="dxa" w:w="49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Azure Database for PostgreSQL – Flexible Server, con réplicas de lectura en los niveles de uso general</w:t>
            </w:r>
          </w:p>
        </w:tc>
      </w:tr>
      <w:tr>
        <w:trPr>
          <w:cantSplit/>
          <w:tblHeader w:val="false"/>
        </w:trPr>
        <w:tc>
          <w:tcPr>
            <w:tcW w:type="dxa" w:w="44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Instancias sin estado que escalan horizontalmente, más un trabajador separado (PA-04, RNF-05, MD-03)</w:t>
            </w:r>
          </w:p>
        </w:tc>
        <w:tc>
          <w:tcPr>
            <w:tcW w:type="dxa" w:w="49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Azure Container Apps: dos aplicaciones del mismo contenedor con reglas de escala independientes</w:t>
            </w:r>
          </w:p>
        </w:tc>
      </w:tr>
      <w:tr>
        <w:trPr>
          <w:cantSplit/>
          <w:tblHeader w:val="false"/>
        </w:trPr>
        <w:tc>
          <w:tcPr>
            <w:tcW w:type="dxa" w:w="44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Balanceador con TLS y límite de peticiones por IP en el borde (V-04, ADR-08)</w:t>
            </w:r>
          </w:p>
        </w:tc>
        <w:tc>
          <w:tcPr>
            <w:tcW w:type="dxa" w:w="49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Azure Front Door Standard con reglas de límite de tasa en su cortafuegos de aplicaciones web</w:t>
            </w:r>
          </w:p>
        </w:tc>
      </w:tr>
      <w:tr>
        <w:trPr>
          <w:cantSplit/>
          <w:tblHeader w:val="false"/>
        </w:trPr>
        <w:tc>
          <w:tcPr>
            <w:tcW w:type="dxa" w:w="44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Retención de la bitácora de 90 días en acceso rápido y 7 años en archivo (SYS-NFN-04, ADR-05)</w:t>
            </w:r>
          </w:p>
        </w:tc>
        <w:tc>
          <w:tcPr>
            <w:tcW w:type="dxa" w:w="49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Azure Blob Storage con gestión del ciclo de vida y política de inmutabilidad por tiempo</w:t>
            </w:r>
          </w:p>
        </w:tc>
      </w:tr>
      <w:tr>
        <w:trPr>
          <w:cantSplit/>
          <w:tblHeader w:val="false"/>
        </w:trPr>
        <w:tc>
          <w:tcPr>
            <w:tcW w:type="dxa" w:w="44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Segregación entre quien construye y quien administra (RO-04)</w:t>
            </w:r>
          </w:p>
        </w:tc>
        <w:tc>
          <w:tcPr>
            <w:tcW w:type="dxa" w:w="49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Microsoft Entra ID con control de acceso por rol y autenticación multifactor</w:t>
            </w:r>
          </w:p>
        </w:tc>
      </w:tr>
      <w:tr>
        <w:trPr>
          <w:cantSplit/>
          <w:tblHeader w:val="false"/>
        </w:trPr>
        <w:tc>
          <w:tcPr>
            <w:tcW w:type="dxa" w:w="44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Costo nulo o marginal en el piloto (RO-03)</w:t>
            </w:r>
          </w:p>
        </w:tc>
        <w:tc>
          <w:tcPr>
            <w:tcW w:type="dxa" w:w="49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Crédito de Azure for Students, que no requiere tarjeta, para el equipo constructor</w:t>
            </w:r>
          </w:p>
        </w:tc>
      </w:tr>
    </w:tbl>
    <w:p>
      <w:pPr>
        <w:spacing w:after="120"/>
      </w:pPr>
    </w:p>
    <w:p>
      <w:pPr>
        <w:spacing w:after="140" w:before="0" w:line="276"/>
        <w:jc w:val="both"/>
      </w:pPr>
      <w:r>
        <w:rPr>
          <w:rFonts w:ascii="Calibri" w:cs="Calibri" w:eastAsia="Calibri" w:hAnsi="Calibri"/>
          <w:sz w:val="22"/>
          <w:szCs w:val="22"/>
        </w:rPr>
        <w:t xml:space="preserve">Región. Se adopta como región principal México Central (Querétaro), la más cercana a Nicaragua, porque reduce la latencia de ida y vuelta para usuarios en redes celulares degradadas (RO-06, SYS-NFN-08). Antes de aprovisionar se verifica que todos los servicios de la tabla anterior estén disponibles en esa región. Si alguno no lo está, la región alternativa es Centro-Sur de EE. UU.</w:t>
      </w:r>
    </w:p>
    <w:p>
      <w:pPr>
        <w:spacing w:after="140" w:before="0" w:line="276"/>
        <w:jc w:val="both"/>
      </w:pPr>
      <w:r>
        <w:rPr>
          <w:rFonts w:ascii="Calibri" w:cs="Calibri" w:eastAsia="Calibri" w:hAnsi="Calibri"/>
          <w:sz w:val="22"/>
          <w:szCs w:val="22"/>
        </w:rPr>
        <w:t xml:space="preserve">Datos personales fuera del país. Alojar en México o en Estados Unidos supone una transferencia internacional de los datos personales que protege la Ley No. 787. El consentimiento explícito que registra SYS-FN-36 debe informar de ello. La asesoría jurídica tercerizada, que según el documento 1 valida los textos de consentimiento, revisa esa redacción antes del piloto. Microsoft mantiene certificaciones ISO/IEC 27001, 27017 y 27018 para estos servicios, lo que sustenta el control 5.23 de ISO/IEC 27001:2022.</w:t>
      </w:r>
    </w:p>
    <w:p>
      <w:r>
        <w:br w:type="page"/>
      </w:r>
    </w:p>
    <w:p>
      <w:pPr>
        <w:pStyle w:val="Heading2"/>
        <w:keepNext/>
        <w:spacing w:before="260" w:after="140"/>
      </w:pPr>
      <w:r>
        <w:rPr>
          <w:rFonts w:ascii="Calibri" w:cs="Calibri" w:eastAsia="Calibri" w:hAnsi="Calibri"/>
          <w:b/>
          <w:bCs/>
          <w:color w:val="1F3864"/>
          <w:sz w:val="25"/>
          <w:szCs w:val="25"/>
        </w:rPr>
        <w:t xml:space="preserve">2.2 Escenario físico de la sede de Chinandega</w:t>
      </w:r>
    </w:p>
    <w:p>
      <w:pPr>
        <w:pStyle w:val="Heading3"/>
        <w:keepNext/>
        <w:spacing w:before="200" w:after="110"/>
      </w:pPr>
      <w:r>
        <w:rPr>
          <w:rFonts w:ascii="Calibri" w:cs="Calibri" w:eastAsia="Calibri" w:hAnsi="Calibri"/>
          <w:b/>
          <w:bCs/>
          <w:color w:val="333333"/>
          <w:sz w:val="22"/>
          <w:szCs w:val="22"/>
        </w:rPr>
        <w:t xml:space="preserve">2.2.1 Local y espacios de telecomunicaciones</w:t>
      </w:r>
    </w:p>
    <w:p>
      <w:pPr>
        <w:spacing w:after="140" w:before="0" w:line="276"/>
        <w:jc w:val="both"/>
      </w:pPr>
      <w:r>
        <w:rPr>
          <w:rFonts w:ascii="Calibri" w:cs="Calibri" w:eastAsia="Calibri" w:hAnsi="Calibri"/>
          <w:sz w:val="22"/>
          <w:szCs w:val="22"/>
        </w:rPr>
        <w:t xml:space="preserve">La sede ocupa una planta única en la ciudad de Chinandega (D1 §2.2). Tiene cinco puestos fijos (Dirección General, dos de U-01 y dos de U-02), un área de atención donde U-03 recibe a los comerciantes durante la afiliación presencial, y un cuarto técnico. Los dos ejecutivos de U-03 trabajan sobre todo en ruta y usan la red inalámbrica cuando están en la sede.</w:t>
      </w:r>
    </w:p>
    <w:p>
      <w:pPr>
        <w:spacing w:after="140" w:before="0" w:line="276"/>
        <w:jc w:val="both"/>
      </w:pPr>
      <w:r>
        <w:rPr>
          <w:rFonts w:ascii="Calibri" w:cs="Calibri" w:eastAsia="Calibri" w:hAnsi="Calibri"/>
          <w:sz w:val="22"/>
          <w:szCs w:val="22"/>
        </w:rPr>
        <w:t xml:space="preserve">El cuarto técnico aloja un gabinete de pared de 9U (R01), fijado a muro y con acceso restringido por llave (ISO/IEC 27001 control 7.8). Las canalizaciones van por canaleta perimetral (ANSI/TIA-569). El gabinete y la regleta se conectan a la barra de tierra del local (ANSI/TIA-607). Los equipos activos se alimentan desde un sistema de alimentación ininterrumpida (control 7.11).</w:t>
      </w:r>
    </w:p>
    <w:p>
      <w:pPr>
        <w:keepNext/>
        <w:spacing w:before="120" w:after="60"/>
        <w:jc w:val="center"/>
      </w:pPr>
      <w:r>
        <w:drawing>
          <wp:inline distT="0" distB="0" distL="0" distR="0">
            <wp:extent cx="5905500" cy="3876675"/>
            <wp:effectExtent t="0" r="0" b="0" l="0"/>
            <wp:docPr id="1" name="red-01-sede-fisica.png" descr="Figura 1 — Topología física de la sede: equipos, medios, puertos y etiquetas." title="Figura 1 — Topología física de la sede: equipos, medios, puertos y etiqu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76675"/>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Figura 1 — Topología física de la sede: equipos, medios, puertos y etiquetas.</w:t>
      </w:r>
    </w:p>
    <w:p>
      <w:pPr>
        <w:pStyle w:val="Heading3"/>
        <w:keepNext/>
        <w:spacing w:before="200" w:after="110"/>
      </w:pPr>
      <w:r>
        <w:rPr>
          <w:rFonts w:ascii="Calibri" w:cs="Calibri" w:eastAsia="Calibri" w:hAnsi="Calibri"/>
          <w:b/>
          <w:bCs/>
          <w:color w:val="333333"/>
          <w:sz w:val="22"/>
          <w:szCs w:val="22"/>
        </w:rPr>
        <w:t xml:space="preserve">2.2.2 Inventario de equipos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3600"/>
        <w:gridCol w:w="1560"/>
      </w:tblGrid>
      <w:tr>
        <w:trPr>
          <w:cantSplit/>
          <w:tblHeader/>
        </w:trPr>
        <w:tc>
          <w:tcPr>
            <w:tcW w:type="dxa" w:w="19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Equipo</w:t>
            </w:r>
          </w:p>
        </w:tc>
        <w:tc>
          <w:tcPr>
            <w:tcW w:type="dxa" w:w="23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Modelo de referencia</w:t>
            </w:r>
          </w:p>
        </w:tc>
        <w:tc>
          <w:tcPr>
            <w:tcW w:type="dxa" w:w="36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Especificación vinculante</w:t>
            </w:r>
          </w:p>
        </w:tc>
        <w:tc>
          <w:tcPr>
            <w:tcW w:type="dxa" w:w="156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Ubicación</w:t>
            </w:r>
          </w:p>
        </w:tc>
      </w:tr>
      <w:tr>
        <w:trPr>
          <w:cantSplit/>
          <w:tblHeader w:val="false"/>
        </w:trPr>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ONT del proveedor</w:t>
            </w:r>
          </w:p>
        </w:tc>
        <w:tc>
          <w:tcPr>
            <w:tcW w:type="dxa" w:w="23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Suministrado por el operador de fibra</w:t>
            </w:r>
          </w:p>
        </w:tc>
        <w:tc>
          <w:tcPr>
            <w:tcW w:type="dxa" w:w="3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Terminación GPON con salida Ethernet de 1 Gb/s</w:t>
            </w:r>
          </w:p>
        </w:tc>
        <w:tc>
          <w:tcPr>
            <w:tcW w:type="dxa" w:w="1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R01</w:t>
            </w:r>
          </w:p>
        </w:tc>
      </w:tr>
      <w:tr>
        <w:trPr>
          <w:cantSplit/>
          <w:tblHeader w:val="false"/>
        </w:trPr>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Router 4G LTE de respaldo</w:t>
            </w:r>
          </w:p>
        </w:tc>
        <w:tc>
          <w:tcPr>
            <w:tcW w:type="dxa" w:w="23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Router con ranura SIM, de un segundo operador</w:t>
            </w:r>
          </w:p>
        </w:tc>
        <w:tc>
          <w:tcPr>
            <w:tcW w:type="dxa" w:w="3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Salida Ethernet de 1 Gb/s; operador distinto del de fibra</w:t>
            </w:r>
          </w:p>
        </w:tc>
        <w:tc>
          <w:tcPr>
            <w:tcW w:type="dxa" w:w="1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R01</w:t>
            </w:r>
          </w:p>
        </w:tc>
      </w:tr>
      <w:tr>
        <w:trPr>
          <w:cantSplit/>
          <w:tblHeader w:val="false"/>
        </w:trPr>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Router y cortafuegos</w:t>
            </w:r>
          </w:p>
        </w:tc>
        <w:tc>
          <w:tcPr>
            <w:tcW w:type="dxa" w:w="23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MikroTik hEX S (RB760iGS)</w:t>
            </w:r>
          </w:p>
        </w:tc>
        <w:tc>
          <w:tcPr>
            <w:tcW w:type="dxa" w:w="3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5 puertos GbE y 1 SFP; doble WAN con conmutación automática; NAT; cortafuegos con estado; subinterfaces 802.1Q; sin licencias por usuario (RO-03)</w:t>
            </w:r>
          </w:p>
        </w:tc>
        <w:tc>
          <w:tcPr>
            <w:tcW w:type="dxa" w:w="1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R01, 1U</w:t>
            </w:r>
          </w:p>
        </w:tc>
      </w:tr>
      <w:tr>
        <w:trPr>
          <w:cantSplit/>
          <w:tblHeader w:val="false"/>
        </w:trPr>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Switch de acceso</w:t>
            </w:r>
          </w:p>
        </w:tc>
        <w:tc>
          <w:tcPr>
            <w:tcW w:type="dxa" w:w="23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MikroTik CRS326-24G-2S+RM</w:t>
            </w:r>
          </w:p>
        </w:tc>
        <w:tc>
          <w:tcPr>
            <w:tcW w:type="dxa" w:w="3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24 puertos GbE y 2 SFP+; capa 2 gestionable; 802.1Q; montaje en rack</w:t>
            </w:r>
          </w:p>
        </w:tc>
        <w:tc>
          <w:tcPr>
            <w:tcW w:type="dxa" w:w="1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R01, 1U</w:t>
            </w:r>
          </w:p>
        </w:tc>
      </w:tr>
      <w:tr>
        <w:trPr>
          <w:cantSplit/>
          <w:tblHeader w:val="false"/>
        </w:trPr>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Patch panel</w:t>
            </w:r>
          </w:p>
        </w:tc>
        <w:tc>
          <w:tcPr>
            <w:tcW w:type="dxa" w:w="23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Categoría 6, 24 puertos</w:t>
            </w:r>
          </w:p>
        </w:tc>
        <w:tc>
          <w:tcPr>
            <w:tcW w:type="dxa" w:w="3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Conectores T568B; etiquetado SC-R01-PP01-nn</w:t>
            </w:r>
          </w:p>
        </w:tc>
        <w:tc>
          <w:tcPr>
            <w:tcW w:type="dxa" w:w="1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R01, 1U</w:t>
            </w:r>
          </w:p>
        </w:tc>
      </w:tr>
      <w:tr>
        <w:trPr>
          <w:cantSplit/>
          <w:tblHeader w:val="false"/>
        </w:trPr>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Organizador horizontal</w:t>
            </w:r>
          </w:p>
        </w:tc>
        <w:tc>
          <w:tcPr>
            <w:tcW w:type="dxa" w:w="23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1U con guías</w:t>
            </w:r>
          </w:p>
        </w:tc>
        <w:tc>
          <w:tcPr>
            <w:tcW w:type="dxa" w:w="3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Radio de curvatura del cable respetado</w:t>
            </w:r>
          </w:p>
        </w:tc>
        <w:tc>
          <w:tcPr>
            <w:tcW w:type="dxa" w:w="1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R01, 1U</w:t>
            </w:r>
          </w:p>
        </w:tc>
      </w:tr>
      <w:tr>
        <w:trPr>
          <w:cantSplit/>
          <w:tblHeader w:val="false"/>
        </w:trPr>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UPS</w:t>
            </w:r>
          </w:p>
        </w:tc>
        <w:tc>
          <w:tcPr>
            <w:tcW w:type="dxa" w:w="23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APC Back-UPS Pro BR1500G (1500 VA / 865 W)</w:t>
            </w:r>
          </w:p>
        </w:tc>
        <w:tc>
          <w:tcPr>
            <w:tcW w:type="dxa" w:w="3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Alimenta ONT, router LTE, router y switch; regulación automática de voltaje</w:t>
            </w:r>
          </w:p>
        </w:tc>
        <w:tc>
          <w:tcPr>
            <w:tcW w:type="dxa" w:w="1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R01, base</w:t>
            </w:r>
          </w:p>
        </w:tc>
      </w:tr>
      <w:tr>
        <w:trPr>
          <w:cantSplit/>
          <w:tblHeader w:val="false"/>
        </w:trPr>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Punto de acceso Wi-Fi</w:t>
            </w:r>
          </w:p>
        </w:tc>
        <w:tc>
          <w:tcPr>
            <w:tcW w:type="dxa" w:w="23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MikroTik cAP ax</w:t>
            </w:r>
          </w:p>
        </w:tc>
        <w:tc>
          <w:tcPr>
            <w:tcW w:type="dxa" w:w="3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Wi-Fi 6 (802.11ax) de doble banda; alimentación PoE con inyector; varias SSID asociadas a VLAN</w:t>
            </w:r>
          </w:p>
        </w:tc>
        <w:tc>
          <w:tcPr>
            <w:tcW w:type="dxa" w:w="1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Techo del área de atención</w:t>
            </w:r>
          </w:p>
        </w:tc>
      </w:tr>
      <w:tr>
        <w:trPr>
          <w:cantSplit/>
          <w:tblHeader w:val="false"/>
        </w:trPr>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Estaciones de trabajo</w:t>
            </w:r>
          </w:p>
        </w:tc>
        <w:tc>
          <w:tcPr>
            <w:tcW w:type="dxa" w:w="23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Laptops de la plantilla (7)</w:t>
            </w:r>
          </w:p>
        </w:tc>
        <w:tc>
          <w:tcPr>
            <w:tcW w:type="dxa" w:w="3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Cinco con base de conexión por cable en los puestos P01 a P05; dos de U-03 por Wi-Fi</w:t>
            </w:r>
          </w:p>
        </w:tc>
        <w:tc>
          <w:tcPr>
            <w:tcW w:type="dxa" w:w="1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Puestos</w:t>
            </w:r>
          </w:p>
        </w:tc>
      </w:tr>
      <w:tr>
        <w:trPr>
          <w:cantSplit/>
          <w:tblHeader w:val="false"/>
        </w:trPr>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Impresora multifunción</w:t>
            </w:r>
          </w:p>
        </w:tc>
        <w:tc>
          <w:tcPr>
            <w:tcW w:type="dxa" w:w="23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Láser monocromática en red</w:t>
            </w:r>
          </w:p>
        </w:tc>
        <w:tc>
          <w:tcPr>
            <w:tcW w:type="dxa" w:w="3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Interfaz Ethernet; sin servicios de nube del fabricante</w:t>
            </w:r>
          </w:p>
        </w:tc>
        <w:tc>
          <w:tcPr>
            <w:tcW w:type="dxa" w:w="1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Área común</w:t>
            </w:r>
          </w:p>
        </w:tc>
      </w:tr>
    </w:tbl>
    <w:p>
      <w:pPr>
        <w:spacing w:after="120"/>
      </w:pPr>
    </w:p>
    <w:p>
      <w:pPr>
        <w:pStyle w:val="Heading3"/>
        <w:keepNext/>
        <w:spacing w:before="200" w:after="110"/>
      </w:pPr>
      <w:r>
        <w:rPr>
          <w:rFonts w:ascii="Calibri" w:cs="Calibri" w:eastAsia="Calibri" w:hAnsi="Calibri"/>
          <w:b/>
          <w:bCs/>
          <w:color w:val="333333"/>
          <w:sz w:val="22"/>
          <w:szCs w:val="22"/>
        </w:rPr>
        <w:t xml:space="preserve">2.2.3 Cableado y etiquetado</w:t>
      </w:r>
    </w:p>
    <w:p>
      <w:pPr>
        <w:spacing w:after="140" w:before="0" w:line="276"/>
        <w:jc w:val="both"/>
      </w:pPr>
      <w:r>
        <w:rPr>
          <w:rFonts w:ascii="Calibri" w:cs="Calibri" w:eastAsia="Calibri" w:hAnsi="Calibri"/>
          <w:sz w:val="22"/>
          <w:szCs w:val="22"/>
        </w:rPr>
        <w:t xml:space="preserve">El cableado horizontal es de par trenzado categoría 6 U/UTP con cubierta de baja emisión de humos (LSZH). Va en topología en estrella desde el patch panel hasta cada roseta, con enlaces permanentes de longitud máxima de 90 m y canal completo de longitud máxima de 100 m (ISO/IEC 11801-1, ANSI/TIA-568.2-D). En una planta única de este tamaño ningún tendido supera los 30 m, de modo que hay margen holgado. El etiquetado sigue ANSI/TIA-606 con el formato Sede-Rack-Panel-Puerto, que se repite en la roseta del puesto, de modo que cada extremo se identifica sin trazar el 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700"/>
        <w:gridCol w:w="1900"/>
        <w:gridCol w:w="1660"/>
      </w:tblGrid>
      <w:tr>
        <w:trPr>
          <w:cantSplit/>
          <w:tblHeader/>
        </w:trPr>
        <w:tc>
          <w:tcPr>
            <w:tcW w:type="dxa" w:w="11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Enlace</w:t>
            </w:r>
          </w:p>
        </w:tc>
        <w:tc>
          <w:tcPr>
            <w:tcW w:type="dxa" w:w="20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Origen</w:t>
            </w:r>
          </w:p>
        </w:tc>
        <w:tc>
          <w:tcPr>
            <w:tcW w:type="dxa" w:w="27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Destino</w:t>
            </w:r>
          </w:p>
        </w:tc>
        <w:tc>
          <w:tcPr>
            <w:tcW w:type="dxa" w:w="19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Medio</w:t>
            </w:r>
          </w:p>
        </w:tc>
        <w:tc>
          <w:tcPr>
            <w:tcW w:type="dxa" w:w="166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Etiqueta</w:t>
            </w:r>
          </w:p>
        </w:tc>
      </w:tr>
      <w:tr>
        <w:trPr>
          <w:cantSplit/>
          <w:tblHeader w:val="false"/>
        </w:trPr>
        <w:tc>
          <w:tcPr>
            <w:tcW w:type="dxa" w:w="1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WAN1</w:t>
            </w:r>
          </w:p>
        </w:tc>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ONT</w:t>
            </w:r>
          </w:p>
        </w:tc>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Router ether1</w:t>
            </w:r>
          </w:p>
        </w:tc>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Latiguillo Cat6, 1 m</w:t>
            </w:r>
          </w:p>
        </w:tc>
        <w:tc>
          <w:tcPr>
            <w:tcW w:type="dxa" w:w="16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SC-R01-WAN1</w:t>
            </w:r>
          </w:p>
        </w:tc>
      </w:tr>
      <w:tr>
        <w:trPr>
          <w:cantSplit/>
          <w:tblHeader w:val="false"/>
        </w:trPr>
        <w:tc>
          <w:tcPr>
            <w:tcW w:type="dxa" w:w="1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WAN2</w:t>
            </w:r>
          </w:p>
        </w:tc>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Router LTE</w:t>
            </w:r>
          </w:p>
        </w:tc>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Router ether2</w:t>
            </w:r>
          </w:p>
        </w:tc>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Latiguillo Cat6, 1 m</w:t>
            </w:r>
          </w:p>
        </w:tc>
        <w:tc>
          <w:tcPr>
            <w:tcW w:type="dxa" w:w="16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SC-R01-WAN2</w:t>
            </w:r>
          </w:p>
        </w:tc>
      </w:tr>
      <w:tr>
        <w:trPr>
          <w:cantSplit/>
          <w:tblHeader w:val="false"/>
        </w:trPr>
        <w:tc>
          <w:tcPr>
            <w:tcW w:type="dxa" w:w="1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Troncal</w:t>
            </w:r>
          </w:p>
        </w:tc>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Router ether3</w:t>
            </w:r>
          </w:p>
        </w:tc>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Switch puerto 1</w:t>
            </w:r>
          </w:p>
        </w:tc>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Latiguillo Cat6, 0,5 m · 802.1Q</w:t>
            </w:r>
          </w:p>
        </w:tc>
        <w:tc>
          <w:tcPr>
            <w:tcW w:type="dxa" w:w="16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SC-R01-TR01</w:t>
            </w:r>
          </w:p>
        </w:tc>
      </w:tr>
      <w:tr>
        <w:trPr>
          <w:cantSplit/>
          <w:tblHeader w:val="false"/>
        </w:trPr>
        <w:tc>
          <w:tcPr>
            <w:tcW w:type="dxa" w:w="1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Panel</w:t>
            </w:r>
          </w:p>
        </w:tc>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Switch puertos 2 a 9</w:t>
            </w:r>
          </w:p>
        </w:tc>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Patch panel puertos 02 a 09</w:t>
            </w:r>
          </w:p>
        </w:tc>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Latiguillos Cat6 ≤ 1 m</w:t>
            </w:r>
          </w:p>
        </w:tc>
        <w:tc>
          <w:tcPr>
            <w:tcW w:type="dxa" w:w="16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SC-R01-PP01-02 a 09</w:t>
            </w:r>
          </w:p>
        </w:tc>
      </w:tr>
      <w:tr>
        <w:trPr>
          <w:cantSplit/>
          <w:tblHeader w:val="false"/>
        </w:trPr>
        <w:tc>
          <w:tcPr>
            <w:tcW w:type="dxa" w:w="1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P01</w:t>
            </w:r>
          </w:p>
        </w:tc>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Patch panel 02</w:t>
            </w:r>
          </w:p>
        </w:tc>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Puesto de Dirección General</w:t>
            </w:r>
          </w:p>
        </w:tc>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Cat6 horizontal</w:t>
            </w:r>
          </w:p>
        </w:tc>
        <w:tc>
          <w:tcPr>
            <w:tcW w:type="dxa" w:w="16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SC-R01-PP01-02</w:t>
            </w:r>
          </w:p>
        </w:tc>
      </w:tr>
      <w:tr>
        <w:trPr>
          <w:cantSplit/>
          <w:tblHeader w:val="false"/>
        </w:trPr>
        <w:tc>
          <w:tcPr>
            <w:tcW w:type="dxa" w:w="1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P02 y P03</w:t>
            </w:r>
          </w:p>
        </w:tc>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Patch panel 03 y 04</w:t>
            </w:r>
          </w:p>
        </w:tc>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Puestos de U-01</w:t>
            </w:r>
          </w:p>
        </w:tc>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Cat6 horizontal</w:t>
            </w:r>
          </w:p>
        </w:tc>
        <w:tc>
          <w:tcPr>
            <w:tcW w:type="dxa" w:w="16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SC-R01-PP01-03 / 04</w:t>
            </w:r>
          </w:p>
        </w:tc>
      </w:tr>
      <w:tr>
        <w:trPr>
          <w:cantSplit/>
          <w:tblHeader w:val="false"/>
        </w:trPr>
        <w:tc>
          <w:tcPr>
            <w:tcW w:type="dxa" w:w="1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P04 y P05</w:t>
            </w:r>
          </w:p>
        </w:tc>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Patch panel 05 y 06</w:t>
            </w:r>
          </w:p>
        </w:tc>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Puestos de U-02</w:t>
            </w:r>
          </w:p>
        </w:tc>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Cat6 horizontal</w:t>
            </w:r>
          </w:p>
        </w:tc>
        <w:tc>
          <w:tcPr>
            <w:tcW w:type="dxa" w:w="16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SC-R01-PP01-05 / 06</w:t>
            </w:r>
          </w:p>
        </w:tc>
      </w:tr>
      <w:tr>
        <w:trPr>
          <w:cantSplit/>
          <w:tblHeader w:val="false"/>
        </w:trPr>
        <w:tc>
          <w:tcPr>
            <w:tcW w:type="dxa" w:w="1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IMP</w:t>
            </w:r>
          </w:p>
        </w:tc>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Patch panel 07</w:t>
            </w:r>
          </w:p>
        </w:tc>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Impresora</w:t>
            </w:r>
          </w:p>
        </w:tc>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Cat6 horizontal</w:t>
            </w:r>
          </w:p>
        </w:tc>
        <w:tc>
          <w:tcPr>
            <w:tcW w:type="dxa" w:w="16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SC-R01-PP01-07</w:t>
            </w:r>
          </w:p>
        </w:tc>
      </w:tr>
      <w:tr>
        <w:trPr>
          <w:cantSplit/>
          <w:tblHeader w:val="false"/>
        </w:trPr>
        <w:tc>
          <w:tcPr>
            <w:tcW w:type="dxa" w:w="1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AP</w:t>
            </w:r>
          </w:p>
        </w:tc>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Patch panel 08</w:t>
            </w:r>
          </w:p>
        </w:tc>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Inyector PoE y punto de acceso</w:t>
            </w:r>
          </w:p>
        </w:tc>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Cat6 horizontal</w:t>
            </w:r>
          </w:p>
        </w:tc>
        <w:tc>
          <w:tcPr>
            <w:tcW w:type="dxa" w:w="16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SC-R01-PP01-08</w:t>
            </w:r>
          </w:p>
        </w:tc>
      </w:tr>
      <w:tr>
        <w:trPr>
          <w:cantSplit/>
          <w:tblHeader w:val="false"/>
        </w:trPr>
        <w:tc>
          <w:tcPr>
            <w:tcW w:type="dxa" w:w="1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Reserva</w:t>
            </w:r>
          </w:p>
        </w:tc>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Patch panel 09 a 24</w:t>
            </w:r>
          </w:p>
        </w:tc>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Rosetas de reserva para crecimiento</w:t>
            </w:r>
          </w:p>
        </w:tc>
        <w:tc>
          <w:tcPr>
            <w:tcW w:type="dxa" w:w="1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Cat6 horizontal</w:t>
            </w:r>
          </w:p>
        </w:tc>
        <w:tc>
          <w:tcPr>
            <w:tcW w:type="dxa" w:w="16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SC-R01-PP01-09 a 24</w:t>
            </w:r>
          </w:p>
        </w:tc>
      </w:tr>
    </w:tbl>
    <w:p>
      <w:pPr>
        <w:spacing w:after="120"/>
      </w:pPr>
    </w:p>
    <w:p>
      <w:pPr>
        <w:pStyle w:val="Heading3"/>
        <w:keepNext/>
        <w:spacing w:before="200" w:after="110"/>
      </w:pPr>
      <w:r>
        <w:rPr>
          <w:rFonts w:ascii="Calibri" w:cs="Calibri" w:eastAsia="Calibri" w:hAnsi="Calibri"/>
          <w:b/>
          <w:bCs/>
          <w:color w:val="333333"/>
          <w:sz w:val="22"/>
          <w:szCs w:val="22"/>
        </w:rPr>
        <w:t xml:space="preserve">2.2.4 Segmentación por VLAN y direccionamiento</w:t>
      </w:r>
    </w:p>
    <w:p>
      <w:pPr>
        <w:spacing w:after="140" w:before="0" w:line="276"/>
        <w:jc w:val="both"/>
      </w:pPr>
      <w:r>
        <w:rPr>
          <w:rFonts w:ascii="Calibri" w:cs="Calibri" w:eastAsia="Calibri" w:hAnsi="Calibri"/>
          <w:sz w:val="22"/>
          <w:szCs w:val="22"/>
        </w:rPr>
        <w:t xml:space="preserve">La red se divide en VLAN 802.1Q por unidad organizativa. La segmentación no es decorativa: traduce al plano de red la segregación de funciones de RO-04, de modo que una estación de U-02, que valida cuentas comerciales, no alcanza los equipos de gestión que administra U-01 (ISO/IEC 27001 control 8.22; ISO/IEC 27033-2). El router hace de pasarela para cada VLAN mediante subinterfaces y aplica las reglas de filtrado.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800"/>
        <w:gridCol w:w="1600"/>
        <w:gridCol w:w="3660"/>
      </w:tblGrid>
      <w:tr>
        <w:trPr>
          <w:cantSplit/>
          <w:tblHeader/>
        </w:trPr>
        <w:tc>
          <w:tcPr>
            <w:tcW w:type="dxa" w:w="8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VLAN</w:t>
            </w:r>
          </w:p>
        </w:tc>
        <w:tc>
          <w:tcPr>
            <w:tcW w:type="dxa" w:w="15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Nombre</w:t>
            </w:r>
          </w:p>
        </w:tc>
        <w:tc>
          <w:tcPr>
            <w:tcW w:type="dxa" w:w="18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Red IPv4</w:t>
            </w:r>
          </w:p>
        </w:tc>
        <w:tc>
          <w:tcPr>
            <w:tcW w:type="dxa" w:w="16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Pasarela</w:t>
            </w:r>
          </w:p>
        </w:tc>
        <w:tc>
          <w:tcPr>
            <w:tcW w:type="dxa" w:w="366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Usuarios y equipos</w:t>
            </w:r>
          </w:p>
        </w:tc>
      </w:tr>
      <w:tr>
        <w:trPr>
          <w:cantSplit/>
          <w:tblHeader w:val="false"/>
        </w:trPr>
        <w:tc>
          <w:tcPr>
            <w:tcW w:type="dxa" w:w="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10</w:t>
            </w:r>
          </w:p>
        </w:tc>
        <w:tc>
          <w:tcPr>
            <w:tcW w:type="dxa" w:w="1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DIRECCION</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192.168.10.0/24</w:t>
            </w:r>
          </w:p>
        </w:tc>
        <w:tc>
          <w:tcPr>
            <w:tcW w:type="dxa" w:w="1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192.168.10.1</w:t>
            </w:r>
          </w:p>
        </w:tc>
        <w:tc>
          <w:tcPr>
            <w:tcW w:type="dxa" w:w="36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Dirección General y U-04 (puesto P01)</w:t>
            </w:r>
          </w:p>
        </w:tc>
      </w:tr>
      <w:tr>
        <w:trPr>
          <w:cantSplit/>
          <w:tblHeader w:val="false"/>
        </w:trPr>
        <w:tc>
          <w:tcPr>
            <w:tcW w:type="dxa" w:w="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20</w:t>
            </w:r>
          </w:p>
        </w:tc>
        <w:tc>
          <w:tcPr>
            <w:tcW w:type="dxa" w:w="1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TECNOLOGIA</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192.168.20.0/24</w:t>
            </w:r>
          </w:p>
        </w:tc>
        <w:tc>
          <w:tcPr>
            <w:tcW w:type="dxa" w:w="1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192.168.20.1</w:t>
            </w:r>
          </w:p>
        </w:tc>
        <w:tc>
          <w:tcPr>
            <w:tcW w:type="dxa" w:w="36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U-01 (puestos P02 y P03)</w:t>
            </w:r>
          </w:p>
        </w:tc>
      </w:tr>
      <w:tr>
        <w:trPr>
          <w:cantSplit/>
          <w:tblHeader w:val="false"/>
        </w:trPr>
        <w:tc>
          <w:tcPr>
            <w:tcW w:type="dxa" w:w="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30</w:t>
            </w:r>
          </w:p>
        </w:tc>
        <w:tc>
          <w:tcPr>
            <w:tcW w:type="dxa" w:w="1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CONFIANZA</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192.168.30.0/24</w:t>
            </w:r>
          </w:p>
        </w:tc>
        <w:tc>
          <w:tcPr>
            <w:tcW w:type="dxa" w:w="1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192.168.30.1</w:t>
            </w:r>
          </w:p>
        </w:tc>
        <w:tc>
          <w:tcPr>
            <w:tcW w:type="dxa" w:w="36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U-02 (puestos P04 y P05)</w:t>
            </w:r>
          </w:p>
        </w:tc>
      </w:tr>
      <w:tr>
        <w:trPr>
          <w:cantSplit/>
          <w:tblHeader w:val="false"/>
        </w:trPr>
        <w:tc>
          <w:tcPr>
            <w:tcW w:type="dxa" w:w="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40</w:t>
            </w:r>
          </w:p>
        </w:tc>
        <w:tc>
          <w:tcPr>
            <w:tcW w:type="dxa" w:w="1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COMERCIAL</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192.168.40.0/24</w:t>
            </w:r>
          </w:p>
        </w:tc>
        <w:tc>
          <w:tcPr>
            <w:tcW w:type="dxa" w:w="1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192.168.40.1</w:t>
            </w:r>
          </w:p>
        </w:tc>
        <w:tc>
          <w:tcPr>
            <w:tcW w:type="dxa" w:w="36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U-03 por Wi-Fi (SSID AbasteceNi-Campo)</w:t>
            </w:r>
          </w:p>
        </w:tc>
      </w:tr>
      <w:tr>
        <w:trPr>
          <w:cantSplit/>
          <w:tblHeader w:val="false"/>
        </w:trPr>
        <w:tc>
          <w:tcPr>
            <w:tcW w:type="dxa" w:w="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50</w:t>
            </w:r>
          </w:p>
        </w:tc>
        <w:tc>
          <w:tcPr>
            <w:tcW w:type="dxa" w:w="1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VISITAS</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192.168.50.0/24</w:t>
            </w:r>
          </w:p>
        </w:tc>
        <w:tc>
          <w:tcPr>
            <w:tcW w:type="dxa" w:w="1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192.168.50.1</w:t>
            </w:r>
          </w:p>
        </w:tc>
        <w:tc>
          <w:tcPr>
            <w:tcW w:type="dxa" w:w="36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Comerciantes en afiliación presencial (SSID AbasteceNi-Visitas)</w:t>
            </w:r>
          </w:p>
        </w:tc>
      </w:tr>
      <w:tr>
        <w:trPr>
          <w:cantSplit/>
          <w:tblHeader w:val="false"/>
        </w:trPr>
        <w:tc>
          <w:tcPr>
            <w:tcW w:type="dxa" w:w="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60</w:t>
            </w:r>
          </w:p>
        </w:tc>
        <w:tc>
          <w:tcPr>
            <w:tcW w:type="dxa" w:w="1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SERVICIOS</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192.168.60.0/24</w:t>
            </w:r>
          </w:p>
        </w:tc>
        <w:tc>
          <w:tcPr>
            <w:tcW w:type="dxa" w:w="1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192.168.60.1</w:t>
            </w:r>
          </w:p>
        </w:tc>
        <w:tc>
          <w:tcPr>
            <w:tcW w:type="dxa" w:w="36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Impresora multifunción</w:t>
            </w:r>
          </w:p>
        </w:tc>
      </w:tr>
      <w:tr>
        <w:trPr>
          <w:cantSplit/>
          <w:tblHeader w:val="false"/>
        </w:trPr>
        <w:tc>
          <w:tcPr>
            <w:tcW w:type="dxa" w:w="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99</w:t>
            </w:r>
          </w:p>
        </w:tc>
        <w:tc>
          <w:tcPr>
            <w:tcW w:type="dxa" w:w="1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GESTION</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192.168.99.0/24</w:t>
            </w:r>
          </w:p>
        </w:tc>
        <w:tc>
          <w:tcPr>
            <w:tcW w:type="dxa" w:w="1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192.168.99.1</w:t>
            </w:r>
          </w:p>
        </w:tc>
        <w:tc>
          <w:tcPr>
            <w:tcW w:type="dxa" w:w="36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Interfaces de gestión del router, el switch y el punto de acceso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100"/>
        <w:gridCol w:w="3860"/>
      </w:tblGrid>
      <w:tr>
        <w:trPr>
          <w:cantSplit/>
          <w:tblHeader/>
        </w:trPr>
        <w:tc>
          <w:tcPr>
            <w:tcW w:type="dxa" w:w="44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Regla de filtrado entre VLAN (de origen a destino)</w:t>
            </w:r>
          </w:p>
        </w:tc>
        <w:tc>
          <w:tcPr>
            <w:tcW w:type="dxa" w:w="11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Acción</w:t>
            </w:r>
          </w:p>
        </w:tc>
        <w:tc>
          <w:tcPr>
            <w:tcW w:type="dxa" w:w="386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Justificación</w:t>
            </w:r>
          </w:p>
        </w:tc>
      </w:tr>
      <w:tr>
        <w:trPr>
          <w:cantSplit/>
          <w:tblHeader w:val="false"/>
        </w:trPr>
        <w:tc>
          <w:tcPr>
            <w:tcW w:type="dxa" w:w="44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Todas → Internet (HTTPS hacia la plataforma y servicios de trabajo)</w:t>
            </w:r>
          </w:p>
        </w:tc>
        <w:tc>
          <w:tcPr>
            <w:tcW w:type="dxa" w:w="1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Permitir</w:t>
            </w:r>
          </w:p>
        </w:tc>
        <w:tc>
          <w:tcPr>
            <w:tcW w:type="dxa" w:w="3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La plataforma y sus paneles se alojan en la nube; la sede no aloja servidores.</w:t>
            </w:r>
          </w:p>
        </w:tc>
      </w:tr>
      <w:tr>
        <w:trPr>
          <w:cantSplit/>
          <w:tblHeader w:val="false"/>
        </w:trPr>
        <w:tc>
          <w:tcPr>
            <w:tcW w:type="dxa" w:w="44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10, 20, 30 y 40 → 60 (impresión)</w:t>
            </w:r>
          </w:p>
        </w:tc>
        <w:tc>
          <w:tcPr>
            <w:tcW w:type="dxa" w:w="1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Permitir</w:t>
            </w:r>
          </w:p>
        </w:tc>
        <w:tc>
          <w:tcPr>
            <w:tcW w:type="dxa" w:w="3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Servicio común.</w:t>
            </w:r>
          </w:p>
        </w:tc>
      </w:tr>
      <w:tr>
        <w:trPr>
          <w:cantSplit/>
          <w:tblHeader w:val="false"/>
        </w:trPr>
        <w:tc>
          <w:tcPr>
            <w:tcW w:type="dxa" w:w="44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20 → 99 (gestión)</w:t>
            </w:r>
          </w:p>
        </w:tc>
        <w:tc>
          <w:tcPr>
            <w:tcW w:type="dxa" w:w="1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Permitir</w:t>
            </w:r>
          </w:p>
        </w:tc>
        <w:tc>
          <w:tcPr>
            <w:tcW w:type="dxa" w:w="3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U-01 administra la infraestructura técnica (D1 §2.6.3).</w:t>
            </w:r>
          </w:p>
        </w:tc>
      </w:tr>
      <w:tr>
        <w:trPr>
          <w:cantSplit/>
          <w:tblHeader w:val="false"/>
        </w:trPr>
        <w:tc>
          <w:tcPr>
            <w:tcW w:type="dxa" w:w="44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30 → 20 y 30 → 99</w:t>
            </w:r>
          </w:p>
        </w:tc>
        <w:tc>
          <w:tcPr>
            <w:tcW w:type="dxa" w:w="1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Denegar</w:t>
            </w:r>
          </w:p>
        </w:tc>
        <w:tc>
          <w:tcPr>
            <w:tcW w:type="dxa" w:w="3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RO-04: quien administra el mercado no alcanza los equipos ni las estaciones de quien construye.</w:t>
            </w:r>
          </w:p>
        </w:tc>
      </w:tr>
      <w:tr>
        <w:trPr>
          <w:cantSplit/>
          <w:tblHeader w:val="false"/>
        </w:trPr>
        <w:tc>
          <w:tcPr>
            <w:tcW w:type="dxa" w:w="44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50 → cualquier red interna</w:t>
            </w:r>
          </w:p>
        </w:tc>
        <w:tc>
          <w:tcPr>
            <w:tcW w:type="dxa" w:w="1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Denegar</w:t>
            </w:r>
          </w:p>
        </w:tc>
        <w:tc>
          <w:tcPr>
            <w:tcW w:type="dxa" w:w="3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La red de visitas solo da salida a Internet, con aislamiento entre clientes y límite de ancho de banda.</w:t>
            </w:r>
          </w:p>
        </w:tc>
      </w:tr>
      <w:tr>
        <w:trPr>
          <w:cantSplit/>
          <w:tblHeader w:val="false"/>
        </w:trPr>
        <w:tc>
          <w:tcPr>
            <w:tcW w:type="dxa" w:w="44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Internet → cualquier red interna (conexiones nuevas)</w:t>
            </w:r>
          </w:p>
        </w:tc>
        <w:tc>
          <w:tcPr>
            <w:tcW w:type="dxa" w:w="1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Denegar</w:t>
            </w:r>
          </w:p>
        </w:tc>
        <w:tc>
          <w:tcPr>
            <w:tcW w:type="dxa" w:w="38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La sede no publica ningún servicio. Solo se admiten respuestas a conexiones salientes.</w:t>
            </w:r>
          </w:p>
        </w:tc>
      </w:tr>
    </w:tbl>
    <w:p>
      <w:pPr>
        <w:spacing w:after="120"/>
      </w:pPr>
    </w:p>
    <w:p>
      <w:pPr>
        <w:pStyle w:val="Heading3"/>
        <w:keepNext/>
        <w:spacing w:before="200" w:after="110"/>
      </w:pPr>
      <w:r>
        <w:rPr>
          <w:rFonts w:ascii="Calibri" w:cs="Calibri" w:eastAsia="Calibri" w:hAnsi="Calibri"/>
          <w:b/>
          <w:bCs/>
          <w:color w:val="333333"/>
          <w:sz w:val="22"/>
          <w:szCs w:val="22"/>
        </w:rPr>
        <w:t xml:space="preserve">2.2.5 Red inalámbrica</w:t>
      </w:r>
    </w:p>
    <w:p>
      <w:pPr>
        <w:spacing w:after="140" w:before="0" w:line="276"/>
        <w:jc w:val="both"/>
      </w:pPr>
      <w:r>
        <w:rPr>
          <w:rFonts w:ascii="Calibri" w:cs="Calibri" w:eastAsia="Calibri" w:hAnsi="Calibri"/>
          <w:sz w:val="22"/>
          <w:szCs w:val="22"/>
        </w:rPr>
        <w:t xml:space="preserve">El punto de acceso Wi-Fi 6 publica dos redes. AbasteceNi-Campo (VLAN 40) usa WPA3-Personal con una frase de paso que se rota cuando cambia el personal. AbasteceNi-Visitas (VLAN 50) usa WPA3, aislamiento entre clientes y un límite de ancho de banda. La red de visitas existe porque la afiliación presencial de PM-01 ocurre en la sede: el comerciante completa su registro en su propio teléfono mientras U-03 lo acompaña, sin ingresar nunca a una red interna.</w:t>
      </w:r>
    </w:p>
    <w:p>
      <w:r>
        <w:br w:type="page"/>
      </w:r>
    </w:p>
    <w:p>
      <w:pPr>
        <w:pStyle w:val="Heading2"/>
        <w:keepNext/>
        <w:spacing w:before="260" w:after="140"/>
      </w:pPr>
      <w:r>
        <w:rPr>
          <w:rFonts w:ascii="Calibri" w:cs="Calibri" w:eastAsia="Calibri" w:hAnsi="Calibri"/>
          <w:b/>
          <w:bCs/>
          <w:color w:val="1F3864"/>
          <w:sz w:val="25"/>
          <w:szCs w:val="25"/>
        </w:rPr>
        <w:t xml:space="preserve">2.3 Topología de red en la nube</w:t>
      </w:r>
    </w:p>
    <w:p>
      <w:pPr>
        <w:spacing w:after="140" w:before="0" w:line="276"/>
        <w:jc w:val="both"/>
      </w:pPr>
      <w:r>
        <w:rPr>
          <w:rFonts w:ascii="Calibri" w:cs="Calibri" w:eastAsia="Calibri" w:hAnsi="Calibri"/>
          <w:sz w:val="22"/>
          <w:szCs w:val="22"/>
        </w:rPr>
        <w:t xml:space="preserve">Los servidores de la plataforma se alojan en una suscripción de Azure, dentro de un único grupo de recursos de producción. La figura 2 muestra la topología. Lo que cruza Internet se reduce a tres puntos: la entrada pública por Azure Front Door, la salida del trabajador hacia los proveedores de mensajería y correo, y el despliegue desde GitHub Actions. Todo lo demás reside en una red virtual privada.</w:t>
      </w:r>
    </w:p>
    <w:p>
      <w:pPr>
        <w:sectPr>
          <w:headerReference w:type="default" r:id="rId6"/>
          <w:footerReference w:type="default" r:id="rId7"/>
          <w:pgSz w:w="12240" w:h="15840" w:orient="portrait"/>
          <w:pgMar w:top="1300" w:right="1440" w:bottom="1300" w:left="1440" w:header="708" w:footer="708" w:gutter="0"/>
          <w:pgNumType/>
          <w:docGrid w:linePitch="360"/>
        </w:sectPr>
      </w:pPr>
    </w:p>
    <w:p>
      <w:pPr>
        <w:keepNext/>
        <w:spacing w:before="120" w:after="60"/>
        <w:jc w:val="center"/>
      </w:pPr>
      <w:r>
        <w:drawing>
          <wp:inline distT="0" distB="0" distL="0" distR="0">
            <wp:extent cx="8191500" cy="3057525"/>
            <wp:effectExtent t="0" r="0" b="0" l="0"/>
            <wp:docPr id="1" name="red-02-nube-azure.png" descr="Figura 2 — Topología de red en Microsoft Azure: red virtual, subredes, servicios gestionados y flujos." title="Figura 2 — Topología de red en Microsoft Azure: red virtual, subredes, servicios gestionados y flu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191500" cy="3057525"/>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Figura 2 — Topología de red en Microsoft Azure: red virtual, subredes, servicios gestionados y flujos.</w:t>
      </w:r>
    </w:p>
    <w:p>
      <w:pPr>
        <w:sectPr>
          <w:headerReference w:type="default" r:id="rId8"/>
          <w:footerReference w:type="default" r:id="rId9"/>
          <w:pgSz w:w="15840" w:h="12240" w:orient="landscape"/>
          <w:pgMar w:top="1300" w:right="1440" w:bottom="1300" w:left="1440" w:header="708" w:footer="708" w:gutter="0"/>
          <w:pgNumType/>
          <w:docGrid w:linePitch="360"/>
        </w:sectPr>
      </w:pPr>
    </w:p>
    <w:p>
      <w:pPr>
        <w:pStyle w:val="Heading3"/>
        <w:keepNext/>
        <w:spacing w:before="200" w:after="110"/>
      </w:pPr>
      <w:r>
        <w:rPr>
          <w:rFonts w:ascii="Calibri" w:cs="Calibri" w:eastAsia="Calibri" w:hAnsi="Calibri"/>
          <w:b/>
          <w:bCs/>
          <w:color w:val="333333"/>
          <w:sz w:val="22"/>
          <w:szCs w:val="22"/>
        </w:rPr>
        <w:t xml:space="preserve">2.3.1 Direccionamiento de la red virtual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4060"/>
        <w:gridCol w:w="2200"/>
      </w:tblGrid>
      <w:tr>
        <w:trPr>
          <w:cantSplit/>
          <w:tblHeader/>
        </w:trPr>
        <w:tc>
          <w:tcPr>
            <w:tcW w:type="dxa" w:w="16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Subred</w:t>
            </w:r>
          </w:p>
        </w:tc>
        <w:tc>
          <w:tcPr>
            <w:tcW w:type="dxa" w:w="15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Prefijo</w:t>
            </w:r>
          </w:p>
        </w:tc>
        <w:tc>
          <w:tcPr>
            <w:tcW w:type="dxa" w:w="406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Contenido</w:t>
            </w:r>
          </w:p>
        </w:tc>
        <w:tc>
          <w:tcPr>
            <w:tcW w:type="dxa" w:w="22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Exposición</w:t>
            </w:r>
          </w:p>
        </w:tc>
      </w:tr>
      <w:tr>
        <w:trPr>
          <w:cantSplit/>
          <w:tblHeader w:val="false"/>
        </w:trPr>
        <w:tc>
          <w:tcPr>
            <w:tcW w:type="dxa" w:w="1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snet-aca</w:t>
            </w:r>
          </w:p>
        </w:tc>
        <w:tc>
          <w:tcPr>
            <w:tcW w:type="dxa" w:w="1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10.20.0.0/23</w:t>
            </w:r>
          </w:p>
        </w:tc>
        <w:tc>
          <w:tcPr>
            <w:tcW w:type="dxa" w:w="40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Entorno de Azure Container Apps: abasteceni-api (mínimo 2 réplicas) y abasteceni-trabajador (1 réplica)</w:t>
            </w:r>
          </w:p>
        </w:tc>
        <w:tc>
          <w:tcPr>
            <w:tcW w:type="dxa" w:w="22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Solo la API recibe tráfico, y únicamente desde Front Door</w:t>
            </w:r>
          </w:p>
        </w:tc>
      </w:tr>
      <w:tr>
        <w:trPr>
          <w:cantSplit/>
          <w:tblHeader w:val="false"/>
        </w:trPr>
        <w:tc>
          <w:tcPr>
            <w:tcW w:type="dxa" w:w="1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snet-postgres</w:t>
            </w:r>
          </w:p>
        </w:tc>
        <w:tc>
          <w:tcPr>
            <w:tcW w:type="dxa" w:w="1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10.20.2.0/28</w:t>
            </w:r>
          </w:p>
        </w:tc>
        <w:tc>
          <w:tcPr>
            <w:tcW w:type="dxa" w:w="40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PostgreSQL Flexible Server primaria y, desde IT-05, su réplica de lectura (subred delegada)</w:t>
            </w:r>
          </w:p>
        </w:tc>
        <w:tc>
          <w:tcPr>
            <w:tcW w:type="dxa" w:w="22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Sin acceso público</w:t>
            </w:r>
          </w:p>
        </w:tc>
      </w:tr>
      <w:tr>
        <w:trPr>
          <w:cantSplit/>
          <w:tblHeader w:val="false"/>
        </w:trPr>
        <w:tc>
          <w:tcPr>
            <w:tcW w:type="dxa" w:w="1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snet-privados</w:t>
            </w:r>
          </w:p>
        </w:tc>
        <w:tc>
          <w:tcPr>
            <w:tcW w:type="dxa" w:w="1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10.20.3.0/27</w:t>
            </w:r>
          </w:p>
        </w:tc>
        <w:tc>
          <w:tcPr>
            <w:tcW w:type="dxa" w:w="40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Puntos de conexión privados de Blob Storage, Key Vault y Azure Cache for Redis</w:t>
            </w:r>
          </w:p>
        </w:tc>
        <w:tc>
          <w:tcPr>
            <w:tcW w:type="dxa" w:w="22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Sin acceso público</w:t>
            </w:r>
          </w:p>
        </w:tc>
      </w:tr>
      <w:tr>
        <w:trPr>
          <w:cantSplit/>
          <w:tblHeader w:val="false"/>
        </w:trPr>
        <w:tc>
          <w:tcPr>
            <w:tcW w:type="dxa" w:w="16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Reserva</w:t>
            </w:r>
          </w:p>
        </w:tc>
        <w:tc>
          <w:tcPr>
            <w:tcW w:type="dxa" w:w="1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10.20.4.0/22</w:t>
            </w:r>
          </w:p>
        </w:tc>
        <w:tc>
          <w:tcPr>
            <w:tcW w:type="dxa" w:w="40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Crecimiento futuro, como la extracción de un módulo a un servicio propio (R-01)</w:t>
            </w:r>
          </w:p>
        </w:tc>
        <w:tc>
          <w:tcPr>
            <w:tcW w:type="dxa" w:w="22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w:t>
            </w:r>
          </w:p>
        </w:tc>
      </w:tr>
    </w:tbl>
    <w:p>
      <w:pPr>
        <w:spacing w:after="120"/>
      </w:pPr>
    </w:p>
    <w:p>
      <w:pPr>
        <w:pStyle w:val="Heading3"/>
        <w:keepNext/>
        <w:spacing w:before="200" w:after="110"/>
      </w:pPr>
      <w:r>
        <w:rPr>
          <w:rFonts w:ascii="Calibri" w:cs="Calibri" w:eastAsia="Calibri" w:hAnsi="Calibri"/>
          <w:b/>
          <w:bCs/>
          <w:color w:val="333333"/>
          <w:sz w:val="22"/>
          <w:szCs w:val="22"/>
        </w:rPr>
        <w:t xml:space="preserve">2.3.2 Inventario de recursos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500"/>
        <w:gridCol w:w="2260"/>
      </w:tblGrid>
      <w:tr>
        <w:trPr>
          <w:cantSplit/>
          <w:tblHeader/>
        </w:trPr>
        <w:tc>
          <w:tcPr>
            <w:tcW w:type="dxa" w:w="25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6"/>
                <w:szCs w:val="16"/>
              </w:rPr>
              <w:t xml:space="preserve">Recurso de Azure</w:t>
            </w:r>
          </w:p>
        </w:tc>
        <w:tc>
          <w:tcPr>
            <w:tcW w:type="dxa" w:w="21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6"/>
                <w:szCs w:val="16"/>
              </w:rPr>
              <w:t xml:space="preserve">Plan o nivel</w:t>
            </w:r>
          </w:p>
        </w:tc>
        <w:tc>
          <w:tcPr>
            <w:tcW w:type="dxa" w:w="25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6"/>
                <w:szCs w:val="16"/>
              </w:rPr>
              <w:t xml:space="preserve">Nodo de MD-05 que realiza</w:t>
            </w:r>
          </w:p>
        </w:tc>
        <w:tc>
          <w:tcPr>
            <w:tcW w:type="dxa" w:w="226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6"/>
                <w:szCs w:val="16"/>
              </w:rPr>
              <w:t xml:space="preserve">Requisitos y decisiones</w:t>
            </w:r>
          </w:p>
        </w:tc>
      </w:tr>
      <w:tr>
        <w:trPr>
          <w:cantSplit/>
          <w:tblHeader w:val="false"/>
        </w:trPr>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Azure Front Door</w:t>
            </w:r>
          </w:p>
        </w:tc>
        <w:tc>
          <w:tcPr>
            <w:tcW w:type="dxa" w:w="2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Standard</w:t>
            </w:r>
          </w:p>
        </w:tc>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Balanceador de carga con terminación TLS y red de distribución de contenido</w:t>
            </w:r>
          </w:p>
        </w:tc>
        <w:tc>
          <w:tcPr>
            <w:tcW w:type="dxa" w:w="22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SYS-NFN-02, SYS-NFN-03, ADR-06, ADR-08</w:t>
            </w:r>
          </w:p>
        </w:tc>
      </w:tr>
      <w:tr>
        <w:trPr>
          <w:cantSplit/>
          <w:tblHeader w:val="false"/>
        </w:trPr>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Azure Storage, sitio estático</w:t>
            </w:r>
          </w:p>
        </w:tc>
        <w:tc>
          <w:tcPr>
            <w:tcW w:type="dxa" w:w="2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Estándar LRS</w:t>
            </w:r>
          </w:p>
        </w:tc>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Activos estáticos del cliente web</w:t>
            </w:r>
          </w:p>
        </w:tc>
        <w:tc>
          <w:tcPr>
            <w:tcW w:type="dxa" w:w="22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SYS-NFN-08, SYS-NFN-10, ADR-06</w:t>
            </w:r>
          </w:p>
        </w:tc>
      </w:tr>
      <w:tr>
        <w:trPr>
          <w:cantSplit/>
          <w:tblHeader w:val="false"/>
        </w:trPr>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Azure Container Apps: abasteceni-api</w:t>
            </w:r>
          </w:p>
        </w:tc>
        <w:tc>
          <w:tcPr>
            <w:tcW w:type="dxa" w:w="2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Consumo; escala por HTTP; mínimo 2 réplicas</w:t>
            </w:r>
          </w:p>
        </w:tc>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Instancias de aplicación 1 a N, sin estado</w:t>
            </w:r>
          </w:p>
        </w:tc>
        <w:tc>
          <w:tcPr>
            <w:tcW w:type="dxa" w:w="22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PA-04, ADR-04, RNF-05, R-03</w:t>
            </w:r>
          </w:p>
        </w:tc>
      </w:tr>
      <w:tr>
        <w:trPr>
          <w:cantSplit/>
          <w:tblHeader w:val="false"/>
        </w:trPr>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Azure Container Apps: abasteceni-trabajador</w:t>
            </w:r>
          </w:p>
        </w:tc>
        <w:tc>
          <w:tcPr>
            <w:tcW w:type="dxa" w:w="2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Consumo; 1 réplica; sin ingreso</w:t>
            </w:r>
          </w:p>
        </w:tc>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Nodo trabajador (proceso asíncrono)</w:t>
            </w:r>
          </w:p>
        </w:tc>
        <w:tc>
          <w:tcPr>
            <w:tcW w:type="dxa" w:w="22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ADR-01, ADR-02, MD-03</w:t>
            </w:r>
          </w:p>
        </w:tc>
      </w:tr>
      <w:tr>
        <w:trPr>
          <w:cantSplit/>
          <w:tblHeader w:val="false"/>
        </w:trPr>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Azure Database for PostgreSQL – Flexible Server</w:t>
            </w:r>
          </w:p>
        </w:tc>
        <w:tc>
          <w:tcPr>
            <w:tcW w:type="dxa" w:w="2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Burstable en IT-00; uso general desde IT-05</w:t>
            </w:r>
          </w:p>
        </w:tc>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Base de datos primaria con cifrado AES-256 en reposo</w:t>
            </w:r>
          </w:p>
        </w:tc>
        <w:tc>
          <w:tcPr>
            <w:tcW w:type="dxa" w:w="22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SYS-NFN-01, SYS-NFN-14, ADR-05, ADR-07</w:t>
            </w:r>
          </w:p>
        </w:tc>
      </w:tr>
      <w:tr>
        <w:trPr>
          <w:cantSplit/>
          <w:tblHeader w:val="false"/>
        </w:trPr>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Réplica de lectura de PostgreSQL</w:t>
            </w:r>
          </w:p>
        </w:tc>
        <w:tc>
          <w:tcPr>
            <w:tcW w:type="dxa" w:w="2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Uso general (requisito del servicio)</w:t>
            </w:r>
          </w:p>
        </w:tc>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Réplica de lectura</w:t>
            </w:r>
          </w:p>
        </w:tc>
        <w:tc>
          <w:tcPr>
            <w:tcW w:type="dxa" w:w="22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ADR-03, RF-03</w:t>
            </w:r>
          </w:p>
        </w:tc>
      </w:tr>
      <w:tr>
        <w:trPr>
          <w:cantSplit/>
          <w:tblHeader w:val="false"/>
        </w:trPr>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Azure Cache for Redis</w:t>
            </w:r>
          </w:p>
        </w:tc>
        <w:tc>
          <w:tcPr>
            <w:tcW w:type="dxa" w:w="2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Básico, desde IT-05</w:t>
            </w:r>
          </w:p>
        </w:tc>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Caché distribuida</w:t>
            </w:r>
          </w:p>
        </w:tc>
        <w:tc>
          <w:tcPr>
            <w:tcW w:type="dxa" w:w="22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V-04 (rendimiento)</w:t>
            </w:r>
          </w:p>
        </w:tc>
      </w:tr>
      <w:tr>
        <w:trPr>
          <w:cantSplit/>
          <w:tblHeader w:val="false"/>
        </w:trPr>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Azure Blob Storage</w:t>
            </w:r>
          </w:p>
        </w:tc>
        <w:tc>
          <w:tcPr>
            <w:tcW w:type="dxa" w:w="2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Estándar; niveles caliente y de archivo; inmutabilidad por tiempo</w:t>
            </w:r>
          </w:p>
        </w:tc>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Almacén de objetos de registros legales; archivo de la bitácora</w:t>
            </w:r>
          </w:p>
        </w:tc>
        <w:tc>
          <w:tcPr>
            <w:tcW w:type="dxa" w:w="22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SYS-FN-02, SYS-NFN-04, ADR-05</w:t>
            </w:r>
          </w:p>
        </w:tc>
      </w:tr>
      <w:tr>
        <w:trPr>
          <w:cantSplit/>
          <w:tblHeader w:val="false"/>
        </w:trPr>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Azure Key Vault</w:t>
            </w:r>
          </w:p>
        </w:tc>
        <w:tc>
          <w:tcPr>
            <w:tcW w:type="dxa" w:w="2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Estándar</w:t>
            </w:r>
          </w:p>
        </w:tc>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Fuera de MD-05: secretos de la aplicación</w:t>
            </w:r>
          </w:p>
        </w:tc>
        <w:tc>
          <w:tcPr>
            <w:tcW w:type="dxa" w:w="22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CLAUDE.md §9; ISO/IEC 27002 8.9 y 8.24</w:t>
            </w:r>
          </w:p>
        </w:tc>
      </w:tr>
      <w:tr>
        <w:trPr>
          <w:cantSplit/>
          <w:tblHeader w:val="false"/>
        </w:trPr>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Azure Communication Services, correo</w:t>
            </w:r>
          </w:p>
        </w:tc>
        <w:tc>
          <w:tcPr>
            <w:tcW w:type="dxa" w:w="2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Pago por uso</w:t>
            </w:r>
          </w:p>
        </w:tc>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Servicio de correo saliente</w:t>
            </w:r>
          </w:p>
        </w:tc>
        <w:tc>
          <w:tcPr>
            <w:tcW w:type="dxa" w:w="22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R-05, SYS-FN-05, SYS-FN-07</w:t>
            </w:r>
          </w:p>
        </w:tc>
      </w:tr>
      <w:tr>
        <w:trPr>
          <w:cantSplit/>
          <w:tblHeader w:val="false"/>
        </w:trPr>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Azure Monitor y Application Insights</w:t>
            </w:r>
          </w:p>
        </w:tc>
        <w:tc>
          <w:tcPr>
            <w:tcW w:type="dxa" w:w="2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Pago por uso con ingesta mínima</w:t>
            </w:r>
          </w:p>
        </w:tc>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Observabilidad de V-04</w:t>
            </w:r>
          </w:p>
        </w:tc>
        <w:tc>
          <w:tcPr>
            <w:tcW w:type="dxa" w:w="22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SYS-NFN-13, MT-04, MT-05</w:t>
            </w:r>
          </w:p>
        </w:tc>
      </w:tr>
      <w:tr>
        <w:trPr>
          <w:cantSplit/>
          <w:tblHeader w:val="false"/>
        </w:trPr>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Microsoft Entra ID</w:t>
            </w:r>
          </w:p>
        </w:tc>
        <w:tc>
          <w:tcPr>
            <w:tcW w:type="dxa" w:w="21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Gratuito con MFA</w:t>
            </w:r>
          </w:p>
        </w:tc>
        <w:tc>
          <w:tcPr>
            <w:tcW w:type="dxa" w:w="2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Fuera de MD-05: identidad del equipo y del despliegue</w:t>
            </w:r>
          </w:p>
        </w:tc>
        <w:tc>
          <w:tcPr>
            <w:tcW w:type="dxa" w:w="22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RO-04; ISO/IEC 27002 8.2 y 8.5</w:t>
            </w:r>
          </w:p>
        </w:tc>
      </w:tr>
    </w:tbl>
    <w:p>
      <w:pPr>
        <w:spacing w:after="120"/>
      </w:pPr>
    </w:p>
    <w:p>
      <w:pPr>
        <w:pStyle w:val="Heading3"/>
        <w:keepNext/>
        <w:spacing w:before="200" w:after="110"/>
      </w:pPr>
      <w:r>
        <w:rPr>
          <w:rFonts w:ascii="Calibri" w:cs="Calibri" w:eastAsia="Calibri" w:hAnsi="Calibri"/>
          <w:b/>
          <w:bCs/>
          <w:color w:val="333333"/>
          <w:sz w:val="22"/>
          <w:szCs w:val="22"/>
        </w:rPr>
        <w:t xml:space="preserve">2.3.3 Flujos permitidos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cantSplit/>
          <w:tblHeader/>
        </w:trPr>
        <w:tc>
          <w:tcPr>
            <w:tcW w:type="dxa" w:w="20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6"/>
                <w:szCs w:val="16"/>
              </w:rPr>
              <w:t xml:space="preserve">Origen</w:t>
            </w:r>
          </w:p>
        </w:tc>
        <w:tc>
          <w:tcPr>
            <w:tcW w:type="dxa" w:w="20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6"/>
                <w:szCs w:val="16"/>
              </w:rPr>
              <w:t xml:space="preserve">Destino</w:t>
            </w:r>
          </w:p>
        </w:tc>
        <w:tc>
          <w:tcPr>
            <w:tcW w:type="dxa" w:w="18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6"/>
                <w:szCs w:val="16"/>
              </w:rPr>
              <w:t xml:space="preserve">Protocolo y puerto</w:t>
            </w:r>
          </w:p>
        </w:tc>
        <w:tc>
          <w:tcPr>
            <w:tcW w:type="dxa" w:w="356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6"/>
                <w:szCs w:val="16"/>
              </w:rPr>
              <w:t xml:space="preserve">Control</w:t>
            </w:r>
          </w:p>
        </w:tc>
      </w:tr>
      <w:tr>
        <w:trPr>
          <w:cantSplit/>
          <w:tblHeader w:val="false"/>
        </w:trPr>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Usuarios en Internet</w:t>
            </w:r>
          </w:p>
        </w:tc>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Azure Front Door</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HTTPS 443</w:t>
            </w:r>
          </w:p>
        </w:tc>
        <w:tc>
          <w:tcPr>
            <w:tcW w:type="dxa" w:w="3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TLS en el borde, regla de límite de tasa por IP y redirección de HTTP a HTTPS</w:t>
            </w:r>
          </w:p>
        </w:tc>
      </w:tr>
      <w:tr>
        <w:trPr>
          <w:cantSplit/>
          <w:tblHeader w:val="false"/>
        </w:trPr>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Azure Front Door</w:t>
            </w:r>
          </w:p>
        </w:tc>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abasteceni-api</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HTTPS 443</w:t>
            </w:r>
          </w:p>
        </w:tc>
        <w:tc>
          <w:tcPr>
            <w:tcW w:type="dxa" w:w="3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La API solo acepta peticiones con la cabecera X-Azure-FDID del perfil propio, verificada en la capa 2</w:t>
            </w:r>
          </w:p>
        </w:tc>
      </w:tr>
      <w:tr>
        <w:trPr>
          <w:cantSplit/>
          <w:tblHeader w:val="false"/>
        </w:trPr>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abasteceni-api y trabajador</w:t>
            </w:r>
          </w:p>
        </w:tc>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PostgreSQL</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TCP 5432 con TLS</w:t>
            </w:r>
          </w:p>
        </w:tc>
        <w:tc>
          <w:tcPr>
            <w:tcW w:type="dxa" w:w="3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Red privada; la aplicación se conecta con el rol abasteceni_app, sin UPDATE ni DELETE sobre la bitácora (ADR-05)</w:t>
            </w:r>
          </w:p>
        </w:tc>
      </w:tr>
      <w:tr>
        <w:trPr>
          <w:cantSplit/>
          <w:tblHeader w:val="false"/>
        </w:trPr>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abasteceni-api</w:t>
            </w:r>
          </w:p>
        </w:tc>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Blob, Key Vault y Redis</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HTTPS 443 / TLS 6380</w:t>
            </w:r>
          </w:p>
        </w:tc>
        <w:tc>
          <w:tcPr>
            <w:tcW w:type="dxa" w:w="3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Puntos de conexión privados e identidad administrada, sin claves en el código</w:t>
            </w:r>
          </w:p>
        </w:tc>
      </w:tr>
      <w:tr>
        <w:trPr>
          <w:cantSplit/>
          <w:tblHeader w:val="false"/>
        </w:trPr>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abasteceni-trabajador</w:t>
            </w:r>
          </w:p>
        </w:tc>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WhatsApp Cloud API y ACS correo</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HTTPS 443 saliente</w:t>
            </w:r>
          </w:p>
        </w:tc>
        <w:tc>
          <w:tcPr>
            <w:tcW w:type="dxa" w:w="3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Interruptor de circuito (ADR-02) y puerto de notificación abstracto (R-05)</w:t>
            </w:r>
          </w:p>
        </w:tc>
      </w:tr>
      <w:tr>
        <w:trPr>
          <w:cantSplit/>
          <w:tblHeader w:val="false"/>
        </w:trPr>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GitHub Actions</w:t>
            </w:r>
          </w:p>
        </w:tc>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Azure (plano de control)</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HTTPS 443</w:t>
            </w:r>
          </w:p>
        </w:tc>
        <w:tc>
          <w:tcPr>
            <w:tcW w:type="dxa" w:w="3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Federación OIDC de identidad de carga de trabajo, sin secretos almacenados en el repositorio</w:t>
            </w:r>
          </w:p>
        </w:tc>
      </w:tr>
      <w:tr>
        <w:trPr>
          <w:cantSplit/>
          <w:tblHeader w:val="false"/>
        </w:trPr>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Sede (U-01)</w:t>
            </w:r>
          </w:p>
        </w:tc>
        <w:tc>
          <w:tcPr>
            <w:tcW w:type="dxa" w:w="2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Portal de Azure</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HTTPS 443</w:t>
            </w:r>
          </w:p>
        </w:tc>
        <w:tc>
          <w:tcPr>
            <w:tcW w:type="dxa" w:w="3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6"/>
                <w:szCs w:val="16"/>
              </w:rPr>
              <w:t xml:space="preserve">Entra ID con MFA; U-02 no tiene roles de despliegue ni de escritura en la base de datos (RO-04)</w:t>
            </w:r>
          </w:p>
        </w:tc>
      </w:tr>
    </w:tbl>
    <w:p>
      <w:pPr>
        <w:spacing w:after="120"/>
      </w:pPr>
    </w:p>
    <w:p>
      <w:pPr>
        <w:spacing w:after="140" w:before="0" w:line="276"/>
        <w:jc w:val="both"/>
      </w:pPr>
      <w:r>
        <w:rPr>
          <w:rFonts w:ascii="Calibri" w:cs="Calibri" w:eastAsia="Calibri" w:hAnsi="Calibri"/>
          <w:sz w:val="22"/>
          <w:szCs w:val="22"/>
        </w:rPr>
        <w:t xml:space="preserve">Una advertencia sobre SYS-NFN-02. El requisito exige TLS 1.3 sin versiones obsoletas habilitadas. Front Door negocia TLS 1.3 con los clientes que lo admiten. Si el servicio no permite fijar 1.3 como versión mínima en el borde, se configura la versión mínima más alta disponible y la diferencia se registra como desviación. Se verifica en IT-10 con el análisis de SSL que prevé el criterio de aceptación del requisito.</w:t>
      </w:r>
    </w:p>
    <w:p>
      <w:pPr>
        <w:pStyle w:val="Heading2"/>
        <w:keepNext/>
        <w:spacing w:before="260" w:after="140"/>
      </w:pPr>
      <w:r>
        <w:rPr>
          <w:rFonts w:ascii="Calibri" w:cs="Calibri" w:eastAsia="Calibri" w:hAnsi="Calibri"/>
          <w:b/>
          <w:bCs/>
          <w:color w:val="1F3864"/>
          <w:sz w:val="25"/>
          <w:szCs w:val="25"/>
        </w:rPr>
        <w:t xml:space="preserve">2.4 Correspondencia con MD-05 y V-04</w:t>
      </w:r>
    </w:p>
    <w:p>
      <w:pPr>
        <w:spacing w:after="140" w:before="0" w:line="276"/>
        <w:jc w:val="both"/>
      </w:pPr>
      <w:r>
        <w:rPr>
          <w:rFonts w:ascii="Calibri" w:cs="Calibri" w:eastAsia="Calibri" w:hAnsi="Calibri"/>
          <w:sz w:val="22"/>
          <w:szCs w:val="22"/>
        </w:rPr>
        <w:t xml:space="preserve">La topología en la nube no agrega nodos a la arquitectura: realiza los diez nodos de MD-05. La tabla registra la correspondencia, con la misma práctica de correspondencias de la cláusula 6.9 de ISO/IEC/IEEE 42010:2022 que aplican los documentos 3 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cantSplit/>
          <w:tblHeader/>
        </w:trPr>
        <w:tc>
          <w:tcPr>
            <w:tcW w:type="dxa" w:w="30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Nodo de MD-05</w:t>
            </w:r>
          </w:p>
        </w:tc>
        <w:tc>
          <w:tcPr>
            <w:tcW w:type="dxa" w:w="456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Realización en la red</w:t>
            </w:r>
          </w:p>
        </w:tc>
        <w:tc>
          <w:tcPr>
            <w:tcW w:type="dxa" w:w="18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¿Se cumple?</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Dispositivo del usuario</w:t>
            </w:r>
          </w:p>
        </w:tc>
        <w:tc>
          <w:tcPr>
            <w:tcW w:type="dxa" w:w="4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Navegador móvil en 3G/4G (Internet), o equipos de la sede por fibra con respaldo LTE</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Sí</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Balanceador de carga, terminación TLS 1.3 y límite por IP</w:t>
            </w:r>
          </w:p>
        </w:tc>
        <w:tc>
          <w:tcPr>
            <w:tcW w:type="dxa" w:w="4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Azure Front Door Standard con regla de límite de tasa</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Sí, sujeto a la verificación de TLS de §2.3.3</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Red de distribución de contenido</w:t>
            </w:r>
          </w:p>
        </w:tc>
        <w:tc>
          <w:tcPr>
            <w:tcW w:type="dxa" w:w="4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Azure Front Door con origen en el sitio estático de Storage</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Sí</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Instancia de aplicación 1</w:t>
            </w:r>
          </w:p>
        </w:tc>
        <w:tc>
          <w:tcPr>
            <w:tcW w:type="dxa" w:w="4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Réplica de abasteceni-api en Container Apps</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Sí</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Instancia de aplicación N (bajo demanda)</w:t>
            </w:r>
          </w:p>
        </w:tc>
        <w:tc>
          <w:tcPr>
            <w:tcW w:type="dxa" w:w="4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Réplicas adicionales por la regla de escala HTTP</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Sí</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Nodo trabajador</w:t>
            </w:r>
          </w:p>
        </w:tc>
        <w:tc>
          <w:tcPr>
            <w:tcW w:type="dxa" w:w="4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abasteceni-trabajador en Container Apps</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Sí</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Base de datos primaria (AES-256)</w:t>
            </w:r>
          </w:p>
        </w:tc>
        <w:tc>
          <w:tcPr>
            <w:tcW w:type="dxa" w:w="4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PostgreSQL Flexible Server con cifrado en reposo administrado</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Sí</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Réplica de lectura</w:t>
            </w:r>
          </w:p>
        </w:tc>
        <w:tc>
          <w:tcPr>
            <w:tcW w:type="dxa" w:w="4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Réplica de PostgreSQL desde IT-05</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Diferida a IT-05, como prevé D5 §2.14</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Caché distribuida</w:t>
            </w:r>
          </w:p>
        </w:tc>
        <w:tc>
          <w:tcPr>
            <w:tcW w:type="dxa" w:w="4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Azure Cache for Redis desde IT-05</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Diferida a IT-05</w:t>
            </w:r>
          </w:p>
        </w:tc>
      </w:tr>
      <w:tr>
        <w:trPr>
          <w:cantSplit/>
          <w:tblHeader w:val="false"/>
        </w:trPr>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Almacén de objetos</w:t>
            </w:r>
          </w:p>
        </w:tc>
        <w:tc>
          <w:tcPr>
            <w:tcW w:type="dxa" w:w="4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Azure Blob Storage con punto de conexión privado</w:t>
            </w:r>
          </w:p>
        </w:tc>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Sí</w:t>
            </w:r>
          </w:p>
        </w:tc>
      </w:tr>
    </w:tbl>
    <w:p>
      <w:pPr>
        <w:spacing w:after="120"/>
      </w:pPr>
    </w:p>
    <w:p>
      <w:pPr>
        <w:pStyle w:val="Heading2"/>
        <w:keepNext/>
        <w:spacing w:before="260" w:after="140"/>
      </w:pPr>
      <w:r>
        <w:rPr>
          <w:rFonts w:ascii="Calibri" w:cs="Calibri" w:eastAsia="Calibri" w:hAnsi="Calibri"/>
          <w:b/>
          <w:bCs/>
          <w:color w:val="1F3864"/>
          <w:sz w:val="25"/>
          <w:szCs w:val="25"/>
        </w:rPr>
        <w:t xml:space="preserve">2.5 Seguridad de la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460"/>
      </w:tblGrid>
      <w:tr>
        <w:trPr>
          <w:cantSplit/>
          <w:tblHeader/>
        </w:trPr>
        <w:tc>
          <w:tcPr>
            <w:tcW w:type="dxa" w:w="29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Control de ISO/IEC 27001:2022</w:t>
            </w:r>
          </w:p>
        </w:tc>
        <w:tc>
          <w:tcPr>
            <w:tcW w:type="dxa" w:w="30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Realización en la sede</w:t>
            </w:r>
          </w:p>
        </w:tc>
        <w:tc>
          <w:tcPr>
            <w:tcW w:type="dxa" w:w="346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Realización en la nube</w:t>
            </w:r>
          </w:p>
        </w:tc>
      </w:tr>
      <w:tr>
        <w:trPr>
          <w:cantSplit/>
          <w:tblHeader w:val="false"/>
        </w:trPr>
        <w:tc>
          <w:tcPr>
            <w:tcW w:type="dxa" w:w="2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5.23 Seguridad para el uso de servicios en la nube</w:t>
            </w:r>
          </w:p>
        </w:tc>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w:t>
            </w:r>
          </w:p>
        </w:tc>
        <w:tc>
          <w:tcPr>
            <w:tcW w:type="dxa" w:w="34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Proveedor certificado ISO/IEC 27001, 27017 y 27018; responsabilidades compartidas documentadas en este informe</w:t>
            </w:r>
          </w:p>
        </w:tc>
      </w:tr>
      <w:tr>
        <w:trPr>
          <w:cantSplit/>
          <w:tblHeader w:val="false"/>
        </w:trPr>
        <w:tc>
          <w:tcPr>
            <w:tcW w:type="dxa" w:w="2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7.8 Ubicación y protección de equipos</w:t>
            </w:r>
          </w:p>
        </w:tc>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Gabinete con llave en el cuarto técnico</w:t>
            </w:r>
          </w:p>
        </w:tc>
        <w:tc>
          <w:tcPr>
            <w:tcW w:type="dxa" w:w="34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A cargo del proveedor (centro de datos)</w:t>
            </w:r>
          </w:p>
        </w:tc>
      </w:tr>
      <w:tr>
        <w:trPr>
          <w:cantSplit/>
          <w:tblHeader w:val="false"/>
        </w:trPr>
        <w:tc>
          <w:tcPr>
            <w:tcW w:type="dxa" w:w="2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7.11 Servicios de suministro</w:t>
            </w:r>
          </w:p>
        </w:tc>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UPS para los equipos activos</w:t>
            </w:r>
          </w:p>
        </w:tc>
        <w:tc>
          <w:tcPr>
            <w:tcW w:type="dxa" w:w="34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A cargo del proveedor</w:t>
            </w:r>
          </w:p>
        </w:tc>
      </w:tr>
      <w:tr>
        <w:trPr>
          <w:cantSplit/>
          <w:tblHeader w:val="false"/>
        </w:trPr>
        <w:tc>
          <w:tcPr>
            <w:tcW w:type="dxa" w:w="2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7.12 Seguridad del cableado</w:t>
            </w:r>
          </w:p>
        </w:tc>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Canaleta perimetral, etiquetado ANSI/TIA-606 y puertos libres deshabilitados</w:t>
            </w:r>
          </w:p>
        </w:tc>
        <w:tc>
          <w:tcPr>
            <w:tcW w:type="dxa" w:w="34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w:t>
            </w:r>
          </w:p>
        </w:tc>
      </w:tr>
      <w:tr>
        <w:trPr>
          <w:cantSplit/>
          <w:tblHeader w:val="false"/>
        </w:trPr>
        <w:tc>
          <w:tcPr>
            <w:tcW w:type="dxa" w:w="2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8.13 Respaldo de la información</w:t>
            </w:r>
          </w:p>
        </w:tc>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w:t>
            </w:r>
          </w:p>
        </w:tc>
        <w:tc>
          <w:tcPr>
            <w:tcW w:type="dxa" w:w="34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Respaldos automáticos de PostgreSQL con restauración a un punto en el tiempo durante 30 días (SYS-NFN-14)</w:t>
            </w:r>
          </w:p>
        </w:tc>
      </w:tr>
      <w:tr>
        <w:trPr>
          <w:cantSplit/>
          <w:tblHeader w:val="false"/>
        </w:trPr>
        <w:tc>
          <w:tcPr>
            <w:tcW w:type="dxa" w:w="2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8.14 Redundancia</w:t>
            </w:r>
          </w:p>
        </w:tc>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Doble WAN con conmutación automática</w:t>
            </w:r>
          </w:p>
        </w:tc>
        <w:tc>
          <w:tcPr>
            <w:tcW w:type="dxa" w:w="34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Dos réplicas mínimas de la API (R-03) y réplica de lectura desde IT-05</w:t>
            </w:r>
          </w:p>
        </w:tc>
      </w:tr>
      <w:tr>
        <w:trPr>
          <w:cantSplit/>
          <w:tblHeader w:val="false"/>
        </w:trPr>
        <w:tc>
          <w:tcPr>
            <w:tcW w:type="dxa" w:w="2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8.20 Seguridad de redes</w:t>
            </w:r>
          </w:p>
        </w:tc>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Cortafuegos con estado y sin servicios publicados</w:t>
            </w:r>
          </w:p>
        </w:tc>
        <w:tc>
          <w:tcPr>
            <w:tcW w:type="dxa" w:w="34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Red virtual privada; solo Front Door es público</w:t>
            </w:r>
          </w:p>
        </w:tc>
      </w:tr>
      <w:tr>
        <w:trPr>
          <w:cantSplit/>
          <w:tblHeader w:val="false"/>
        </w:trPr>
        <w:tc>
          <w:tcPr>
            <w:tcW w:type="dxa" w:w="2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8.21 Seguridad de los servicios de red</w:t>
            </w:r>
          </w:p>
        </w:tc>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Enlaces de dos operadores distintos</w:t>
            </w:r>
          </w:p>
        </w:tc>
        <w:tc>
          <w:tcPr>
            <w:tcW w:type="dxa" w:w="34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TLS de extremo a extremo y límite de tasa en el borde (ADR-08)</w:t>
            </w:r>
          </w:p>
        </w:tc>
      </w:tr>
      <w:tr>
        <w:trPr>
          <w:cantSplit/>
          <w:tblHeader w:val="false"/>
        </w:trPr>
        <w:tc>
          <w:tcPr>
            <w:tcW w:type="dxa" w:w="29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8.22 Segregación de redes</w:t>
            </w:r>
          </w:p>
        </w:tc>
        <w:tc>
          <w:tcPr>
            <w:tcW w:type="dxa" w:w="30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Siete VLAN y las reglas de §2.2.4 (RO-04)</w:t>
            </w:r>
          </w:p>
        </w:tc>
        <w:tc>
          <w:tcPr>
            <w:tcW w:type="dxa" w:w="34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Tres subredes; puntos de conexión privados; roles de Entra ID separados para U-01 y U-02</w:t>
            </w:r>
          </w:p>
        </w:tc>
      </w:tr>
    </w:tbl>
    <w:p>
      <w:pPr>
        <w:spacing w:after="120"/>
      </w:pPr>
    </w:p>
    <w:p>
      <w:pPr>
        <w:spacing w:after="140" w:before="0" w:line="276"/>
        <w:jc w:val="both"/>
      </w:pPr>
      <w:r>
        <w:rPr>
          <w:rFonts w:ascii="Calibri" w:cs="Calibri" w:eastAsia="Calibri" w:hAnsi="Calibri"/>
          <w:sz w:val="22"/>
          <w:szCs w:val="22"/>
        </w:rPr>
        <w:t xml:space="preserve">Las prácticas siguen además las partes 1 a 3 de ISO/IEC 27033: defensa en profundidad entre el borde, la aplicación y los datos; ningún servicio interno expuesto; y la gestión de la red separada del tráfico de usuarios. Los datos personales de V-03 solo viajan cifrados y se alojan en servicios con cifrado en reposo, como exige ISO/IEC 27018.</w:t>
      </w:r>
    </w:p>
    <w:p>
      <w:pPr>
        <w:pStyle w:val="Heading2"/>
        <w:keepNext/>
        <w:spacing w:before="260" w:after="140"/>
      </w:pPr>
      <w:r>
        <w:rPr>
          <w:rFonts w:ascii="Calibri" w:cs="Calibri" w:eastAsia="Calibri" w:hAnsi="Calibri"/>
          <w:b/>
          <w:bCs/>
          <w:color w:val="1F3864"/>
          <w:sz w:val="25"/>
          <w:szCs w:val="25"/>
        </w:rPr>
        <w:t xml:space="preserve">2.6 Continuidad y disponibilidad</w:t>
      </w:r>
    </w:p>
    <w:p>
      <w:pPr>
        <w:spacing w:after="140" w:before="0" w:line="276"/>
        <w:jc w:val="both"/>
      </w:pPr>
      <w:r>
        <w:rPr>
          <w:rFonts w:ascii="Calibri" w:cs="Calibri" w:eastAsia="Calibri" w:hAnsi="Calibri"/>
          <w:sz w:val="22"/>
          <w:szCs w:val="22"/>
        </w:rPr>
        <w:t xml:space="preserve">Disponibilidad de la plataforma (SYS-NFN-13, 99,0 % mensual). No depende de la sede. Si la oficina pierde ambos enlaces, los comerciantes siguen operando, porque la plataforma está en la nube. El riesgo R-03 (punto único de fallo del proceso) se mitiga con dos réplicas mínimas de la API, sondas de vitalidad y reinicio automático de Container Apps. Las pruebas de disponibilidad de Application Insights miden el indicador.</w:t>
      </w:r>
    </w:p>
    <w:p>
      <w:pPr>
        <w:spacing w:after="140" w:before="0" w:line="276"/>
        <w:jc w:val="both"/>
      </w:pPr>
      <w:r>
        <w:rPr>
          <w:rFonts w:ascii="Calibri" w:cs="Calibri" w:eastAsia="Calibri" w:hAnsi="Calibri"/>
          <w:sz w:val="22"/>
          <w:szCs w:val="22"/>
        </w:rPr>
        <w:t xml:space="preserve">Continuidad de la sede. Si falla la fibra, el router conmuta al enlace 4G de otro operador comprobando la pasarela. Si se corta la energía, la UPS sostiene la ONT, los routers y el switch durante el tiempo de un corte breve. Las laptops tienen batería propia.</w:t>
      </w:r>
    </w:p>
    <w:p>
      <w:pPr>
        <w:spacing w:after="140" w:before="0" w:line="276"/>
        <w:jc w:val="both"/>
      </w:pPr>
      <w:r>
        <w:rPr>
          <w:rFonts w:ascii="Calibri" w:cs="Calibri" w:eastAsia="Calibri" w:hAnsi="Calibri"/>
          <w:sz w:val="22"/>
          <w:szCs w:val="22"/>
        </w:rPr>
        <w:t xml:space="preserve">Recuperación de datos. PostgreSQL conserva respaldos automáticos con restauración a un punto en el tiempo durante 30 días. La bitácora pasa del nivel caliente al de archivo a los 90 días y se conserva 7 años, con una política de inmutabilidad por tiempo que extiende al archivo el criterio de ADR-05: nadie, ni el administrador, puede modificarla ni borrarla antes del plazo.</w:t>
      </w:r>
    </w:p>
    <w:p>
      <w:pPr>
        <w:pStyle w:val="Heading2"/>
        <w:keepNext/>
        <w:spacing w:before="260" w:after="140"/>
      </w:pPr>
      <w:r>
        <w:rPr>
          <w:rFonts w:ascii="Calibri" w:cs="Calibri" w:eastAsia="Calibri" w:hAnsi="Calibri"/>
          <w:b/>
          <w:bCs/>
          <w:color w:val="1F3864"/>
          <w:sz w:val="25"/>
          <w:szCs w:val="25"/>
        </w:rPr>
        <w:t xml:space="preserve">2.7 Implantación por fases</w:t>
      </w:r>
    </w:p>
    <w:p>
      <w:pPr>
        <w:spacing w:after="140" w:before="0" w:line="276"/>
        <w:jc w:val="both"/>
      </w:pPr>
      <w:r>
        <w:rPr>
          <w:rFonts w:ascii="Calibri" w:cs="Calibri" w:eastAsia="Calibri" w:hAnsi="Calibri"/>
          <w:sz w:val="22"/>
          <w:szCs w:val="22"/>
        </w:rPr>
        <w:t xml:space="preserve">La red en la nube se aprovisiona al ritmo del plan de iteraciones del documento 4, en coherencia con D5 §2.14, que sitúa la réplica de lectura en IT-05. Así se evita pagar por capacidad que el producto aún no usa (RO-03).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Iteración</w:t>
            </w:r>
          </w:p>
        </w:tc>
        <w:tc>
          <w:tcPr>
            <w:tcW w:type="dxa" w:w="756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Recursos que se incorporan</w:t>
            </w:r>
          </w:p>
        </w:tc>
      </w:tr>
      <w:tr>
        <w:trPr>
          <w:cantSplit/>
          <w:tblHeader w:val="false"/>
        </w:trPr>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IT-00 e IT-01</w:t>
            </w:r>
          </w:p>
        </w:tc>
        <w:tc>
          <w:tcPr>
            <w:tcW w:type="dxa" w:w="7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Grupo de recursos, red virtual y subredes; PostgreSQL en nivel Burstable; Container Apps con la API y el trabajador; Key Vault; Monitor. Front Door y el sitio estático, para la rebanada vertical.</w:t>
            </w:r>
          </w:p>
        </w:tc>
      </w:tr>
      <w:tr>
        <w:trPr>
          <w:cantSplit/>
          <w:tblHeader w:val="false"/>
        </w:trPr>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IT-02</w:t>
            </w:r>
          </w:p>
        </w:tc>
        <w:tc>
          <w:tcPr>
            <w:tcW w:type="dxa" w:w="7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Blob Storage para los registros legales (SYS-FN-02) y la política de inmutabilidad de la bitácora.</w:t>
            </w:r>
          </w:p>
        </w:tc>
      </w:tr>
      <w:tr>
        <w:trPr>
          <w:cantSplit/>
          <w:tblHeader w:val="false"/>
        </w:trPr>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IT-05</w:t>
            </w:r>
          </w:p>
        </w:tc>
        <w:tc>
          <w:tcPr>
            <w:tcW w:type="dxa" w:w="7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Cambio de PostgreSQL al nivel de uso general, réplica de lectura (ADR-03) y Azure Cache for Redis.</w:t>
            </w:r>
          </w:p>
        </w:tc>
      </w:tr>
      <w:tr>
        <w:trPr>
          <w:cantSplit/>
          <w:tblHeader w:val="false"/>
        </w:trPr>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IT-07</w:t>
            </w:r>
          </w:p>
        </w:tc>
        <w:tc>
          <w:tcPr>
            <w:tcW w:type="dxa" w:w="7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Azure Communication Services para el correo de reserva y la integración con WhatsApp Cloud API.</w:t>
            </w:r>
          </w:p>
        </w:tc>
      </w:tr>
      <w:tr>
        <w:trPr>
          <w:cantSplit/>
          <w:tblHeader w:val="false"/>
        </w:trPr>
        <w:tc>
          <w:tcPr>
            <w:tcW w:type="dxa" w:w="1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IT-10</w:t>
            </w:r>
          </w:p>
        </w:tc>
        <w:tc>
          <w:tcPr>
            <w:tcW w:type="dxa" w:w="7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8"/>
                <w:szCs w:val="18"/>
              </w:rPr>
              <w:t xml:space="preserve">Verificación del conjunto: análisis de TLS, prueba de carga de 500 usuarios concurrentes (SYS-NFN-06) y medición de disponibilidad.</w:t>
            </w:r>
          </w:p>
        </w:tc>
      </w:tr>
    </w:tbl>
    <w:p>
      <w:pPr>
        <w:spacing w:after="120"/>
      </w:pPr>
    </w:p>
    <w:p>
      <w:pPr>
        <w:spacing w:after="140" w:before="0" w:line="276"/>
        <w:jc w:val="both"/>
      </w:pPr>
      <w:r>
        <w:rPr>
          <w:rFonts w:ascii="Calibri" w:cs="Calibri" w:eastAsia="Calibri" w:hAnsi="Calibri"/>
          <w:sz w:val="22"/>
          <w:szCs w:val="22"/>
        </w:rPr>
        <w:t xml:space="preserve">El crédito de Azure for Students cubre el piloto. Los costos del primer año se calculan con la calculadora oficial de precios de Azure antes de pasar a producción, y se contrastan con el techo de O-NEG-05: el costo de infraestructura no debe superar el 10 % del ingreso por comisión. Este informe no fija cifras de costo, porque dependen de la región y de tarifas vigentes que deben consultarse en la fuente.</w:t>
      </w:r>
    </w:p>
    <w:p>
      <w:r>
        <w:br w:type="page"/>
      </w:r>
    </w:p>
    <w:p>
      <w:pPr>
        <w:pStyle w:val="Heading1"/>
        <w:spacing w:before="360" w:after="180"/>
      </w:pPr>
      <w:r>
        <w:rPr>
          <w:rFonts w:ascii="Calibri" w:cs="Calibri" w:eastAsia="Calibri" w:hAnsi="Calibri"/>
          <w:b/>
          <w:bCs/>
          <w:color w:val="1F3864"/>
          <w:sz w:val="30"/>
          <w:szCs w:val="30"/>
        </w:rPr>
        <w:t xml:space="preserve">3. Conclusiones</w:t>
      </w:r>
    </w:p>
    <w:p>
      <w:pPr>
        <w:spacing w:after="140" w:before="0" w:line="276"/>
        <w:jc w:val="both"/>
      </w:pPr>
      <w:r>
        <w:rPr>
          <w:rFonts w:ascii="Calibri" w:cs="Calibri" w:eastAsia="Calibri" w:hAnsi="Calibri"/>
          <w:sz w:val="22"/>
          <w:szCs w:val="22"/>
        </w:rPr>
        <w:t xml:space="preserve">Primera. Los servidores se alojan en la nube pública y no en la sede. La decisión no es de conveniencia: la imponen las restricciones del documento 1. Sin personal de operación (RO-02) y sin presupuesto de licencias (RO-03), solo los servicios gestionados realizan la vista de despliegue V-04 sin contradecir la organización que debe sostenerla.</w:t>
      </w:r>
    </w:p>
    <w:p>
      <w:pPr>
        <w:spacing w:after="140" w:before="0" w:line="276"/>
        <w:jc w:val="both"/>
      </w:pPr>
      <w:r>
        <w:rPr>
          <w:rFonts w:ascii="Calibri" w:cs="Calibri" w:eastAsia="Calibri" w:hAnsi="Calibri"/>
          <w:sz w:val="22"/>
          <w:szCs w:val="22"/>
        </w:rPr>
        <w:t xml:space="preserve">Segunda. La sede es una red de oficina pequeña, pero no es una red plana. Siete VLAN llevan al plano de red la segregación de funciones de RO-04, y el doble enlace con conmutación automática protege la continuidad del trabajo de la oficina sin que la disponibilidad de la plataforma dependa de él.</w:t>
      </w:r>
    </w:p>
    <w:p>
      <w:pPr>
        <w:spacing w:after="140" w:before="0" w:line="276"/>
        <w:jc w:val="both"/>
      </w:pPr>
      <w:r>
        <w:rPr>
          <w:rFonts w:ascii="Calibri" w:cs="Calibri" w:eastAsia="Calibri" w:hAnsi="Calibri"/>
          <w:sz w:val="22"/>
          <w:szCs w:val="22"/>
        </w:rPr>
        <w:t xml:space="preserve">Tercera. La topología en la nube realiza uno a uno los diez nodos de MD-05 y no agrega ninguno. La réplica de lectura y la caché se difieren a IT-05, como el propio documento 5 había previsto. La única condición pendiente de verificar es la versión mínima de TLS en el borde frente a SYS-NFN-02, que queda declarada para IT-10 y no se oculta.</w:t>
      </w:r>
    </w:p>
    <w:p>
      <w:pPr>
        <w:spacing w:after="140" w:before="0" w:line="276"/>
        <w:jc w:val="both"/>
      </w:pPr>
      <w:r>
        <w:rPr>
          <w:rFonts w:ascii="Calibri" w:cs="Calibri" w:eastAsia="Calibri" w:hAnsi="Calibri"/>
          <w:sz w:val="22"/>
          <w:szCs w:val="22"/>
        </w:rPr>
        <w:t xml:space="preserve">Cuarta. El escenario de la sede es reproducible: el Anexo A lo lleva a Cisco Packet Tracer con la misma segmentación y las mismas reglas, y define cuatro casos de simulación que demuestran que la segregación funciona.</w:t>
      </w:r>
    </w:p>
    <w:p>
      <w:pPr>
        <w:pStyle w:val="Heading1"/>
        <w:spacing w:before="360" w:after="180"/>
      </w:pPr>
      <w:r>
        <w:rPr>
          <w:rFonts w:ascii="Calibri" w:cs="Calibri" w:eastAsia="Calibri" w:hAnsi="Calibri"/>
          <w:b/>
          <w:bCs/>
          <w:color w:val="1F3864"/>
          <w:sz w:val="30"/>
          <w:szCs w:val="30"/>
        </w:rPr>
        <w:t xml:space="preserve">4. Referencias normativas y bibliográficas</w:t>
      </w:r>
    </w:p>
    <w:p>
      <w:pPr>
        <w:spacing w:after="80" w:before="0" w:line="276"/>
        <w:jc w:val="left"/>
      </w:pPr>
      <w:r>
        <w:rPr>
          <w:rFonts w:ascii="Calibri" w:cs="Calibri" w:eastAsia="Calibri" w:hAnsi="Calibri"/>
          <w:sz w:val="20"/>
          <w:szCs w:val="20"/>
        </w:rPr>
        <w:t xml:space="preserve">[1] ISO/IEC 11801-1:2017. Information technology — Generic cabling for customer premises — Part 1: General requirements.</w:t>
      </w:r>
    </w:p>
    <w:p>
      <w:pPr>
        <w:spacing w:after="80" w:before="0" w:line="276"/>
        <w:jc w:val="left"/>
      </w:pPr>
      <w:r>
        <w:rPr>
          <w:rFonts w:ascii="Calibri" w:cs="Calibri" w:eastAsia="Calibri" w:hAnsi="Calibri"/>
          <w:sz w:val="20"/>
          <w:szCs w:val="20"/>
        </w:rPr>
        <w:t xml:space="preserve">[2] ANSI/TIA-568.2-D. Balanced Twisted-Pair Telecommunications Cabling and Components Standard. TIA, 2018.</w:t>
      </w:r>
    </w:p>
    <w:p>
      <w:pPr>
        <w:spacing w:after="80" w:before="0" w:line="276"/>
        <w:jc w:val="left"/>
      </w:pPr>
      <w:r>
        <w:rPr>
          <w:rFonts w:ascii="Calibri" w:cs="Calibri" w:eastAsia="Calibri" w:hAnsi="Calibri"/>
          <w:sz w:val="20"/>
          <w:szCs w:val="20"/>
        </w:rPr>
        <w:t xml:space="preserve">[3] ANSI/TIA-569. Telecommunications Pathways and Spaces. TIA.</w:t>
      </w:r>
    </w:p>
    <w:p>
      <w:pPr>
        <w:spacing w:after="80" w:before="0" w:line="276"/>
        <w:jc w:val="left"/>
      </w:pPr>
      <w:r>
        <w:rPr>
          <w:rFonts w:ascii="Calibri" w:cs="Calibri" w:eastAsia="Calibri" w:hAnsi="Calibri"/>
          <w:sz w:val="20"/>
          <w:szCs w:val="20"/>
        </w:rPr>
        <w:t xml:space="preserve">[4] ANSI/TIA-606. Administration Standard for Telecommunications Infrastructure. TIA.</w:t>
      </w:r>
    </w:p>
    <w:p>
      <w:pPr>
        <w:spacing w:after="80" w:before="0" w:line="276"/>
        <w:jc w:val="left"/>
      </w:pPr>
      <w:r>
        <w:rPr>
          <w:rFonts w:ascii="Calibri" w:cs="Calibri" w:eastAsia="Calibri" w:hAnsi="Calibri"/>
          <w:sz w:val="20"/>
          <w:szCs w:val="20"/>
        </w:rPr>
        <w:t xml:space="preserve">[5] ANSI/TIA-607. Generic Telecommunications Bonding and Grounding (Earthing) for Customer Premises. TIA.</w:t>
      </w:r>
    </w:p>
    <w:p>
      <w:pPr>
        <w:spacing w:after="80" w:before="0" w:line="276"/>
        <w:jc w:val="left"/>
      </w:pPr>
      <w:r>
        <w:rPr>
          <w:rFonts w:ascii="Calibri" w:cs="Calibri" w:eastAsia="Calibri" w:hAnsi="Calibri"/>
          <w:sz w:val="20"/>
          <w:szCs w:val="20"/>
        </w:rPr>
        <w:t xml:space="preserve">[6] IEEE 802.3. IEEE Standard for Ethernet (incluye 802.3ab y 802.3at).</w:t>
      </w:r>
    </w:p>
    <w:p>
      <w:pPr>
        <w:spacing w:after="80" w:before="0" w:line="276"/>
        <w:jc w:val="left"/>
      </w:pPr>
      <w:r>
        <w:rPr>
          <w:rFonts w:ascii="Calibri" w:cs="Calibri" w:eastAsia="Calibri" w:hAnsi="Calibri"/>
          <w:sz w:val="20"/>
          <w:szCs w:val="20"/>
        </w:rPr>
        <w:t xml:space="preserve">[7] IEEE 802.1Q. Bridges and Bridged Networks (VLAN).</w:t>
      </w:r>
    </w:p>
    <w:p>
      <w:pPr>
        <w:spacing w:after="80" w:before="0" w:line="276"/>
        <w:jc w:val="left"/>
      </w:pPr>
      <w:r>
        <w:rPr>
          <w:rFonts w:ascii="Calibri" w:cs="Calibri" w:eastAsia="Calibri" w:hAnsi="Calibri"/>
          <w:sz w:val="20"/>
          <w:szCs w:val="20"/>
        </w:rPr>
        <w:t xml:space="preserve">[8] IEEE 802.11ax. Wi-Fi 6. Wi-Fi Alliance, WPA3 Specification.</w:t>
      </w:r>
    </w:p>
    <w:p>
      <w:pPr>
        <w:spacing w:after="80" w:before="0" w:line="276"/>
        <w:jc w:val="left"/>
      </w:pPr>
      <w:r>
        <w:rPr>
          <w:rFonts w:ascii="Calibri" w:cs="Calibri" w:eastAsia="Calibri" w:hAnsi="Calibri"/>
          <w:sz w:val="20"/>
          <w:szCs w:val="20"/>
        </w:rPr>
        <w:t xml:space="preserve">[9] ISO/IEC 27001:2022. Information security, cybersecurity and privacy protection — Information security management systems — Requirements.</w:t>
      </w:r>
    </w:p>
    <w:p>
      <w:pPr>
        <w:spacing w:after="80" w:before="0" w:line="276"/>
        <w:jc w:val="left"/>
      </w:pPr>
      <w:r>
        <w:rPr>
          <w:rFonts w:ascii="Calibri" w:cs="Calibri" w:eastAsia="Calibri" w:hAnsi="Calibri"/>
          <w:sz w:val="20"/>
          <w:szCs w:val="20"/>
        </w:rPr>
        <w:t xml:space="preserve">[10] ISO/IEC 27002:2022. Information security controls.</w:t>
      </w:r>
    </w:p>
    <w:p>
      <w:pPr>
        <w:spacing w:after="80" w:before="0" w:line="276"/>
        <w:jc w:val="left"/>
      </w:pPr>
      <w:r>
        <w:rPr>
          <w:rFonts w:ascii="Calibri" w:cs="Calibri" w:eastAsia="Calibri" w:hAnsi="Calibri"/>
          <w:sz w:val="20"/>
          <w:szCs w:val="20"/>
        </w:rPr>
        <w:t xml:space="preserve">[11] ISO/IEC 27033, partes 1 a 3. Information technology — Security techniques — Network security.</w:t>
      </w:r>
    </w:p>
    <w:p>
      <w:pPr>
        <w:spacing w:after="80" w:before="0" w:line="276"/>
        <w:jc w:val="left"/>
      </w:pPr>
      <w:r>
        <w:rPr>
          <w:rFonts w:ascii="Calibri" w:cs="Calibri" w:eastAsia="Calibri" w:hAnsi="Calibri"/>
          <w:sz w:val="20"/>
          <w:szCs w:val="20"/>
        </w:rPr>
        <w:t xml:space="preserve">[12] ISO/IEC 27017:2015. Code of practice for information security controls based on ISO/IEC 27002 for cloud services.</w:t>
      </w:r>
    </w:p>
    <w:p>
      <w:pPr>
        <w:spacing w:after="80" w:before="0" w:line="276"/>
        <w:jc w:val="left"/>
      </w:pPr>
      <w:r>
        <w:rPr>
          <w:rFonts w:ascii="Calibri" w:cs="Calibri" w:eastAsia="Calibri" w:hAnsi="Calibri"/>
          <w:sz w:val="20"/>
          <w:szCs w:val="20"/>
        </w:rPr>
        <w:t xml:space="preserve">[13] ISO/IEC 27018:2019. Code of practice for protection of PII in public clouds acting as PII processors.</w:t>
      </w:r>
    </w:p>
    <w:p>
      <w:pPr>
        <w:spacing w:after="80" w:before="0" w:line="276"/>
        <w:jc w:val="left"/>
      </w:pPr>
      <w:r>
        <w:rPr>
          <w:rFonts w:ascii="Calibri" w:cs="Calibri" w:eastAsia="Calibri" w:hAnsi="Calibri"/>
          <w:sz w:val="20"/>
          <w:szCs w:val="20"/>
        </w:rPr>
        <w:t xml:space="preserve">[14] ISO/IEC 17789:2014. Cloud computing — Reference architecture. ISO/IEC 22123-1. Cloud computing — Vocabulary.</w:t>
      </w:r>
    </w:p>
    <w:p>
      <w:pPr>
        <w:spacing w:after="80" w:before="0" w:line="276"/>
        <w:jc w:val="left"/>
      </w:pPr>
      <w:r>
        <w:rPr>
          <w:rFonts w:ascii="Calibri" w:cs="Calibri" w:eastAsia="Calibri" w:hAnsi="Calibri"/>
          <w:sz w:val="20"/>
          <w:szCs w:val="20"/>
        </w:rPr>
        <w:t xml:space="preserve">[15] ISO/IEC/IEEE 42010:2022. Software, systems and enterprise — Architecture description. Cláusula 6.9.</w:t>
      </w:r>
    </w:p>
    <w:p>
      <w:pPr>
        <w:spacing w:after="80" w:before="0" w:line="276"/>
        <w:jc w:val="left"/>
      </w:pPr>
      <w:r>
        <w:rPr>
          <w:rFonts w:ascii="Calibri" w:cs="Calibri" w:eastAsia="Calibri" w:hAnsi="Calibri"/>
          <w:sz w:val="20"/>
          <w:szCs w:val="20"/>
        </w:rPr>
        <w:t xml:space="preserve">[16] Ley No. 787, Ley de Protección de Datos Personales. Asamblea Nacional de Nicaragua, 2012.</w:t>
      </w:r>
    </w:p>
    <w:p>
      <w:pPr>
        <w:spacing w:after="80" w:before="0" w:line="276"/>
        <w:jc w:val="left"/>
      </w:pPr>
      <w:r>
        <w:rPr>
          <w:rFonts w:ascii="Calibri" w:cs="Calibri" w:eastAsia="Calibri" w:hAnsi="Calibri"/>
          <w:sz w:val="20"/>
          <w:szCs w:val="20"/>
        </w:rPr>
        <w:t xml:space="preserve">[17] Microsoft. Documentación de Azure Front Door, Azure Container Apps, Azure Database for PostgreSQL – Flexible Server, Azure Blob Storage y Microsoft Entra ID. learn.microsoft.com.</w:t>
      </w:r>
    </w:p>
    <w:p>
      <w:pPr>
        <w:spacing w:after="80" w:before="0" w:line="276"/>
        <w:jc w:val="left"/>
      </w:pPr>
      <w:r>
        <w:rPr>
          <w:rFonts w:ascii="Calibri" w:cs="Calibri" w:eastAsia="Calibri" w:hAnsi="Calibri"/>
          <w:sz w:val="20"/>
          <w:szCs w:val="20"/>
        </w:rPr>
        <w:t xml:space="preserve">[18] Equipo redactor. Documentos 1 (v2.1), 3 (v1.1) y 5 (v1.1) de la serie AbasteceNi, y registro de decisiones del repositorio (ADR-01 a ADR-09).</w:t>
      </w:r>
    </w:p>
    <w:p>
      <w:pPr>
        <w:spacing w:after="140" w:before="0" w:line="276"/>
        <w:jc w:val="both"/>
      </w:pPr>
      <w:r>
        <w:rPr>
          <w:rFonts w:ascii="Calibri" w:cs="Calibri" w:eastAsia="Calibri" w:hAnsi="Calibri"/>
          <w:i/>
          <w:iCs/>
          <w:sz w:val="18"/>
          <w:szCs w:val="18"/>
        </w:rPr>
        <w:t xml:space="preserve">Advertencia: el equipo no dispuso de acceso verificado a todos los textos normativos. Los años de edición deben contrastarse con los ejemplares antes de la entrega final. Los modelos de equipo y los planes de servicio de Azure deben confirmarse con el fabricante y con la documentación vigente del proveedor.</w:t>
      </w:r>
    </w:p>
    <w:p>
      <w:r>
        <w:br w:type="page"/>
      </w:r>
    </w:p>
    <w:p>
      <w:pPr>
        <w:pStyle w:val="Heading1"/>
        <w:spacing w:before="360" w:after="180"/>
      </w:pPr>
      <w:r>
        <w:rPr>
          <w:rFonts w:ascii="Calibri" w:cs="Calibri" w:eastAsia="Calibri" w:hAnsi="Calibri"/>
          <w:b/>
          <w:bCs/>
          <w:color w:val="1F3864"/>
          <w:sz w:val="30"/>
          <w:szCs w:val="30"/>
        </w:rPr>
        <w:t xml:space="preserve">5. Anexos</w:t>
      </w:r>
    </w:p>
    <w:p>
      <w:pPr>
        <w:pStyle w:val="Heading2"/>
        <w:keepNext/>
        <w:spacing w:before="260" w:after="140"/>
      </w:pPr>
      <w:r>
        <w:rPr>
          <w:rFonts w:ascii="Calibri" w:cs="Calibri" w:eastAsia="Calibri" w:hAnsi="Calibri"/>
          <w:b/>
          <w:bCs/>
          <w:color w:val="1F3864"/>
          <w:sz w:val="25"/>
          <w:szCs w:val="25"/>
        </w:rPr>
        <w:t xml:space="preserve">Anexo A — Simulación de la sede en Cisco Packet Tracer</w:t>
      </w:r>
    </w:p>
    <w:p>
      <w:pPr>
        <w:spacing w:after="140" w:before="0" w:line="276"/>
        <w:jc w:val="both"/>
      </w:pPr>
      <w:r>
        <w:rPr>
          <w:rFonts w:ascii="Calibri" w:cs="Calibri" w:eastAsia="Calibri" w:hAnsi="Calibri"/>
          <w:sz w:val="22"/>
          <w:szCs w:val="22"/>
        </w:rPr>
        <w:t xml:space="preserve">El escenario de la figura 1 se reproduce en Cisco Packet Tracer con equipos equivalentes del catálogo del simulador. Los equipos MikroTik de referencia no existen en el simulador. La equivalencia conserva lo que se quiere demostrar: la segmentación 802.1Q, la pasarela por subinterfaces, el filtrado entre VLAN y la salida a Internet por NAT.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160"/>
      </w:tblGrid>
      <w:tr>
        <w:trPr>
          <w:cantSplit/>
          <w:tblHeader/>
        </w:trPr>
        <w:tc>
          <w:tcPr>
            <w:tcW w:type="dxa" w:w="27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Equipo real</w:t>
            </w:r>
          </w:p>
        </w:tc>
        <w:tc>
          <w:tcPr>
            <w:tcW w:type="dxa" w:w="35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Equivalente en Packet Tracer</w:t>
            </w:r>
          </w:p>
        </w:tc>
        <w:tc>
          <w:tcPr>
            <w:tcW w:type="dxa" w:w="316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Observación</w:t>
            </w:r>
          </w:p>
        </w:tc>
      </w:tr>
      <w:tr>
        <w:trPr>
          <w:cantSplit/>
          <w:tblHeader w:val="false"/>
        </w:trPr>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Router MikroTik hEX S</w:t>
            </w:r>
          </w:p>
        </w:tc>
        <w:tc>
          <w:tcPr>
            <w:tcW w:type="dxa" w:w="3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Router ISR4331 (RT-SEDE)</w:t>
            </w:r>
          </w:p>
        </w:tc>
        <w:tc>
          <w:tcPr>
            <w:tcW w:type="dxa" w:w="31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Subinterfaces 802.1Q, DHCP, NAT y listas de acceso</w:t>
            </w:r>
          </w:p>
        </w:tc>
      </w:tr>
      <w:tr>
        <w:trPr>
          <w:cantSplit/>
          <w:tblHeader w:val="false"/>
        </w:trPr>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Switch MikroTik CRS326</w:t>
            </w:r>
          </w:p>
        </w:tc>
        <w:tc>
          <w:tcPr>
            <w:tcW w:type="dxa" w:w="3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Switch 2960-24TT (SW-SEDE)</w:t>
            </w:r>
          </w:p>
        </w:tc>
        <w:tc>
          <w:tcPr>
            <w:tcW w:type="dxa" w:w="31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VLAN, troncal y puertos libres deshabilitados</w:t>
            </w:r>
          </w:p>
        </w:tc>
      </w:tr>
      <w:tr>
        <w:trPr>
          <w:cantSplit/>
          <w:tblHeader w:val="false"/>
        </w:trPr>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Punto de acceso cAP ax con dos SSID</w:t>
            </w:r>
          </w:p>
        </w:tc>
        <w:tc>
          <w:tcPr>
            <w:tcW w:type="dxa" w:w="3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Dos AccessPoint-PT (AP-Campo en VLAN 40 y AP-Visitas en VLAN 50)</w:t>
            </w:r>
          </w:p>
        </w:tc>
        <w:tc>
          <w:tcPr>
            <w:tcW w:type="dxa" w:w="31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El simulador no asocia varias SSID a varias VLAN en un mismo AP</w:t>
            </w:r>
          </w:p>
        </w:tc>
      </w:tr>
      <w:tr>
        <w:trPr>
          <w:cantSplit/>
          <w:tblHeader w:val="false"/>
        </w:trPr>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Laptops de los puestos</w:t>
            </w:r>
          </w:p>
        </w:tc>
        <w:tc>
          <w:tcPr>
            <w:tcW w:type="dxa" w:w="3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PC-PT en los puertos Fa0/2 a Fa0/6</w:t>
            </w:r>
          </w:p>
        </w:tc>
        <w:tc>
          <w:tcPr>
            <w:tcW w:type="dxa" w:w="31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Direccionamiento por DHCP</w:t>
            </w:r>
          </w:p>
        </w:tc>
      </w:tr>
      <w:tr>
        <w:trPr>
          <w:cantSplit/>
          <w:tblHeader w:val="false"/>
        </w:trPr>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Impresora</w:t>
            </w:r>
          </w:p>
        </w:tc>
        <w:tc>
          <w:tcPr>
            <w:tcW w:type="dxa" w:w="3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Printer-PT en Fa0/7</w:t>
            </w:r>
          </w:p>
        </w:tc>
        <w:tc>
          <w:tcPr>
            <w:tcW w:type="dxa" w:w="31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IP fija 192.168.60.10</w:t>
            </w:r>
          </w:p>
        </w:tc>
      </w:tr>
      <w:tr>
        <w:trPr>
          <w:cantSplit/>
          <w:tblHeader w:val="false"/>
        </w:trPr>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Internet y extremo público de Azure</w:t>
            </w:r>
          </w:p>
        </w:tc>
        <w:tc>
          <w:tcPr>
            <w:tcW w:type="dxa" w:w="35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Server-PT «Azure-FrontDoor» en 203.0.113.1, con servicios HTTP y DNS</w:t>
            </w:r>
          </w:p>
        </w:tc>
        <w:tc>
          <w:tcPr>
            <w:tcW w:type="dxa" w:w="31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DNS: api.abasteceni.com.ni → 203.0.113.1</w:t>
            </w:r>
          </w:p>
        </w:tc>
      </w:tr>
    </w:tbl>
    <w:p>
      <w:pPr>
        <w:spacing w:after="120"/>
      </w:pPr>
    </w:p>
    <w:p>
      <w:pPr>
        <w:pStyle w:val="Heading3"/>
        <w:keepNext/>
        <w:spacing w:before="200" w:after="110"/>
      </w:pPr>
      <w:r>
        <w:rPr>
          <w:rFonts w:ascii="Calibri" w:cs="Calibri" w:eastAsia="Calibri" w:hAnsi="Calibri"/>
          <w:b/>
          <w:bCs/>
          <w:color w:val="333333"/>
          <w:sz w:val="22"/>
          <w:szCs w:val="22"/>
        </w:rPr>
        <w:t xml:space="preserve">A.1 Conexiones</w:t>
      </w:r>
    </w:p>
    <w:p>
      <w:pPr>
        <w:spacing w:after="140" w:before="0" w:line="276"/>
        <w:jc w:val="both"/>
      </w:pPr>
      <w:r>
        <w:rPr>
          <w:rFonts w:ascii="Calibri" w:cs="Calibri" w:eastAsia="Calibri" w:hAnsi="Calibri"/>
          <w:sz w:val="22"/>
          <w:szCs w:val="22"/>
        </w:rPr>
        <w:t xml:space="preserve">RT-SEDE G0/0/0 → Server-PT Fa0 (cable directo). RT-SEDE G0/0/1 → SW-SEDE G0/1 (troncal). SW-SEDE Fa0/2 a Fa0/7 → puestos e impresora. SW-SEDE Fa0/8 → AP-Campo; Fa0/9 → AP-Visitas. Al Server-PT se le asigna 203.0.113.1/30 con pasarela 203.0.113.2.</w:t>
      </w:r>
    </w:p>
    <w:p>
      <w:pPr>
        <w:pStyle w:val="Heading3"/>
        <w:keepNext/>
        <w:spacing w:before="200" w:after="110"/>
      </w:pPr>
      <w:r>
        <w:rPr>
          <w:rFonts w:ascii="Calibri" w:cs="Calibri" w:eastAsia="Calibri" w:hAnsi="Calibri"/>
          <w:b/>
          <w:bCs/>
          <w:color w:val="333333"/>
          <w:sz w:val="22"/>
          <w:szCs w:val="22"/>
        </w:rPr>
        <w:t xml:space="preserve">A.2 Configuración del switch SW-SEDE</w:t>
      </w:r>
    </w:p>
    <w:p>
      <w:pPr>
        <w:shd w:fill="F4F4F4" w:color="auto" w:val="clear"/>
        <w:spacing w:after="0" w:line="240"/>
      </w:pPr>
      <w:r>
        <w:rPr>
          <w:rFonts w:ascii="DejaVu Sans Mono" w:cs="DejaVu Sans Mono" w:eastAsia="DejaVu Sans Mono" w:hAnsi="DejaVu Sans Mono"/>
          <w:sz w:val="16"/>
          <w:szCs w:val="16"/>
        </w:rPr>
        <w:t xml:space="preserve">enable</w:t>
      </w:r>
    </w:p>
    <w:p>
      <w:pPr>
        <w:shd w:fill="F4F4F4" w:color="auto" w:val="clear"/>
        <w:spacing w:after="0" w:line="240"/>
      </w:pPr>
      <w:r>
        <w:rPr>
          <w:rFonts w:ascii="DejaVu Sans Mono" w:cs="DejaVu Sans Mono" w:eastAsia="DejaVu Sans Mono" w:hAnsi="DejaVu Sans Mono"/>
          <w:sz w:val="16"/>
          <w:szCs w:val="16"/>
        </w:rPr>
        <w:t xml:space="preserve">configure terminal</w:t>
      </w:r>
    </w:p>
    <w:p>
      <w:pPr>
        <w:shd w:fill="F4F4F4" w:color="auto" w:val="clear"/>
        <w:spacing w:after="0" w:line="240"/>
      </w:pPr>
      <w:r>
        <w:rPr>
          <w:rFonts w:ascii="DejaVu Sans Mono" w:cs="DejaVu Sans Mono" w:eastAsia="DejaVu Sans Mono" w:hAnsi="DejaVu Sans Mono"/>
          <w:sz w:val="16"/>
          <w:szCs w:val="16"/>
        </w:rPr>
        <w:t xml:space="preserve">hostname SW-SEDE</w:t>
      </w:r>
    </w:p>
    <w:p>
      <w:pPr>
        <w:shd w:fill="F4F4F4" w:color="auto" w:val="clear"/>
        <w:spacing w:after="0" w:line="240"/>
      </w:pPr>
      <w:r>
        <w:rPr>
          <w:rFonts w:ascii="DejaVu Sans Mono" w:cs="DejaVu Sans Mono" w:eastAsia="DejaVu Sans Mono" w:hAnsi="DejaVu Sans Mono"/>
          <w:sz w:val="16"/>
          <w:szCs w:val="16"/>
        </w:rPr>
        <w:t xml:space="preserve">vlan 10</w:t>
      </w:r>
    </w:p>
    <w:p>
      <w:pPr>
        <w:shd w:fill="F4F4F4" w:color="auto" w:val="clear"/>
        <w:spacing w:after="0" w:line="240"/>
      </w:pPr>
      <w:r>
        <w:rPr>
          <w:rFonts w:ascii="DejaVu Sans Mono" w:cs="DejaVu Sans Mono" w:eastAsia="DejaVu Sans Mono" w:hAnsi="DejaVu Sans Mono"/>
          <w:sz w:val="16"/>
          <w:szCs w:val="16"/>
        </w:rPr>
        <w:t xml:space="preserve"> name DIRECCION</w:t>
      </w:r>
    </w:p>
    <w:p>
      <w:pPr>
        <w:shd w:fill="F4F4F4" w:color="auto" w:val="clear"/>
        <w:spacing w:after="0" w:line="240"/>
      </w:pPr>
      <w:r>
        <w:rPr>
          <w:rFonts w:ascii="DejaVu Sans Mono" w:cs="DejaVu Sans Mono" w:eastAsia="DejaVu Sans Mono" w:hAnsi="DejaVu Sans Mono"/>
          <w:sz w:val="16"/>
          <w:szCs w:val="16"/>
        </w:rPr>
        <w:t xml:space="preserve">vlan 20</w:t>
      </w:r>
    </w:p>
    <w:p>
      <w:pPr>
        <w:shd w:fill="F4F4F4" w:color="auto" w:val="clear"/>
        <w:spacing w:after="0" w:line="240"/>
      </w:pPr>
      <w:r>
        <w:rPr>
          <w:rFonts w:ascii="DejaVu Sans Mono" w:cs="DejaVu Sans Mono" w:eastAsia="DejaVu Sans Mono" w:hAnsi="DejaVu Sans Mono"/>
          <w:sz w:val="16"/>
          <w:szCs w:val="16"/>
        </w:rPr>
        <w:t xml:space="preserve"> name TECNOLOGIA</w:t>
      </w:r>
    </w:p>
    <w:p>
      <w:pPr>
        <w:shd w:fill="F4F4F4" w:color="auto" w:val="clear"/>
        <w:spacing w:after="0" w:line="240"/>
      </w:pPr>
      <w:r>
        <w:rPr>
          <w:rFonts w:ascii="DejaVu Sans Mono" w:cs="DejaVu Sans Mono" w:eastAsia="DejaVu Sans Mono" w:hAnsi="DejaVu Sans Mono"/>
          <w:sz w:val="16"/>
          <w:szCs w:val="16"/>
        </w:rPr>
        <w:t xml:space="preserve">vlan 30</w:t>
      </w:r>
    </w:p>
    <w:p>
      <w:pPr>
        <w:shd w:fill="F4F4F4" w:color="auto" w:val="clear"/>
        <w:spacing w:after="0" w:line="240"/>
      </w:pPr>
      <w:r>
        <w:rPr>
          <w:rFonts w:ascii="DejaVu Sans Mono" w:cs="DejaVu Sans Mono" w:eastAsia="DejaVu Sans Mono" w:hAnsi="DejaVu Sans Mono"/>
          <w:sz w:val="16"/>
          <w:szCs w:val="16"/>
        </w:rPr>
        <w:t xml:space="preserve"> name CONFIANZA</w:t>
      </w:r>
    </w:p>
    <w:p>
      <w:pPr>
        <w:shd w:fill="F4F4F4" w:color="auto" w:val="clear"/>
        <w:spacing w:after="0" w:line="240"/>
      </w:pPr>
      <w:r>
        <w:rPr>
          <w:rFonts w:ascii="DejaVu Sans Mono" w:cs="DejaVu Sans Mono" w:eastAsia="DejaVu Sans Mono" w:hAnsi="DejaVu Sans Mono"/>
          <w:sz w:val="16"/>
          <w:szCs w:val="16"/>
        </w:rPr>
        <w:t xml:space="preserve">vlan 40</w:t>
      </w:r>
    </w:p>
    <w:p>
      <w:pPr>
        <w:shd w:fill="F4F4F4" w:color="auto" w:val="clear"/>
        <w:spacing w:after="0" w:line="240"/>
      </w:pPr>
      <w:r>
        <w:rPr>
          <w:rFonts w:ascii="DejaVu Sans Mono" w:cs="DejaVu Sans Mono" w:eastAsia="DejaVu Sans Mono" w:hAnsi="DejaVu Sans Mono"/>
          <w:sz w:val="16"/>
          <w:szCs w:val="16"/>
        </w:rPr>
        <w:t xml:space="preserve"> name COMERCIAL</w:t>
      </w:r>
    </w:p>
    <w:p>
      <w:pPr>
        <w:shd w:fill="F4F4F4" w:color="auto" w:val="clear"/>
        <w:spacing w:after="0" w:line="240"/>
      </w:pPr>
      <w:r>
        <w:rPr>
          <w:rFonts w:ascii="DejaVu Sans Mono" w:cs="DejaVu Sans Mono" w:eastAsia="DejaVu Sans Mono" w:hAnsi="DejaVu Sans Mono"/>
          <w:sz w:val="16"/>
          <w:szCs w:val="16"/>
        </w:rPr>
        <w:t xml:space="preserve">vlan 50</w:t>
      </w:r>
    </w:p>
    <w:p>
      <w:pPr>
        <w:shd w:fill="F4F4F4" w:color="auto" w:val="clear"/>
        <w:spacing w:after="0" w:line="240"/>
      </w:pPr>
      <w:r>
        <w:rPr>
          <w:rFonts w:ascii="DejaVu Sans Mono" w:cs="DejaVu Sans Mono" w:eastAsia="DejaVu Sans Mono" w:hAnsi="DejaVu Sans Mono"/>
          <w:sz w:val="16"/>
          <w:szCs w:val="16"/>
        </w:rPr>
        <w:t xml:space="preserve"> name VISITAS</w:t>
      </w:r>
    </w:p>
    <w:p>
      <w:pPr>
        <w:shd w:fill="F4F4F4" w:color="auto" w:val="clear"/>
        <w:spacing w:after="0" w:line="240"/>
      </w:pPr>
      <w:r>
        <w:rPr>
          <w:rFonts w:ascii="DejaVu Sans Mono" w:cs="DejaVu Sans Mono" w:eastAsia="DejaVu Sans Mono" w:hAnsi="DejaVu Sans Mono"/>
          <w:sz w:val="16"/>
          <w:szCs w:val="16"/>
        </w:rPr>
        <w:t xml:space="preserve">vlan 60</w:t>
      </w:r>
    </w:p>
    <w:p>
      <w:pPr>
        <w:shd w:fill="F4F4F4" w:color="auto" w:val="clear"/>
        <w:spacing w:after="0" w:line="240"/>
      </w:pPr>
      <w:r>
        <w:rPr>
          <w:rFonts w:ascii="DejaVu Sans Mono" w:cs="DejaVu Sans Mono" w:eastAsia="DejaVu Sans Mono" w:hAnsi="DejaVu Sans Mono"/>
          <w:sz w:val="16"/>
          <w:szCs w:val="16"/>
        </w:rPr>
        <w:t xml:space="preserve"> name SERVICIOS</w:t>
      </w:r>
    </w:p>
    <w:p>
      <w:pPr>
        <w:shd w:fill="F4F4F4" w:color="auto" w:val="clear"/>
        <w:spacing w:after="0" w:line="240"/>
      </w:pPr>
      <w:r>
        <w:rPr>
          <w:rFonts w:ascii="DejaVu Sans Mono" w:cs="DejaVu Sans Mono" w:eastAsia="DejaVu Sans Mono" w:hAnsi="DejaVu Sans Mono"/>
          <w:sz w:val="16"/>
          <w:szCs w:val="16"/>
        </w:rPr>
        <w:t xml:space="preserve">vlan 99</w:t>
      </w:r>
    </w:p>
    <w:p>
      <w:pPr>
        <w:shd w:fill="F4F4F4" w:color="auto" w:val="clear"/>
        <w:spacing w:after="0" w:line="240"/>
      </w:pPr>
      <w:r>
        <w:rPr>
          <w:rFonts w:ascii="DejaVu Sans Mono" w:cs="DejaVu Sans Mono" w:eastAsia="DejaVu Sans Mono" w:hAnsi="DejaVu Sans Mono"/>
          <w:sz w:val="16"/>
          <w:szCs w:val="16"/>
        </w:rPr>
        <w:t xml:space="preserve"> name GESTION</w:t>
      </w:r>
    </w:p>
    <w:p>
      <w:pPr>
        <w:shd w:fill="F4F4F4" w:color="auto" w:val="clear"/>
        <w:spacing w:after="0" w:line="240"/>
      </w:pPr>
      <w:r>
        <w:rPr>
          <w:rFonts w:ascii="DejaVu Sans Mono" w:cs="DejaVu Sans Mono" w:eastAsia="DejaVu Sans Mono" w:hAnsi="DejaVu Sans Mono"/>
          <w:sz w:val="16"/>
          <w:szCs w:val="16"/>
        </w:rPr>
        <w:t xml:space="preserve">interface GigabitEthernet0/1</w:t>
      </w:r>
    </w:p>
    <w:p>
      <w:pPr>
        <w:shd w:fill="F4F4F4" w:color="auto" w:val="clear"/>
        <w:spacing w:after="0" w:line="240"/>
      </w:pPr>
      <w:r>
        <w:rPr>
          <w:rFonts w:ascii="DejaVu Sans Mono" w:cs="DejaVu Sans Mono" w:eastAsia="DejaVu Sans Mono" w:hAnsi="DejaVu Sans Mono"/>
          <w:sz w:val="16"/>
          <w:szCs w:val="16"/>
        </w:rPr>
        <w:t xml:space="preserve"> description Troncal hacia RT-SEDE</w:t>
      </w:r>
    </w:p>
    <w:p>
      <w:pPr>
        <w:shd w:fill="F4F4F4" w:color="auto" w:val="clear"/>
        <w:spacing w:after="0" w:line="240"/>
      </w:pPr>
      <w:r>
        <w:rPr>
          <w:rFonts w:ascii="DejaVu Sans Mono" w:cs="DejaVu Sans Mono" w:eastAsia="DejaVu Sans Mono" w:hAnsi="DejaVu Sans Mono"/>
          <w:sz w:val="16"/>
          <w:szCs w:val="16"/>
        </w:rPr>
        <w:t xml:space="preserve"> switchport mode trunk</w:t>
      </w:r>
    </w:p>
    <w:p>
      <w:pPr>
        <w:shd w:fill="F4F4F4" w:color="auto" w:val="clear"/>
        <w:spacing w:after="0" w:line="240"/>
      </w:pPr>
      <w:r>
        <w:rPr>
          <w:rFonts w:ascii="DejaVu Sans Mono" w:cs="DejaVu Sans Mono" w:eastAsia="DejaVu Sans Mono" w:hAnsi="DejaVu Sans Mono"/>
          <w:sz w:val="16"/>
          <w:szCs w:val="16"/>
        </w:rPr>
        <w:t xml:space="preserve"> switchport trunk allowed vlan 10,20,30,40,50,60,99</w:t>
      </w:r>
    </w:p>
    <w:p>
      <w:pPr>
        <w:shd w:fill="F4F4F4" w:color="auto" w:val="clear"/>
        <w:spacing w:after="0" w:line="240"/>
      </w:pPr>
      <w:r>
        <w:rPr>
          <w:rFonts w:ascii="DejaVu Sans Mono" w:cs="DejaVu Sans Mono" w:eastAsia="DejaVu Sans Mono" w:hAnsi="DejaVu Sans Mono"/>
          <w:sz w:val="16"/>
          <w:szCs w:val="16"/>
        </w:rPr>
        <w:t xml:space="preserve">interface FastEthernet0/2</w:t>
      </w:r>
    </w:p>
    <w:p>
      <w:pPr>
        <w:shd w:fill="F4F4F4" w:color="auto" w:val="clear"/>
        <w:spacing w:after="0" w:line="240"/>
      </w:pPr>
      <w:r>
        <w:rPr>
          <w:rFonts w:ascii="DejaVu Sans Mono" w:cs="DejaVu Sans Mono" w:eastAsia="DejaVu Sans Mono" w:hAnsi="DejaVu Sans Mono"/>
          <w:sz w:val="16"/>
          <w:szCs w:val="16"/>
        </w:rPr>
        <w:t xml:space="preserve"> description P01 Direccion</w:t>
      </w:r>
    </w:p>
    <w:p>
      <w:pPr>
        <w:shd w:fill="F4F4F4" w:color="auto" w:val="clear"/>
        <w:spacing w:after="0" w:line="240"/>
      </w:pPr>
      <w:r>
        <w:rPr>
          <w:rFonts w:ascii="DejaVu Sans Mono" w:cs="DejaVu Sans Mono" w:eastAsia="DejaVu Sans Mono" w:hAnsi="DejaVu Sans Mono"/>
          <w:sz w:val="16"/>
          <w:szCs w:val="16"/>
        </w:rPr>
        <w:t xml:space="preserve"> switchport mode access</w:t>
      </w:r>
    </w:p>
    <w:p>
      <w:pPr>
        <w:shd w:fill="F4F4F4" w:color="auto" w:val="clear"/>
        <w:spacing w:after="0" w:line="240"/>
      </w:pPr>
      <w:r>
        <w:rPr>
          <w:rFonts w:ascii="DejaVu Sans Mono" w:cs="DejaVu Sans Mono" w:eastAsia="DejaVu Sans Mono" w:hAnsi="DejaVu Sans Mono"/>
          <w:sz w:val="16"/>
          <w:szCs w:val="16"/>
        </w:rPr>
        <w:t xml:space="preserve"> switchport access vlan 10</w:t>
      </w:r>
    </w:p>
    <w:p>
      <w:pPr>
        <w:shd w:fill="F4F4F4" w:color="auto" w:val="clear"/>
        <w:spacing w:after="0" w:line="240"/>
      </w:pPr>
      <w:r>
        <w:rPr>
          <w:rFonts w:ascii="DejaVu Sans Mono" w:cs="DejaVu Sans Mono" w:eastAsia="DejaVu Sans Mono" w:hAnsi="DejaVu Sans Mono"/>
          <w:sz w:val="16"/>
          <w:szCs w:val="16"/>
        </w:rPr>
        <w:t xml:space="preserve">interface range FastEthernet0/3 - 4</w:t>
      </w:r>
    </w:p>
    <w:p>
      <w:pPr>
        <w:shd w:fill="F4F4F4" w:color="auto" w:val="clear"/>
        <w:spacing w:after="0" w:line="240"/>
      </w:pPr>
      <w:r>
        <w:rPr>
          <w:rFonts w:ascii="DejaVu Sans Mono" w:cs="DejaVu Sans Mono" w:eastAsia="DejaVu Sans Mono" w:hAnsi="DejaVu Sans Mono"/>
          <w:sz w:val="16"/>
          <w:szCs w:val="16"/>
        </w:rPr>
        <w:t xml:space="preserve"> description P02-P03 Tecnologia</w:t>
      </w:r>
    </w:p>
    <w:p>
      <w:pPr>
        <w:shd w:fill="F4F4F4" w:color="auto" w:val="clear"/>
        <w:spacing w:after="0" w:line="240"/>
      </w:pPr>
      <w:r>
        <w:rPr>
          <w:rFonts w:ascii="DejaVu Sans Mono" w:cs="DejaVu Sans Mono" w:eastAsia="DejaVu Sans Mono" w:hAnsi="DejaVu Sans Mono"/>
          <w:sz w:val="16"/>
          <w:szCs w:val="16"/>
        </w:rPr>
        <w:t xml:space="preserve"> switchport mode access</w:t>
      </w:r>
    </w:p>
    <w:p>
      <w:pPr>
        <w:shd w:fill="F4F4F4" w:color="auto" w:val="clear"/>
        <w:spacing w:after="0" w:line="240"/>
      </w:pPr>
      <w:r>
        <w:rPr>
          <w:rFonts w:ascii="DejaVu Sans Mono" w:cs="DejaVu Sans Mono" w:eastAsia="DejaVu Sans Mono" w:hAnsi="DejaVu Sans Mono"/>
          <w:sz w:val="16"/>
          <w:szCs w:val="16"/>
        </w:rPr>
        <w:t xml:space="preserve"> switchport access vlan 20</w:t>
      </w:r>
    </w:p>
    <w:p>
      <w:pPr>
        <w:shd w:fill="F4F4F4" w:color="auto" w:val="clear"/>
        <w:spacing w:after="0" w:line="240"/>
      </w:pPr>
      <w:r>
        <w:rPr>
          <w:rFonts w:ascii="DejaVu Sans Mono" w:cs="DejaVu Sans Mono" w:eastAsia="DejaVu Sans Mono" w:hAnsi="DejaVu Sans Mono"/>
          <w:sz w:val="16"/>
          <w:szCs w:val="16"/>
        </w:rPr>
        <w:t xml:space="preserve">interface range FastEthernet0/5 - 6</w:t>
      </w:r>
    </w:p>
    <w:p>
      <w:pPr>
        <w:shd w:fill="F4F4F4" w:color="auto" w:val="clear"/>
        <w:spacing w:after="0" w:line="240"/>
      </w:pPr>
      <w:r>
        <w:rPr>
          <w:rFonts w:ascii="DejaVu Sans Mono" w:cs="DejaVu Sans Mono" w:eastAsia="DejaVu Sans Mono" w:hAnsi="DejaVu Sans Mono"/>
          <w:sz w:val="16"/>
          <w:szCs w:val="16"/>
        </w:rPr>
        <w:t xml:space="preserve"> description P04-P05 Confianza</w:t>
      </w:r>
    </w:p>
    <w:p>
      <w:pPr>
        <w:shd w:fill="F4F4F4" w:color="auto" w:val="clear"/>
        <w:spacing w:after="0" w:line="240"/>
      </w:pPr>
      <w:r>
        <w:rPr>
          <w:rFonts w:ascii="DejaVu Sans Mono" w:cs="DejaVu Sans Mono" w:eastAsia="DejaVu Sans Mono" w:hAnsi="DejaVu Sans Mono"/>
          <w:sz w:val="16"/>
          <w:szCs w:val="16"/>
        </w:rPr>
        <w:t xml:space="preserve"> switchport mode access</w:t>
      </w:r>
    </w:p>
    <w:p>
      <w:pPr>
        <w:shd w:fill="F4F4F4" w:color="auto" w:val="clear"/>
        <w:spacing w:after="0" w:line="240"/>
      </w:pPr>
      <w:r>
        <w:rPr>
          <w:rFonts w:ascii="DejaVu Sans Mono" w:cs="DejaVu Sans Mono" w:eastAsia="DejaVu Sans Mono" w:hAnsi="DejaVu Sans Mono"/>
          <w:sz w:val="16"/>
          <w:szCs w:val="16"/>
        </w:rPr>
        <w:t xml:space="preserve"> switchport access vlan 30</w:t>
      </w:r>
    </w:p>
    <w:p>
      <w:pPr>
        <w:shd w:fill="F4F4F4" w:color="auto" w:val="clear"/>
        <w:spacing w:after="0" w:line="240"/>
      </w:pPr>
      <w:r>
        <w:rPr>
          <w:rFonts w:ascii="DejaVu Sans Mono" w:cs="DejaVu Sans Mono" w:eastAsia="DejaVu Sans Mono" w:hAnsi="DejaVu Sans Mono"/>
          <w:sz w:val="16"/>
          <w:szCs w:val="16"/>
        </w:rPr>
        <w:t xml:space="preserve">interface FastEthernet0/7</w:t>
      </w:r>
    </w:p>
    <w:p>
      <w:pPr>
        <w:shd w:fill="F4F4F4" w:color="auto" w:val="clear"/>
        <w:spacing w:after="0" w:line="240"/>
      </w:pPr>
      <w:r>
        <w:rPr>
          <w:rFonts w:ascii="DejaVu Sans Mono" w:cs="DejaVu Sans Mono" w:eastAsia="DejaVu Sans Mono" w:hAnsi="DejaVu Sans Mono"/>
          <w:sz w:val="16"/>
          <w:szCs w:val="16"/>
        </w:rPr>
        <w:t xml:space="preserve"> description Impresora</w:t>
      </w:r>
    </w:p>
    <w:p>
      <w:pPr>
        <w:shd w:fill="F4F4F4" w:color="auto" w:val="clear"/>
        <w:spacing w:after="0" w:line="240"/>
      </w:pPr>
      <w:r>
        <w:rPr>
          <w:rFonts w:ascii="DejaVu Sans Mono" w:cs="DejaVu Sans Mono" w:eastAsia="DejaVu Sans Mono" w:hAnsi="DejaVu Sans Mono"/>
          <w:sz w:val="16"/>
          <w:szCs w:val="16"/>
        </w:rPr>
        <w:t xml:space="preserve"> switchport mode access</w:t>
      </w:r>
    </w:p>
    <w:p>
      <w:pPr>
        <w:shd w:fill="F4F4F4" w:color="auto" w:val="clear"/>
        <w:spacing w:after="0" w:line="240"/>
      </w:pPr>
      <w:r>
        <w:rPr>
          <w:rFonts w:ascii="DejaVu Sans Mono" w:cs="DejaVu Sans Mono" w:eastAsia="DejaVu Sans Mono" w:hAnsi="DejaVu Sans Mono"/>
          <w:sz w:val="16"/>
          <w:szCs w:val="16"/>
        </w:rPr>
        <w:t xml:space="preserve"> switchport access vlan 60</w:t>
      </w:r>
    </w:p>
    <w:p>
      <w:pPr>
        <w:shd w:fill="F4F4F4" w:color="auto" w:val="clear"/>
        <w:spacing w:after="0" w:line="240"/>
      </w:pPr>
      <w:r>
        <w:rPr>
          <w:rFonts w:ascii="DejaVu Sans Mono" w:cs="DejaVu Sans Mono" w:eastAsia="DejaVu Sans Mono" w:hAnsi="DejaVu Sans Mono"/>
          <w:sz w:val="16"/>
          <w:szCs w:val="16"/>
        </w:rPr>
        <w:t xml:space="preserve">interface FastEthernet0/8</w:t>
      </w:r>
    </w:p>
    <w:p>
      <w:pPr>
        <w:shd w:fill="F4F4F4" w:color="auto" w:val="clear"/>
        <w:spacing w:after="0" w:line="240"/>
      </w:pPr>
      <w:r>
        <w:rPr>
          <w:rFonts w:ascii="DejaVu Sans Mono" w:cs="DejaVu Sans Mono" w:eastAsia="DejaVu Sans Mono" w:hAnsi="DejaVu Sans Mono"/>
          <w:sz w:val="16"/>
          <w:szCs w:val="16"/>
        </w:rPr>
        <w:t xml:space="preserve"> description AP-Campo</w:t>
      </w:r>
    </w:p>
    <w:p>
      <w:pPr>
        <w:shd w:fill="F4F4F4" w:color="auto" w:val="clear"/>
        <w:spacing w:after="0" w:line="240"/>
      </w:pPr>
      <w:r>
        <w:rPr>
          <w:rFonts w:ascii="DejaVu Sans Mono" w:cs="DejaVu Sans Mono" w:eastAsia="DejaVu Sans Mono" w:hAnsi="DejaVu Sans Mono"/>
          <w:sz w:val="16"/>
          <w:szCs w:val="16"/>
        </w:rPr>
        <w:t xml:space="preserve"> switchport mode access</w:t>
      </w:r>
    </w:p>
    <w:p>
      <w:pPr>
        <w:shd w:fill="F4F4F4" w:color="auto" w:val="clear"/>
        <w:spacing w:after="0" w:line="240"/>
      </w:pPr>
      <w:r>
        <w:rPr>
          <w:rFonts w:ascii="DejaVu Sans Mono" w:cs="DejaVu Sans Mono" w:eastAsia="DejaVu Sans Mono" w:hAnsi="DejaVu Sans Mono"/>
          <w:sz w:val="16"/>
          <w:szCs w:val="16"/>
        </w:rPr>
        <w:t xml:space="preserve"> switchport access vlan 40</w:t>
      </w:r>
    </w:p>
    <w:p>
      <w:pPr>
        <w:shd w:fill="F4F4F4" w:color="auto" w:val="clear"/>
        <w:spacing w:after="0" w:line="240"/>
      </w:pPr>
      <w:r>
        <w:rPr>
          <w:rFonts w:ascii="DejaVu Sans Mono" w:cs="DejaVu Sans Mono" w:eastAsia="DejaVu Sans Mono" w:hAnsi="DejaVu Sans Mono"/>
          <w:sz w:val="16"/>
          <w:szCs w:val="16"/>
        </w:rPr>
        <w:t xml:space="preserve">interface FastEthernet0/9</w:t>
      </w:r>
    </w:p>
    <w:p>
      <w:pPr>
        <w:shd w:fill="F4F4F4" w:color="auto" w:val="clear"/>
        <w:spacing w:after="0" w:line="240"/>
      </w:pPr>
      <w:r>
        <w:rPr>
          <w:rFonts w:ascii="DejaVu Sans Mono" w:cs="DejaVu Sans Mono" w:eastAsia="DejaVu Sans Mono" w:hAnsi="DejaVu Sans Mono"/>
          <w:sz w:val="16"/>
          <w:szCs w:val="16"/>
        </w:rPr>
        <w:t xml:space="preserve"> description AP-Visitas</w:t>
      </w:r>
    </w:p>
    <w:p>
      <w:pPr>
        <w:shd w:fill="F4F4F4" w:color="auto" w:val="clear"/>
        <w:spacing w:after="0" w:line="240"/>
      </w:pPr>
      <w:r>
        <w:rPr>
          <w:rFonts w:ascii="DejaVu Sans Mono" w:cs="DejaVu Sans Mono" w:eastAsia="DejaVu Sans Mono" w:hAnsi="DejaVu Sans Mono"/>
          <w:sz w:val="16"/>
          <w:szCs w:val="16"/>
        </w:rPr>
        <w:t xml:space="preserve"> switchport mode access</w:t>
      </w:r>
    </w:p>
    <w:p>
      <w:pPr>
        <w:shd w:fill="F4F4F4" w:color="auto" w:val="clear"/>
        <w:spacing w:after="0" w:line="240"/>
      </w:pPr>
      <w:r>
        <w:rPr>
          <w:rFonts w:ascii="DejaVu Sans Mono" w:cs="DejaVu Sans Mono" w:eastAsia="DejaVu Sans Mono" w:hAnsi="DejaVu Sans Mono"/>
          <w:sz w:val="16"/>
          <w:szCs w:val="16"/>
        </w:rPr>
        <w:t xml:space="preserve"> switchport access vlan 50</w:t>
      </w:r>
    </w:p>
    <w:p>
      <w:pPr>
        <w:shd w:fill="F4F4F4" w:color="auto" w:val="clear"/>
        <w:spacing w:after="0" w:line="240"/>
      </w:pPr>
      <w:r>
        <w:rPr>
          <w:rFonts w:ascii="DejaVu Sans Mono" w:cs="DejaVu Sans Mono" w:eastAsia="DejaVu Sans Mono" w:hAnsi="DejaVu Sans Mono"/>
          <w:sz w:val="16"/>
          <w:szCs w:val="16"/>
        </w:rPr>
        <w:t xml:space="preserve">interface range FastEthernet0/10 - 24</w:t>
      </w:r>
    </w:p>
    <w:p>
      <w:pPr>
        <w:shd w:fill="F4F4F4" w:color="auto" w:val="clear"/>
        <w:spacing w:after="0" w:line="240"/>
      </w:pPr>
      <w:r>
        <w:rPr>
          <w:rFonts w:ascii="DejaVu Sans Mono" w:cs="DejaVu Sans Mono" w:eastAsia="DejaVu Sans Mono" w:hAnsi="DejaVu Sans Mono"/>
          <w:sz w:val="16"/>
          <w:szCs w:val="16"/>
        </w:rPr>
        <w:t xml:space="preserve"> shutdown</w:t>
      </w:r>
    </w:p>
    <w:p>
      <w:pPr>
        <w:shd w:fill="F4F4F4" w:color="auto" w:val="clear"/>
        <w:spacing w:after="0" w:line="240"/>
      </w:pPr>
      <w:r>
        <w:rPr>
          <w:rFonts w:ascii="DejaVu Sans Mono" w:cs="DejaVu Sans Mono" w:eastAsia="DejaVu Sans Mono" w:hAnsi="DejaVu Sans Mono"/>
          <w:sz w:val="16"/>
          <w:szCs w:val="16"/>
        </w:rPr>
        <w:t xml:space="preserve">interface vlan 99</w:t>
      </w:r>
    </w:p>
    <w:p>
      <w:pPr>
        <w:shd w:fill="F4F4F4" w:color="auto" w:val="clear"/>
        <w:spacing w:after="0" w:line="240"/>
      </w:pPr>
      <w:r>
        <w:rPr>
          <w:rFonts w:ascii="DejaVu Sans Mono" w:cs="DejaVu Sans Mono" w:eastAsia="DejaVu Sans Mono" w:hAnsi="DejaVu Sans Mono"/>
          <w:sz w:val="16"/>
          <w:szCs w:val="16"/>
        </w:rPr>
        <w:t xml:space="preserve"> ip address 192.168.99.2 255.255.255.0</w:t>
      </w:r>
    </w:p>
    <w:p>
      <w:pPr>
        <w:shd w:fill="F4F4F4" w:color="auto" w:val="clear"/>
        <w:spacing w:after="0" w:line="240"/>
      </w:pPr>
      <w:r>
        <w:rPr>
          <w:rFonts w:ascii="DejaVu Sans Mono" w:cs="DejaVu Sans Mono" w:eastAsia="DejaVu Sans Mono" w:hAnsi="DejaVu Sans Mono"/>
          <w:sz w:val="16"/>
          <w:szCs w:val="16"/>
        </w:rPr>
        <w:t xml:space="preserve">ip default-gateway 192.168.99.1</w:t>
      </w:r>
    </w:p>
    <w:p>
      <w:pPr>
        <w:shd w:fill="F4F4F4" w:color="auto" w:val="clear"/>
        <w:spacing w:after="0" w:line="240"/>
      </w:pPr>
      <w:r>
        <w:rPr>
          <w:rFonts w:ascii="DejaVu Sans Mono" w:cs="DejaVu Sans Mono" w:eastAsia="DejaVu Sans Mono" w:hAnsi="DejaVu Sans Mono"/>
          <w:sz w:val="16"/>
          <w:szCs w:val="16"/>
        </w:rPr>
        <w:t xml:space="preserve">end</w:t>
      </w:r>
    </w:p>
    <w:p>
      <w:pPr>
        <w:shd w:fill="F4F4F4" w:color="auto" w:val="clear"/>
        <w:spacing w:after="0" w:line="240"/>
      </w:pPr>
      <w:r>
        <w:rPr>
          <w:rFonts w:ascii="DejaVu Sans Mono" w:cs="DejaVu Sans Mono" w:eastAsia="DejaVu Sans Mono" w:hAnsi="DejaVu Sans Mono"/>
          <w:sz w:val="16"/>
          <w:szCs w:val="16"/>
        </w:rPr>
        <w:t xml:space="preserve">write memory</w:t>
      </w:r>
    </w:p>
    <w:p>
      <w:pPr>
        <w:spacing w:after="120"/>
      </w:pPr>
    </w:p>
    <w:p>
      <w:pPr>
        <w:pStyle w:val="Heading3"/>
        <w:keepNext/>
        <w:spacing w:before="200" w:after="110"/>
      </w:pPr>
      <w:r>
        <w:rPr>
          <w:rFonts w:ascii="Calibri" w:cs="Calibri" w:eastAsia="Calibri" w:hAnsi="Calibri"/>
          <w:b/>
          <w:bCs/>
          <w:color w:val="333333"/>
          <w:sz w:val="22"/>
          <w:szCs w:val="22"/>
        </w:rPr>
        <w:t xml:space="preserve">A.3 Configuración del router RT-SEDE</w:t>
      </w:r>
    </w:p>
    <w:p>
      <w:pPr>
        <w:shd w:fill="F4F4F4" w:color="auto" w:val="clear"/>
        <w:spacing w:after="0" w:line="240"/>
      </w:pPr>
      <w:r>
        <w:rPr>
          <w:rFonts w:ascii="DejaVu Sans Mono" w:cs="DejaVu Sans Mono" w:eastAsia="DejaVu Sans Mono" w:hAnsi="DejaVu Sans Mono"/>
          <w:sz w:val="16"/>
          <w:szCs w:val="16"/>
        </w:rPr>
        <w:t xml:space="preserve">enable</w:t>
      </w:r>
    </w:p>
    <w:p>
      <w:pPr>
        <w:shd w:fill="F4F4F4" w:color="auto" w:val="clear"/>
        <w:spacing w:after="0" w:line="240"/>
      </w:pPr>
      <w:r>
        <w:rPr>
          <w:rFonts w:ascii="DejaVu Sans Mono" w:cs="DejaVu Sans Mono" w:eastAsia="DejaVu Sans Mono" w:hAnsi="DejaVu Sans Mono"/>
          <w:sz w:val="16"/>
          <w:szCs w:val="16"/>
        </w:rPr>
        <w:t xml:space="preserve">configure terminal</w:t>
      </w:r>
    </w:p>
    <w:p>
      <w:pPr>
        <w:shd w:fill="F4F4F4" w:color="auto" w:val="clear"/>
        <w:spacing w:after="0" w:line="240"/>
      </w:pPr>
      <w:r>
        <w:rPr>
          <w:rFonts w:ascii="DejaVu Sans Mono" w:cs="DejaVu Sans Mono" w:eastAsia="DejaVu Sans Mono" w:hAnsi="DejaVu Sans Mono"/>
          <w:sz w:val="16"/>
          <w:szCs w:val="16"/>
        </w:rPr>
        <w:t xml:space="preserve">hostname RT-SEDE</w:t>
      </w:r>
    </w:p>
    <w:p>
      <w:pPr>
        <w:shd w:fill="F4F4F4" w:color="auto" w:val="clear"/>
        <w:spacing w:after="0" w:line="240"/>
      </w:pPr>
      <w:r>
        <w:rPr>
          <w:rFonts w:ascii="DejaVu Sans Mono" w:cs="DejaVu Sans Mono" w:eastAsia="DejaVu Sans Mono" w:hAnsi="DejaVu Sans Mono"/>
          <w:sz w:val="16"/>
          <w:szCs w:val="16"/>
        </w:rPr>
        <w:t xml:space="preserve">interface GigabitEthernet0/0/0</w:t>
      </w:r>
    </w:p>
    <w:p>
      <w:pPr>
        <w:shd w:fill="F4F4F4" w:color="auto" w:val="clear"/>
        <w:spacing w:after="0" w:line="240"/>
      </w:pPr>
      <w:r>
        <w:rPr>
          <w:rFonts w:ascii="DejaVu Sans Mono" w:cs="DejaVu Sans Mono" w:eastAsia="DejaVu Sans Mono" w:hAnsi="DejaVu Sans Mono"/>
          <w:sz w:val="16"/>
          <w:szCs w:val="16"/>
        </w:rPr>
        <w:t xml:space="preserve"> description WAN1 hacia Internet simulado</w:t>
      </w:r>
    </w:p>
    <w:p>
      <w:pPr>
        <w:shd w:fill="F4F4F4" w:color="auto" w:val="clear"/>
        <w:spacing w:after="0" w:line="240"/>
      </w:pPr>
      <w:r>
        <w:rPr>
          <w:rFonts w:ascii="DejaVu Sans Mono" w:cs="DejaVu Sans Mono" w:eastAsia="DejaVu Sans Mono" w:hAnsi="DejaVu Sans Mono"/>
          <w:sz w:val="16"/>
          <w:szCs w:val="16"/>
        </w:rPr>
        <w:t xml:space="preserve"> ip address 203.0.113.2 255.255.255.252</w:t>
      </w:r>
    </w:p>
    <w:p>
      <w:pPr>
        <w:shd w:fill="F4F4F4" w:color="auto" w:val="clear"/>
        <w:spacing w:after="0" w:line="240"/>
      </w:pPr>
      <w:r>
        <w:rPr>
          <w:rFonts w:ascii="DejaVu Sans Mono" w:cs="DejaVu Sans Mono" w:eastAsia="DejaVu Sans Mono" w:hAnsi="DejaVu Sans Mono"/>
          <w:sz w:val="16"/>
          <w:szCs w:val="16"/>
        </w:rPr>
        <w:t xml:space="preserve"> ip nat outside</w:t>
      </w:r>
    </w:p>
    <w:p>
      <w:pPr>
        <w:shd w:fill="F4F4F4" w:color="auto" w:val="clear"/>
        <w:spacing w:after="0" w:line="240"/>
      </w:pPr>
      <w:r>
        <w:rPr>
          <w:rFonts w:ascii="DejaVu Sans Mono" w:cs="DejaVu Sans Mono" w:eastAsia="DejaVu Sans Mono" w:hAnsi="DejaVu Sans Mono"/>
          <w:sz w:val="16"/>
          <w:szCs w:val="16"/>
        </w:rPr>
        <w:t xml:space="preserve"> no shutdown</w:t>
      </w:r>
    </w:p>
    <w:p>
      <w:pPr>
        <w:shd w:fill="F4F4F4" w:color="auto" w:val="clear"/>
        <w:spacing w:after="0" w:line="240"/>
      </w:pPr>
      <w:r>
        <w:rPr>
          <w:rFonts w:ascii="DejaVu Sans Mono" w:cs="DejaVu Sans Mono" w:eastAsia="DejaVu Sans Mono" w:hAnsi="DejaVu Sans Mono"/>
          <w:sz w:val="16"/>
          <w:szCs w:val="16"/>
        </w:rPr>
        <w:t xml:space="preserve">interface GigabitEthernet0/0/1</w:t>
      </w:r>
    </w:p>
    <w:p>
      <w:pPr>
        <w:shd w:fill="F4F4F4" w:color="auto" w:val="clear"/>
        <w:spacing w:after="0" w:line="240"/>
      </w:pPr>
      <w:r>
        <w:rPr>
          <w:rFonts w:ascii="DejaVu Sans Mono" w:cs="DejaVu Sans Mono" w:eastAsia="DejaVu Sans Mono" w:hAnsi="DejaVu Sans Mono"/>
          <w:sz w:val="16"/>
          <w:szCs w:val="16"/>
        </w:rPr>
        <w:t xml:space="preserve"> no shutdown</w:t>
      </w:r>
    </w:p>
    <w:p>
      <w:pPr>
        <w:shd w:fill="F4F4F4" w:color="auto" w:val="clear"/>
        <w:spacing w:after="0" w:line="240"/>
      </w:pPr>
      <w:r>
        <w:rPr>
          <w:rFonts w:ascii="DejaVu Sans Mono" w:cs="DejaVu Sans Mono" w:eastAsia="DejaVu Sans Mono" w:hAnsi="DejaVu Sans Mono"/>
          <w:sz w:val="16"/>
          <w:szCs w:val="16"/>
        </w:rPr>
        <w:t xml:space="preserve">interface GigabitEthernet0/0/1.10</w:t>
      </w:r>
    </w:p>
    <w:p>
      <w:pPr>
        <w:shd w:fill="F4F4F4" w:color="auto" w:val="clear"/>
        <w:spacing w:after="0" w:line="240"/>
      </w:pPr>
      <w:r>
        <w:rPr>
          <w:rFonts w:ascii="DejaVu Sans Mono" w:cs="DejaVu Sans Mono" w:eastAsia="DejaVu Sans Mono" w:hAnsi="DejaVu Sans Mono"/>
          <w:sz w:val="16"/>
          <w:szCs w:val="16"/>
        </w:rPr>
        <w:t xml:space="preserve"> encapsulation dot1Q 10</w:t>
      </w:r>
    </w:p>
    <w:p>
      <w:pPr>
        <w:shd w:fill="F4F4F4" w:color="auto" w:val="clear"/>
        <w:spacing w:after="0" w:line="240"/>
      </w:pPr>
      <w:r>
        <w:rPr>
          <w:rFonts w:ascii="DejaVu Sans Mono" w:cs="DejaVu Sans Mono" w:eastAsia="DejaVu Sans Mono" w:hAnsi="DejaVu Sans Mono"/>
          <w:sz w:val="16"/>
          <w:szCs w:val="16"/>
        </w:rPr>
        <w:t xml:space="preserve"> ip address 192.168.10.1 255.255.255.0</w:t>
      </w:r>
    </w:p>
    <w:p>
      <w:pPr>
        <w:shd w:fill="F4F4F4" w:color="auto" w:val="clear"/>
        <w:spacing w:after="0" w:line="240"/>
      </w:pPr>
      <w:r>
        <w:rPr>
          <w:rFonts w:ascii="DejaVu Sans Mono" w:cs="DejaVu Sans Mono" w:eastAsia="DejaVu Sans Mono" w:hAnsi="DejaVu Sans Mono"/>
          <w:sz w:val="16"/>
          <w:szCs w:val="16"/>
        </w:rPr>
        <w:t xml:space="preserve"> ip nat inside</w:t>
      </w:r>
    </w:p>
    <w:p>
      <w:pPr>
        <w:shd w:fill="F4F4F4" w:color="auto" w:val="clear"/>
        <w:spacing w:after="0" w:line="240"/>
      </w:pPr>
      <w:r>
        <w:rPr>
          <w:rFonts w:ascii="DejaVu Sans Mono" w:cs="DejaVu Sans Mono" w:eastAsia="DejaVu Sans Mono" w:hAnsi="DejaVu Sans Mono"/>
          <w:sz w:val="16"/>
          <w:szCs w:val="16"/>
        </w:rPr>
        <w:t xml:space="preserve">interface GigabitEthernet0/0/1.20</w:t>
      </w:r>
    </w:p>
    <w:p>
      <w:pPr>
        <w:shd w:fill="F4F4F4" w:color="auto" w:val="clear"/>
        <w:spacing w:after="0" w:line="240"/>
      </w:pPr>
      <w:r>
        <w:rPr>
          <w:rFonts w:ascii="DejaVu Sans Mono" w:cs="DejaVu Sans Mono" w:eastAsia="DejaVu Sans Mono" w:hAnsi="DejaVu Sans Mono"/>
          <w:sz w:val="16"/>
          <w:szCs w:val="16"/>
        </w:rPr>
        <w:t xml:space="preserve"> encapsulation dot1Q 20</w:t>
      </w:r>
    </w:p>
    <w:p>
      <w:pPr>
        <w:shd w:fill="F4F4F4" w:color="auto" w:val="clear"/>
        <w:spacing w:after="0" w:line="240"/>
      </w:pPr>
      <w:r>
        <w:rPr>
          <w:rFonts w:ascii="DejaVu Sans Mono" w:cs="DejaVu Sans Mono" w:eastAsia="DejaVu Sans Mono" w:hAnsi="DejaVu Sans Mono"/>
          <w:sz w:val="16"/>
          <w:szCs w:val="16"/>
        </w:rPr>
        <w:t xml:space="preserve"> ip address 192.168.20.1 255.255.255.0</w:t>
      </w:r>
    </w:p>
    <w:p>
      <w:pPr>
        <w:shd w:fill="F4F4F4" w:color="auto" w:val="clear"/>
        <w:spacing w:after="0" w:line="240"/>
      </w:pPr>
      <w:r>
        <w:rPr>
          <w:rFonts w:ascii="DejaVu Sans Mono" w:cs="DejaVu Sans Mono" w:eastAsia="DejaVu Sans Mono" w:hAnsi="DejaVu Sans Mono"/>
          <w:sz w:val="16"/>
          <w:szCs w:val="16"/>
        </w:rPr>
        <w:t xml:space="preserve"> ip nat inside</w:t>
      </w:r>
    </w:p>
    <w:p>
      <w:pPr>
        <w:shd w:fill="F4F4F4" w:color="auto" w:val="clear"/>
        <w:spacing w:after="0" w:line="240"/>
      </w:pPr>
      <w:r>
        <w:rPr>
          <w:rFonts w:ascii="DejaVu Sans Mono" w:cs="DejaVu Sans Mono" w:eastAsia="DejaVu Sans Mono" w:hAnsi="DejaVu Sans Mono"/>
          <w:sz w:val="16"/>
          <w:szCs w:val="16"/>
        </w:rPr>
        <w:t xml:space="preserve">interface GigabitEthernet0/0/1.30</w:t>
      </w:r>
    </w:p>
    <w:p>
      <w:pPr>
        <w:shd w:fill="F4F4F4" w:color="auto" w:val="clear"/>
        <w:spacing w:after="0" w:line="240"/>
      </w:pPr>
      <w:r>
        <w:rPr>
          <w:rFonts w:ascii="DejaVu Sans Mono" w:cs="DejaVu Sans Mono" w:eastAsia="DejaVu Sans Mono" w:hAnsi="DejaVu Sans Mono"/>
          <w:sz w:val="16"/>
          <w:szCs w:val="16"/>
        </w:rPr>
        <w:t xml:space="preserve"> encapsulation dot1Q 30</w:t>
      </w:r>
    </w:p>
    <w:p>
      <w:pPr>
        <w:shd w:fill="F4F4F4" w:color="auto" w:val="clear"/>
        <w:spacing w:after="0" w:line="240"/>
      </w:pPr>
      <w:r>
        <w:rPr>
          <w:rFonts w:ascii="DejaVu Sans Mono" w:cs="DejaVu Sans Mono" w:eastAsia="DejaVu Sans Mono" w:hAnsi="DejaVu Sans Mono"/>
          <w:sz w:val="16"/>
          <w:szCs w:val="16"/>
        </w:rPr>
        <w:t xml:space="preserve"> ip address 192.168.30.1 255.255.255.0</w:t>
      </w:r>
    </w:p>
    <w:p>
      <w:pPr>
        <w:shd w:fill="F4F4F4" w:color="auto" w:val="clear"/>
        <w:spacing w:after="0" w:line="240"/>
      </w:pPr>
      <w:r>
        <w:rPr>
          <w:rFonts w:ascii="DejaVu Sans Mono" w:cs="DejaVu Sans Mono" w:eastAsia="DejaVu Sans Mono" w:hAnsi="DejaVu Sans Mono"/>
          <w:sz w:val="16"/>
          <w:szCs w:val="16"/>
        </w:rPr>
        <w:t xml:space="preserve"> ip nat inside</w:t>
      </w:r>
    </w:p>
    <w:p>
      <w:pPr>
        <w:shd w:fill="F4F4F4" w:color="auto" w:val="clear"/>
        <w:spacing w:after="0" w:line="240"/>
      </w:pPr>
      <w:r>
        <w:rPr>
          <w:rFonts w:ascii="DejaVu Sans Mono" w:cs="DejaVu Sans Mono" w:eastAsia="DejaVu Sans Mono" w:hAnsi="DejaVu Sans Mono"/>
          <w:sz w:val="16"/>
          <w:szCs w:val="16"/>
        </w:rPr>
        <w:t xml:space="preserve"> ip access-group CONFIANZA-RO04 in</w:t>
      </w:r>
    </w:p>
    <w:p>
      <w:pPr>
        <w:shd w:fill="F4F4F4" w:color="auto" w:val="clear"/>
        <w:spacing w:after="0" w:line="240"/>
      </w:pPr>
      <w:r>
        <w:rPr>
          <w:rFonts w:ascii="DejaVu Sans Mono" w:cs="DejaVu Sans Mono" w:eastAsia="DejaVu Sans Mono" w:hAnsi="DejaVu Sans Mono"/>
          <w:sz w:val="16"/>
          <w:szCs w:val="16"/>
        </w:rPr>
        <w:t xml:space="preserve">interface GigabitEthernet0/0/1.40</w:t>
      </w:r>
    </w:p>
    <w:p>
      <w:pPr>
        <w:shd w:fill="F4F4F4" w:color="auto" w:val="clear"/>
        <w:spacing w:after="0" w:line="240"/>
      </w:pPr>
      <w:r>
        <w:rPr>
          <w:rFonts w:ascii="DejaVu Sans Mono" w:cs="DejaVu Sans Mono" w:eastAsia="DejaVu Sans Mono" w:hAnsi="DejaVu Sans Mono"/>
          <w:sz w:val="16"/>
          <w:szCs w:val="16"/>
        </w:rPr>
        <w:t xml:space="preserve"> encapsulation dot1Q 40</w:t>
      </w:r>
    </w:p>
    <w:p>
      <w:pPr>
        <w:shd w:fill="F4F4F4" w:color="auto" w:val="clear"/>
        <w:spacing w:after="0" w:line="240"/>
      </w:pPr>
      <w:r>
        <w:rPr>
          <w:rFonts w:ascii="DejaVu Sans Mono" w:cs="DejaVu Sans Mono" w:eastAsia="DejaVu Sans Mono" w:hAnsi="DejaVu Sans Mono"/>
          <w:sz w:val="16"/>
          <w:szCs w:val="16"/>
        </w:rPr>
        <w:t xml:space="preserve"> ip address 192.168.40.1 255.255.255.0</w:t>
      </w:r>
    </w:p>
    <w:p>
      <w:pPr>
        <w:shd w:fill="F4F4F4" w:color="auto" w:val="clear"/>
        <w:spacing w:after="0" w:line="240"/>
      </w:pPr>
      <w:r>
        <w:rPr>
          <w:rFonts w:ascii="DejaVu Sans Mono" w:cs="DejaVu Sans Mono" w:eastAsia="DejaVu Sans Mono" w:hAnsi="DejaVu Sans Mono"/>
          <w:sz w:val="16"/>
          <w:szCs w:val="16"/>
        </w:rPr>
        <w:t xml:space="preserve"> ip nat inside</w:t>
      </w:r>
    </w:p>
    <w:p>
      <w:pPr>
        <w:shd w:fill="F4F4F4" w:color="auto" w:val="clear"/>
        <w:spacing w:after="0" w:line="240"/>
      </w:pPr>
      <w:r>
        <w:rPr>
          <w:rFonts w:ascii="DejaVu Sans Mono" w:cs="DejaVu Sans Mono" w:eastAsia="DejaVu Sans Mono" w:hAnsi="DejaVu Sans Mono"/>
          <w:sz w:val="16"/>
          <w:szCs w:val="16"/>
        </w:rPr>
        <w:t xml:space="preserve">interface GigabitEthernet0/0/1.50</w:t>
      </w:r>
    </w:p>
    <w:p>
      <w:pPr>
        <w:shd w:fill="F4F4F4" w:color="auto" w:val="clear"/>
        <w:spacing w:after="0" w:line="240"/>
      </w:pPr>
      <w:r>
        <w:rPr>
          <w:rFonts w:ascii="DejaVu Sans Mono" w:cs="DejaVu Sans Mono" w:eastAsia="DejaVu Sans Mono" w:hAnsi="DejaVu Sans Mono"/>
          <w:sz w:val="16"/>
          <w:szCs w:val="16"/>
        </w:rPr>
        <w:t xml:space="preserve"> encapsulation dot1Q 50</w:t>
      </w:r>
    </w:p>
    <w:p>
      <w:pPr>
        <w:shd w:fill="F4F4F4" w:color="auto" w:val="clear"/>
        <w:spacing w:after="0" w:line="240"/>
      </w:pPr>
      <w:r>
        <w:rPr>
          <w:rFonts w:ascii="DejaVu Sans Mono" w:cs="DejaVu Sans Mono" w:eastAsia="DejaVu Sans Mono" w:hAnsi="DejaVu Sans Mono"/>
          <w:sz w:val="16"/>
          <w:szCs w:val="16"/>
        </w:rPr>
        <w:t xml:space="preserve"> ip address 192.168.50.1 255.255.255.0</w:t>
      </w:r>
    </w:p>
    <w:p>
      <w:pPr>
        <w:shd w:fill="F4F4F4" w:color="auto" w:val="clear"/>
        <w:spacing w:after="0" w:line="240"/>
      </w:pPr>
      <w:r>
        <w:rPr>
          <w:rFonts w:ascii="DejaVu Sans Mono" w:cs="DejaVu Sans Mono" w:eastAsia="DejaVu Sans Mono" w:hAnsi="DejaVu Sans Mono"/>
          <w:sz w:val="16"/>
          <w:szCs w:val="16"/>
        </w:rPr>
        <w:t xml:space="preserve"> ip nat inside</w:t>
      </w:r>
    </w:p>
    <w:p>
      <w:pPr>
        <w:shd w:fill="F4F4F4" w:color="auto" w:val="clear"/>
        <w:spacing w:after="0" w:line="240"/>
      </w:pPr>
      <w:r>
        <w:rPr>
          <w:rFonts w:ascii="DejaVu Sans Mono" w:cs="DejaVu Sans Mono" w:eastAsia="DejaVu Sans Mono" w:hAnsi="DejaVu Sans Mono"/>
          <w:sz w:val="16"/>
          <w:szCs w:val="16"/>
        </w:rPr>
        <w:t xml:space="preserve"> ip access-group VISITAS-SOLO-INTERNET in</w:t>
      </w:r>
    </w:p>
    <w:p>
      <w:pPr>
        <w:shd w:fill="F4F4F4" w:color="auto" w:val="clear"/>
        <w:spacing w:after="0" w:line="240"/>
      </w:pPr>
      <w:r>
        <w:rPr>
          <w:rFonts w:ascii="DejaVu Sans Mono" w:cs="DejaVu Sans Mono" w:eastAsia="DejaVu Sans Mono" w:hAnsi="DejaVu Sans Mono"/>
          <w:sz w:val="16"/>
          <w:szCs w:val="16"/>
        </w:rPr>
        <w:t xml:space="preserve">interface GigabitEthernet0/0/1.60</w:t>
      </w:r>
    </w:p>
    <w:p>
      <w:pPr>
        <w:shd w:fill="F4F4F4" w:color="auto" w:val="clear"/>
        <w:spacing w:after="0" w:line="240"/>
      </w:pPr>
      <w:r>
        <w:rPr>
          <w:rFonts w:ascii="DejaVu Sans Mono" w:cs="DejaVu Sans Mono" w:eastAsia="DejaVu Sans Mono" w:hAnsi="DejaVu Sans Mono"/>
          <w:sz w:val="16"/>
          <w:szCs w:val="16"/>
        </w:rPr>
        <w:t xml:space="preserve"> encapsulation dot1Q 60</w:t>
      </w:r>
    </w:p>
    <w:p>
      <w:pPr>
        <w:shd w:fill="F4F4F4" w:color="auto" w:val="clear"/>
        <w:spacing w:after="0" w:line="240"/>
      </w:pPr>
      <w:r>
        <w:rPr>
          <w:rFonts w:ascii="DejaVu Sans Mono" w:cs="DejaVu Sans Mono" w:eastAsia="DejaVu Sans Mono" w:hAnsi="DejaVu Sans Mono"/>
          <w:sz w:val="16"/>
          <w:szCs w:val="16"/>
        </w:rPr>
        <w:t xml:space="preserve"> ip address 192.168.60.1 255.255.255.0</w:t>
      </w:r>
    </w:p>
    <w:p>
      <w:pPr>
        <w:shd w:fill="F4F4F4" w:color="auto" w:val="clear"/>
        <w:spacing w:after="0" w:line="240"/>
      </w:pPr>
      <w:r>
        <w:rPr>
          <w:rFonts w:ascii="DejaVu Sans Mono" w:cs="DejaVu Sans Mono" w:eastAsia="DejaVu Sans Mono" w:hAnsi="DejaVu Sans Mono"/>
          <w:sz w:val="16"/>
          <w:szCs w:val="16"/>
        </w:rPr>
        <w:t xml:space="preserve"> ip nat inside</w:t>
      </w:r>
    </w:p>
    <w:p>
      <w:pPr>
        <w:shd w:fill="F4F4F4" w:color="auto" w:val="clear"/>
        <w:spacing w:after="0" w:line="240"/>
      </w:pPr>
      <w:r>
        <w:rPr>
          <w:rFonts w:ascii="DejaVu Sans Mono" w:cs="DejaVu Sans Mono" w:eastAsia="DejaVu Sans Mono" w:hAnsi="DejaVu Sans Mono"/>
          <w:sz w:val="16"/>
          <w:szCs w:val="16"/>
        </w:rPr>
        <w:t xml:space="preserve">interface GigabitEthernet0/0/1.99</w:t>
      </w:r>
    </w:p>
    <w:p>
      <w:pPr>
        <w:shd w:fill="F4F4F4" w:color="auto" w:val="clear"/>
        <w:spacing w:after="0" w:line="240"/>
      </w:pPr>
      <w:r>
        <w:rPr>
          <w:rFonts w:ascii="DejaVu Sans Mono" w:cs="DejaVu Sans Mono" w:eastAsia="DejaVu Sans Mono" w:hAnsi="DejaVu Sans Mono"/>
          <w:sz w:val="16"/>
          <w:szCs w:val="16"/>
        </w:rPr>
        <w:t xml:space="preserve"> encapsulation dot1Q 99</w:t>
      </w:r>
    </w:p>
    <w:p>
      <w:pPr>
        <w:shd w:fill="F4F4F4" w:color="auto" w:val="clear"/>
        <w:spacing w:after="0" w:line="240"/>
      </w:pPr>
      <w:r>
        <w:rPr>
          <w:rFonts w:ascii="DejaVu Sans Mono" w:cs="DejaVu Sans Mono" w:eastAsia="DejaVu Sans Mono" w:hAnsi="DejaVu Sans Mono"/>
          <w:sz w:val="16"/>
          <w:szCs w:val="16"/>
        </w:rPr>
        <w:t xml:space="preserve"> ip address 192.168.99.1 255.255.255.0</w:t>
      </w:r>
    </w:p>
    <w:p>
      <w:pPr>
        <w:shd w:fill="F4F4F4" w:color="auto" w:val="clear"/>
        <w:spacing w:after="0" w:line="240"/>
      </w:pPr>
      <w:r>
        <w:rPr>
          <w:rFonts w:ascii="DejaVu Sans Mono" w:cs="DejaVu Sans Mono" w:eastAsia="DejaVu Sans Mono" w:hAnsi="DejaVu Sans Mono"/>
          <w:sz w:val="16"/>
          <w:szCs w:val="16"/>
        </w:rPr>
        <w:t xml:space="preserve">ip access-list extended CONFIANZA-RO04</w:t>
      </w:r>
    </w:p>
    <w:p>
      <w:pPr>
        <w:shd w:fill="F4F4F4" w:color="auto" w:val="clear"/>
        <w:spacing w:after="0" w:line="240"/>
      </w:pPr>
      <w:r>
        <w:rPr>
          <w:rFonts w:ascii="DejaVu Sans Mono" w:cs="DejaVu Sans Mono" w:eastAsia="DejaVu Sans Mono" w:hAnsi="DejaVu Sans Mono"/>
          <w:sz w:val="16"/>
          <w:szCs w:val="16"/>
        </w:rPr>
        <w:t xml:space="preserve"> deny ip 192.168.30.0 0.0.0.255 192.168.20.0 0.0.0.255</w:t>
      </w:r>
    </w:p>
    <w:p>
      <w:pPr>
        <w:shd w:fill="F4F4F4" w:color="auto" w:val="clear"/>
        <w:spacing w:after="0" w:line="240"/>
      </w:pPr>
      <w:r>
        <w:rPr>
          <w:rFonts w:ascii="DejaVu Sans Mono" w:cs="DejaVu Sans Mono" w:eastAsia="DejaVu Sans Mono" w:hAnsi="DejaVu Sans Mono"/>
          <w:sz w:val="16"/>
          <w:szCs w:val="16"/>
        </w:rPr>
        <w:t xml:space="preserve"> deny ip 192.168.30.0 0.0.0.255 192.168.99.0 0.0.0.255</w:t>
      </w:r>
    </w:p>
    <w:p>
      <w:pPr>
        <w:shd w:fill="F4F4F4" w:color="auto" w:val="clear"/>
        <w:spacing w:after="0" w:line="240"/>
      </w:pPr>
      <w:r>
        <w:rPr>
          <w:rFonts w:ascii="DejaVu Sans Mono" w:cs="DejaVu Sans Mono" w:eastAsia="DejaVu Sans Mono" w:hAnsi="DejaVu Sans Mono"/>
          <w:sz w:val="16"/>
          <w:szCs w:val="16"/>
        </w:rPr>
        <w:t xml:space="preserve"> permit ip any any</w:t>
      </w:r>
    </w:p>
    <w:p>
      <w:pPr>
        <w:shd w:fill="F4F4F4" w:color="auto" w:val="clear"/>
        <w:spacing w:after="0" w:line="240"/>
      </w:pPr>
      <w:r>
        <w:rPr>
          <w:rFonts w:ascii="DejaVu Sans Mono" w:cs="DejaVu Sans Mono" w:eastAsia="DejaVu Sans Mono" w:hAnsi="DejaVu Sans Mono"/>
          <w:sz w:val="16"/>
          <w:szCs w:val="16"/>
        </w:rPr>
        <w:t xml:space="preserve">ip access-list extended VISITAS-SOLO-INTERNET</w:t>
      </w:r>
    </w:p>
    <w:p>
      <w:pPr>
        <w:shd w:fill="F4F4F4" w:color="auto" w:val="clear"/>
        <w:spacing w:after="0" w:line="240"/>
      </w:pPr>
      <w:r>
        <w:rPr>
          <w:rFonts w:ascii="DejaVu Sans Mono" w:cs="DejaVu Sans Mono" w:eastAsia="DejaVu Sans Mono" w:hAnsi="DejaVu Sans Mono"/>
          <w:sz w:val="16"/>
          <w:szCs w:val="16"/>
        </w:rPr>
        <w:t xml:space="preserve"> permit udp 192.168.50.0 0.0.0.255 any eq bootps</w:t>
      </w:r>
    </w:p>
    <w:p>
      <w:pPr>
        <w:shd w:fill="F4F4F4" w:color="auto" w:val="clear"/>
        <w:spacing w:after="0" w:line="240"/>
      </w:pPr>
      <w:r>
        <w:rPr>
          <w:rFonts w:ascii="DejaVu Sans Mono" w:cs="DejaVu Sans Mono" w:eastAsia="DejaVu Sans Mono" w:hAnsi="DejaVu Sans Mono"/>
          <w:sz w:val="16"/>
          <w:szCs w:val="16"/>
        </w:rPr>
        <w:t xml:space="preserve"> deny ip 192.168.50.0 0.0.0.255 192.168.0.0 0.0.255.255</w:t>
      </w:r>
    </w:p>
    <w:p>
      <w:pPr>
        <w:shd w:fill="F4F4F4" w:color="auto" w:val="clear"/>
        <w:spacing w:after="0" w:line="240"/>
      </w:pPr>
      <w:r>
        <w:rPr>
          <w:rFonts w:ascii="DejaVu Sans Mono" w:cs="DejaVu Sans Mono" w:eastAsia="DejaVu Sans Mono" w:hAnsi="DejaVu Sans Mono"/>
          <w:sz w:val="16"/>
          <w:szCs w:val="16"/>
        </w:rPr>
        <w:t xml:space="preserve"> permit ip 192.168.50.0 0.0.0.255 any</w:t>
      </w:r>
    </w:p>
    <w:p>
      <w:pPr>
        <w:shd w:fill="F4F4F4" w:color="auto" w:val="clear"/>
        <w:spacing w:after="0" w:line="240"/>
      </w:pPr>
      <w:r>
        <w:rPr>
          <w:rFonts w:ascii="DejaVu Sans Mono" w:cs="DejaVu Sans Mono" w:eastAsia="DejaVu Sans Mono" w:hAnsi="DejaVu Sans Mono"/>
          <w:sz w:val="16"/>
          <w:szCs w:val="16"/>
        </w:rPr>
        <w:t xml:space="preserve">ip dhcp excluded-address 192.168.10.1 192.168.10.9</w:t>
      </w:r>
    </w:p>
    <w:p>
      <w:pPr>
        <w:shd w:fill="F4F4F4" w:color="auto" w:val="clear"/>
        <w:spacing w:after="0" w:line="240"/>
      </w:pPr>
      <w:r>
        <w:rPr>
          <w:rFonts w:ascii="DejaVu Sans Mono" w:cs="DejaVu Sans Mono" w:eastAsia="DejaVu Sans Mono" w:hAnsi="DejaVu Sans Mono"/>
          <w:sz w:val="16"/>
          <w:szCs w:val="16"/>
        </w:rPr>
        <w:t xml:space="preserve">ip dhcp excluded-address 192.168.20.1 192.168.20.9</w:t>
      </w:r>
    </w:p>
    <w:p>
      <w:pPr>
        <w:shd w:fill="F4F4F4" w:color="auto" w:val="clear"/>
        <w:spacing w:after="0" w:line="240"/>
      </w:pPr>
      <w:r>
        <w:rPr>
          <w:rFonts w:ascii="DejaVu Sans Mono" w:cs="DejaVu Sans Mono" w:eastAsia="DejaVu Sans Mono" w:hAnsi="DejaVu Sans Mono"/>
          <w:sz w:val="16"/>
          <w:szCs w:val="16"/>
        </w:rPr>
        <w:t xml:space="preserve">ip dhcp excluded-address 192.168.30.1 192.168.30.9</w:t>
      </w:r>
    </w:p>
    <w:p>
      <w:pPr>
        <w:shd w:fill="F4F4F4" w:color="auto" w:val="clear"/>
        <w:spacing w:after="0" w:line="240"/>
      </w:pPr>
      <w:r>
        <w:rPr>
          <w:rFonts w:ascii="DejaVu Sans Mono" w:cs="DejaVu Sans Mono" w:eastAsia="DejaVu Sans Mono" w:hAnsi="DejaVu Sans Mono"/>
          <w:sz w:val="16"/>
          <w:szCs w:val="16"/>
        </w:rPr>
        <w:t xml:space="preserve">ip dhcp excluded-address 192.168.40.1 192.168.40.9</w:t>
      </w:r>
    </w:p>
    <w:p>
      <w:pPr>
        <w:shd w:fill="F4F4F4" w:color="auto" w:val="clear"/>
        <w:spacing w:after="0" w:line="240"/>
      </w:pPr>
      <w:r>
        <w:rPr>
          <w:rFonts w:ascii="DejaVu Sans Mono" w:cs="DejaVu Sans Mono" w:eastAsia="DejaVu Sans Mono" w:hAnsi="DejaVu Sans Mono"/>
          <w:sz w:val="16"/>
          <w:szCs w:val="16"/>
        </w:rPr>
        <w:t xml:space="preserve">ip dhcp excluded-address 192.168.50.1 192.168.50.9</w:t>
      </w:r>
    </w:p>
    <w:p>
      <w:pPr>
        <w:shd w:fill="F4F4F4" w:color="auto" w:val="clear"/>
        <w:spacing w:after="0" w:line="240"/>
      </w:pPr>
      <w:r>
        <w:rPr>
          <w:rFonts w:ascii="DejaVu Sans Mono" w:cs="DejaVu Sans Mono" w:eastAsia="DejaVu Sans Mono" w:hAnsi="DejaVu Sans Mono"/>
          <w:sz w:val="16"/>
          <w:szCs w:val="16"/>
        </w:rPr>
        <w:t xml:space="preserve">ip dhcp excluded-address 192.168.60.1 192.168.60.9</w:t>
      </w:r>
    </w:p>
    <w:p>
      <w:pPr>
        <w:shd w:fill="F4F4F4" w:color="auto" w:val="clear"/>
        <w:spacing w:after="0" w:line="240"/>
      </w:pPr>
      <w:r>
        <w:rPr>
          <w:rFonts w:ascii="DejaVu Sans Mono" w:cs="DejaVu Sans Mono" w:eastAsia="DejaVu Sans Mono" w:hAnsi="DejaVu Sans Mono"/>
          <w:sz w:val="16"/>
          <w:szCs w:val="16"/>
        </w:rPr>
        <w:t xml:space="preserve">ip dhcp pool VLAN10</w:t>
      </w:r>
    </w:p>
    <w:p>
      <w:pPr>
        <w:shd w:fill="F4F4F4" w:color="auto" w:val="clear"/>
        <w:spacing w:after="0" w:line="240"/>
      </w:pPr>
      <w:r>
        <w:rPr>
          <w:rFonts w:ascii="DejaVu Sans Mono" w:cs="DejaVu Sans Mono" w:eastAsia="DejaVu Sans Mono" w:hAnsi="DejaVu Sans Mono"/>
          <w:sz w:val="16"/>
          <w:szCs w:val="16"/>
        </w:rPr>
        <w:t xml:space="preserve"> network 192.168.10.0 255.255.255.0</w:t>
      </w:r>
    </w:p>
    <w:p>
      <w:pPr>
        <w:shd w:fill="F4F4F4" w:color="auto" w:val="clear"/>
        <w:spacing w:after="0" w:line="240"/>
      </w:pPr>
      <w:r>
        <w:rPr>
          <w:rFonts w:ascii="DejaVu Sans Mono" w:cs="DejaVu Sans Mono" w:eastAsia="DejaVu Sans Mono" w:hAnsi="DejaVu Sans Mono"/>
          <w:sz w:val="16"/>
          <w:szCs w:val="16"/>
        </w:rPr>
        <w:t xml:space="preserve"> default-router 192.168.10.1</w:t>
      </w:r>
    </w:p>
    <w:p>
      <w:pPr>
        <w:shd w:fill="F4F4F4" w:color="auto" w:val="clear"/>
        <w:spacing w:after="0" w:line="240"/>
      </w:pPr>
      <w:r>
        <w:rPr>
          <w:rFonts w:ascii="DejaVu Sans Mono" w:cs="DejaVu Sans Mono" w:eastAsia="DejaVu Sans Mono" w:hAnsi="DejaVu Sans Mono"/>
          <w:sz w:val="16"/>
          <w:szCs w:val="16"/>
        </w:rPr>
        <w:t xml:space="preserve"> dns-server 203.0.113.1</w:t>
      </w:r>
    </w:p>
    <w:p>
      <w:pPr>
        <w:shd w:fill="F4F4F4" w:color="auto" w:val="clear"/>
        <w:spacing w:after="0" w:line="240"/>
      </w:pPr>
      <w:r>
        <w:rPr>
          <w:rFonts w:ascii="DejaVu Sans Mono" w:cs="DejaVu Sans Mono" w:eastAsia="DejaVu Sans Mono" w:hAnsi="DejaVu Sans Mono"/>
          <w:sz w:val="16"/>
          <w:szCs w:val="16"/>
        </w:rPr>
        <w:t xml:space="preserve">ip dhcp pool VLAN20</w:t>
      </w:r>
    </w:p>
    <w:p>
      <w:pPr>
        <w:shd w:fill="F4F4F4" w:color="auto" w:val="clear"/>
        <w:spacing w:after="0" w:line="240"/>
      </w:pPr>
      <w:r>
        <w:rPr>
          <w:rFonts w:ascii="DejaVu Sans Mono" w:cs="DejaVu Sans Mono" w:eastAsia="DejaVu Sans Mono" w:hAnsi="DejaVu Sans Mono"/>
          <w:sz w:val="16"/>
          <w:szCs w:val="16"/>
        </w:rPr>
        <w:t xml:space="preserve"> network 192.168.20.0 255.255.255.0</w:t>
      </w:r>
    </w:p>
    <w:p>
      <w:pPr>
        <w:shd w:fill="F4F4F4" w:color="auto" w:val="clear"/>
        <w:spacing w:after="0" w:line="240"/>
      </w:pPr>
      <w:r>
        <w:rPr>
          <w:rFonts w:ascii="DejaVu Sans Mono" w:cs="DejaVu Sans Mono" w:eastAsia="DejaVu Sans Mono" w:hAnsi="DejaVu Sans Mono"/>
          <w:sz w:val="16"/>
          <w:szCs w:val="16"/>
        </w:rPr>
        <w:t xml:space="preserve"> default-router 192.168.20.1</w:t>
      </w:r>
    </w:p>
    <w:p>
      <w:pPr>
        <w:shd w:fill="F4F4F4" w:color="auto" w:val="clear"/>
        <w:spacing w:after="0" w:line="240"/>
      </w:pPr>
      <w:r>
        <w:rPr>
          <w:rFonts w:ascii="DejaVu Sans Mono" w:cs="DejaVu Sans Mono" w:eastAsia="DejaVu Sans Mono" w:hAnsi="DejaVu Sans Mono"/>
          <w:sz w:val="16"/>
          <w:szCs w:val="16"/>
        </w:rPr>
        <w:t xml:space="preserve"> dns-server 203.0.113.1</w:t>
      </w:r>
    </w:p>
    <w:p>
      <w:pPr>
        <w:shd w:fill="F4F4F4" w:color="auto" w:val="clear"/>
        <w:spacing w:after="0" w:line="240"/>
      </w:pPr>
      <w:r>
        <w:rPr>
          <w:rFonts w:ascii="DejaVu Sans Mono" w:cs="DejaVu Sans Mono" w:eastAsia="DejaVu Sans Mono" w:hAnsi="DejaVu Sans Mono"/>
          <w:sz w:val="16"/>
          <w:szCs w:val="16"/>
        </w:rPr>
        <w:t xml:space="preserve">ip dhcp pool VLAN30</w:t>
      </w:r>
    </w:p>
    <w:p>
      <w:pPr>
        <w:shd w:fill="F4F4F4" w:color="auto" w:val="clear"/>
        <w:spacing w:after="0" w:line="240"/>
      </w:pPr>
      <w:r>
        <w:rPr>
          <w:rFonts w:ascii="DejaVu Sans Mono" w:cs="DejaVu Sans Mono" w:eastAsia="DejaVu Sans Mono" w:hAnsi="DejaVu Sans Mono"/>
          <w:sz w:val="16"/>
          <w:szCs w:val="16"/>
        </w:rPr>
        <w:t xml:space="preserve"> network 192.168.30.0 255.255.255.0</w:t>
      </w:r>
    </w:p>
    <w:p>
      <w:pPr>
        <w:shd w:fill="F4F4F4" w:color="auto" w:val="clear"/>
        <w:spacing w:after="0" w:line="240"/>
      </w:pPr>
      <w:r>
        <w:rPr>
          <w:rFonts w:ascii="DejaVu Sans Mono" w:cs="DejaVu Sans Mono" w:eastAsia="DejaVu Sans Mono" w:hAnsi="DejaVu Sans Mono"/>
          <w:sz w:val="16"/>
          <w:szCs w:val="16"/>
        </w:rPr>
        <w:t xml:space="preserve"> default-router 192.168.30.1</w:t>
      </w:r>
    </w:p>
    <w:p>
      <w:pPr>
        <w:shd w:fill="F4F4F4" w:color="auto" w:val="clear"/>
        <w:spacing w:after="0" w:line="240"/>
      </w:pPr>
      <w:r>
        <w:rPr>
          <w:rFonts w:ascii="DejaVu Sans Mono" w:cs="DejaVu Sans Mono" w:eastAsia="DejaVu Sans Mono" w:hAnsi="DejaVu Sans Mono"/>
          <w:sz w:val="16"/>
          <w:szCs w:val="16"/>
        </w:rPr>
        <w:t xml:space="preserve"> dns-server 203.0.113.1</w:t>
      </w:r>
    </w:p>
    <w:p>
      <w:pPr>
        <w:shd w:fill="F4F4F4" w:color="auto" w:val="clear"/>
        <w:spacing w:after="0" w:line="240"/>
      </w:pPr>
      <w:r>
        <w:rPr>
          <w:rFonts w:ascii="DejaVu Sans Mono" w:cs="DejaVu Sans Mono" w:eastAsia="DejaVu Sans Mono" w:hAnsi="DejaVu Sans Mono"/>
          <w:sz w:val="16"/>
          <w:szCs w:val="16"/>
        </w:rPr>
        <w:t xml:space="preserve">ip dhcp pool VLAN40</w:t>
      </w:r>
    </w:p>
    <w:p>
      <w:pPr>
        <w:shd w:fill="F4F4F4" w:color="auto" w:val="clear"/>
        <w:spacing w:after="0" w:line="240"/>
      </w:pPr>
      <w:r>
        <w:rPr>
          <w:rFonts w:ascii="DejaVu Sans Mono" w:cs="DejaVu Sans Mono" w:eastAsia="DejaVu Sans Mono" w:hAnsi="DejaVu Sans Mono"/>
          <w:sz w:val="16"/>
          <w:szCs w:val="16"/>
        </w:rPr>
        <w:t xml:space="preserve"> network 192.168.40.0 255.255.255.0</w:t>
      </w:r>
    </w:p>
    <w:p>
      <w:pPr>
        <w:shd w:fill="F4F4F4" w:color="auto" w:val="clear"/>
        <w:spacing w:after="0" w:line="240"/>
      </w:pPr>
      <w:r>
        <w:rPr>
          <w:rFonts w:ascii="DejaVu Sans Mono" w:cs="DejaVu Sans Mono" w:eastAsia="DejaVu Sans Mono" w:hAnsi="DejaVu Sans Mono"/>
          <w:sz w:val="16"/>
          <w:szCs w:val="16"/>
        </w:rPr>
        <w:t xml:space="preserve"> default-router 192.168.40.1</w:t>
      </w:r>
    </w:p>
    <w:p>
      <w:pPr>
        <w:shd w:fill="F4F4F4" w:color="auto" w:val="clear"/>
        <w:spacing w:after="0" w:line="240"/>
      </w:pPr>
      <w:r>
        <w:rPr>
          <w:rFonts w:ascii="DejaVu Sans Mono" w:cs="DejaVu Sans Mono" w:eastAsia="DejaVu Sans Mono" w:hAnsi="DejaVu Sans Mono"/>
          <w:sz w:val="16"/>
          <w:szCs w:val="16"/>
        </w:rPr>
        <w:t xml:space="preserve"> dns-server 203.0.113.1</w:t>
      </w:r>
    </w:p>
    <w:p>
      <w:pPr>
        <w:shd w:fill="F4F4F4" w:color="auto" w:val="clear"/>
        <w:spacing w:after="0" w:line="240"/>
      </w:pPr>
      <w:r>
        <w:rPr>
          <w:rFonts w:ascii="DejaVu Sans Mono" w:cs="DejaVu Sans Mono" w:eastAsia="DejaVu Sans Mono" w:hAnsi="DejaVu Sans Mono"/>
          <w:sz w:val="16"/>
          <w:szCs w:val="16"/>
        </w:rPr>
        <w:t xml:space="preserve">ip dhcp pool VLAN50</w:t>
      </w:r>
    </w:p>
    <w:p>
      <w:pPr>
        <w:shd w:fill="F4F4F4" w:color="auto" w:val="clear"/>
        <w:spacing w:after="0" w:line="240"/>
      </w:pPr>
      <w:r>
        <w:rPr>
          <w:rFonts w:ascii="DejaVu Sans Mono" w:cs="DejaVu Sans Mono" w:eastAsia="DejaVu Sans Mono" w:hAnsi="DejaVu Sans Mono"/>
          <w:sz w:val="16"/>
          <w:szCs w:val="16"/>
        </w:rPr>
        <w:t xml:space="preserve"> network 192.168.50.0 255.255.255.0</w:t>
      </w:r>
    </w:p>
    <w:p>
      <w:pPr>
        <w:shd w:fill="F4F4F4" w:color="auto" w:val="clear"/>
        <w:spacing w:after="0" w:line="240"/>
      </w:pPr>
      <w:r>
        <w:rPr>
          <w:rFonts w:ascii="DejaVu Sans Mono" w:cs="DejaVu Sans Mono" w:eastAsia="DejaVu Sans Mono" w:hAnsi="DejaVu Sans Mono"/>
          <w:sz w:val="16"/>
          <w:szCs w:val="16"/>
        </w:rPr>
        <w:t xml:space="preserve"> default-router 192.168.50.1</w:t>
      </w:r>
    </w:p>
    <w:p>
      <w:pPr>
        <w:shd w:fill="F4F4F4" w:color="auto" w:val="clear"/>
        <w:spacing w:after="0" w:line="240"/>
      </w:pPr>
      <w:r>
        <w:rPr>
          <w:rFonts w:ascii="DejaVu Sans Mono" w:cs="DejaVu Sans Mono" w:eastAsia="DejaVu Sans Mono" w:hAnsi="DejaVu Sans Mono"/>
          <w:sz w:val="16"/>
          <w:szCs w:val="16"/>
        </w:rPr>
        <w:t xml:space="preserve"> dns-server 203.0.113.1</w:t>
      </w:r>
    </w:p>
    <w:p>
      <w:pPr>
        <w:shd w:fill="F4F4F4" w:color="auto" w:val="clear"/>
        <w:spacing w:after="0" w:line="240"/>
      </w:pPr>
      <w:r>
        <w:rPr>
          <w:rFonts w:ascii="DejaVu Sans Mono" w:cs="DejaVu Sans Mono" w:eastAsia="DejaVu Sans Mono" w:hAnsi="DejaVu Sans Mono"/>
          <w:sz w:val="16"/>
          <w:szCs w:val="16"/>
        </w:rPr>
        <w:t xml:space="preserve">ip dhcp pool VLAN60</w:t>
      </w:r>
    </w:p>
    <w:p>
      <w:pPr>
        <w:shd w:fill="F4F4F4" w:color="auto" w:val="clear"/>
        <w:spacing w:after="0" w:line="240"/>
      </w:pPr>
      <w:r>
        <w:rPr>
          <w:rFonts w:ascii="DejaVu Sans Mono" w:cs="DejaVu Sans Mono" w:eastAsia="DejaVu Sans Mono" w:hAnsi="DejaVu Sans Mono"/>
          <w:sz w:val="16"/>
          <w:szCs w:val="16"/>
        </w:rPr>
        <w:t xml:space="preserve"> network 192.168.60.0 255.255.255.0</w:t>
      </w:r>
    </w:p>
    <w:p>
      <w:pPr>
        <w:shd w:fill="F4F4F4" w:color="auto" w:val="clear"/>
        <w:spacing w:after="0" w:line="240"/>
      </w:pPr>
      <w:r>
        <w:rPr>
          <w:rFonts w:ascii="DejaVu Sans Mono" w:cs="DejaVu Sans Mono" w:eastAsia="DejaVu Sans Mono" w:hAnsi="DejaVu Sans Mono"/>
          <w:sz w:val="16"/>
          <w:szCs w:val="16"/>
        </w:rPr>
        <w:t xml:space="preserve"> default-router 192.168.60.1</w:t>
      </w:r>
    </w:p>
    <w:p>
      <w:pPr>
        <w:shd w:fill="F4F4F4" w:color="auto" w:val="clear"/>
        <w:spacing w:after="0" w:line="240"/>
      </w:pPr>
      <w:r>
        <w:rPr>
          <w:rFonts w:ascii="DejaVu Sans Mono" w:cs="DejaVu Sans Mono" w:eastAsia="DejaVu Sans Mono" w:hAnsi="DejaVu Sans Mono"/>
          <w:sz w:val="16"/>
          <w:szCs w:val="16"/>
        </w:rPr>
        <w:t xml:space="preserve"> dns-server 203.0.113.1</w:t>
      </w:r>
    </w:p>
    <w:p>
      <w:pPr>
        <w:shd w:fill="F4F4F4" w:color="auto" w:val="clear"/>
        <w:spacing w:after="0" w:line="240"/>
      </w:pPr>
      <w:r>
        <w:rPr>
          <w:rFonts w:ascii="DejaVu Sans Mono" w:cs="DejaVu Sans Mono" w:eastAsia="DejaVu Sans Mono" w:hAnsi="DejaVu Sans Mono"/>
          <w:sz w:val="16"/>
          <w:szCs w:val="16"/>
        </w:rPr>
        <w:t xml:space="preserve">access-list 1 permit 192.168.0.0 0.0.255.255</w:t>
      </w:r>
    </w:p>
    <w:p>
      <w:pPr>
        <w:shd w:fill="F4F4F4" w:color="auto" w:val="clear"/>
        <w:spacing w:after="0" w:line="240"/>
      </w:pPr>
      <w:r>
        <w:rPr>
          <w:rFonts w:ascii="DejaVu Sans Mono" w:cs="DejaVu Sans Mono" w:eastAsia="DejaVu Sans Mono" w:hAnsi="DejaVu Sans Mono"/>
          <w:sz w:val="16"/>
          <w:szCs w:val="16"/>
        </w:rPr>
        <w:t xml:space="preserve">ip nat inside source list 1 interface GigabitEthernet0/0/0 overload</w:t>
      </w:r>
    </w:p>
    <w:p>
      <w:pPr>
        <w:shd w:fill="F4F4F4" w:color="auto" w:val="clear"/>
        <w:spacing w:after="0" w:line="240"/>
      </w:pPr>
      <w:r>
        <w:rPr>
          <w:rFonts w:ascii="DejaVu Sans Mono" w:cs="DejaVu Sans Mono" w:eastAsia="DejaVu Sans Mono" w:hAnsi="DejaVu Sans Mono"/>
          <w:sz w:val="16"/>
          <w:szCs w:val="16"/>
        </w:rPr>
        <w:t xml:space="preserve">ip route 0.0.0.0 0.0.0.0 203.0.113.1</w:t>
      </w:r>
    </w:p>
    <w:p>
      <w:pPr>
        <w:shd w:fill="F4F4F4" w:color="auto" w:val="clear"/>
        <w:spacing w:after="0" w:line="240"/>
      </w:pPr>
      <w:r>
        <w:rPr>
          <w:rFonts w:ascii="DejaVu Sans Mono" w:cs="DejaVu Sans Mono" w:eastAsia="DejaVu Sans Mono" w:hAnsi="DejaVu Sans Mono"/>
          <w:sz w:val="16"/>
          <w:szCs w:val="16"/>
        </w:rPr>
        <w:t xml:space="preserve">end</w:t>
      </w:r>
    </w:p>
    <w:p>
      <w:pPr>
        <w:shd w:fill="F4F4F4" w:color="auto" w:val="clear"/>
        <w:spacing w:after="0" w:line="240"/>
      </w:pPr>
      <w:r>
        <w:rPr>
          <w:rFonts w:ascii="DejaVu Sans Mono" w:cs="DejaVu Sans Mono" w:eastAsia="DejaVu Sans Mono" w:hAnsi="DejaVu Sans Mono"/>
          <w:sz w:val="16"/>
          <w:szCs w:val="16"/>
        </w:rPr>
        <w:t xml:space="preserve">write memory</w:t>
      </w:r>
    </w:p>
    <w:p>
      <w:pPr>
        <w:spacing w:after="120"/>
      </w:pPr>
    </w:p>
    <w:p>
      <w:pPr>
        <w:pStyle w:val="Heading3"/>
        <w:keepNext/>
        <w:spacing w:before="200" w:after="110"/>
      </w:pPr>
      <w:r>
        <w:rPr>
          <w:rFonts w:ascii="Calibri" w:cs="Calibri" w:eastAsia="Calibri" w:hAnsi="Calibri"/>
          <w:b/>
          <w:bCs/>
          <w:color w:val="333333"/>
          <w:sz w:val="22"/>
          <w:szCs w:val="22"/>
        </w:rPr>
        <w:t xml:space="preserve">A.4 Casos de simulación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2700"/>
        <w:gridCol w:w="2560"/>
      </w:tblGrid>
      <w:tr>
        <w:trPr>
          <w:cantSplit/>
          <w:tblHeader/>
        </w:trPr>
        <w:tc>
          <w:tcPr>
            <w:tcW w:type="dxa" w:w="8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Caso</w:t>
            </w:r>
          </w:p>
        </w:tc>
        <w:tc>
          <w:tcPr>
            <w:tcW w:type="dxa" w:w="33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Acción en modo simulación</w:t>
            </w:r>
          </w:p>
        </w:tc>
        <w:tc>
          <w:tcPr>
            <w:tcW w:type="dxa" w:w="270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Resultado esperado</w:t>
            </w:r>
          </w:p>
        </w:tc>
        <w:tc>
          <w:tcPr>
            <w:tcW w:type="dxa" w:w="2560"/>
            <w:tcBorders>
              <w:top w:val="single" w:color="AAAAAA" w:sz="4"/>
              <w:left w:val="single" w:color="AAAAAA" w:sz="4"/>
              <w:bottom w:val="single" w:color="AAAAAA" w:sz="4"/>
              <w:right w:val="single" w:color="AAAAAA" w:sz="4"/>
            </w:tcBorders>
            <w:shd w:fill="D9D9D9" w:color="auto" w:val="clear"/>
            <w:tcMar>
              <w:top w:type="dxa" w:w="50"/>
              <w:left w:type="dxa" w:w="90"/>
              <w:bottom w:type="dxa" w:w="50"/>
              <w:right w:type="dxa" w:w="90"/>
            </w:tcMar>
          </w:tcPr>
          <w:p>
            <w:pPr>
              <w:spacing w:after="30"/>
            </w:pPr>
            <w:r>
              <w:rPr>
                <w:rFonts w:ascii="Calibri" w:cs="Calibri" w:eastAsia="Calibri" w:hAnsi="Calibri"/>
                <w:b/>
                <w:bCs/>
                <w:sz w:val="17"/>
                <w:szCs w:val="17"/>
              </w:rPr>
              <w:t xml:space="preserve">Qué demuestra</w:t>
            </w:r>
          </w:p>
        </w:tc>
      </w:tr>
      <w:tr>
        <w:trPr>
          <w:cantSplit/>
          <w:tblHeader w:val="false"/>
        </w:trPr>
        <w:tc>
          <w:tcPr>
            <w:tcW w:type="dxa" w:w="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S-01</w:t>
            </w:r>
          </w:p>
        </w:tc>
        <w:tc>
          <w:tcPr>
            <w:tcW w:type="dxa" w:w="33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Un PC de VLAN 20 solicita DHCP y hace ping a la impresora 192.168.60.10</w:t>
            </w:r>
          </w:p>
        </w:tc>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Recibe 192.168.20.x y el ping responde</w:t>
            </w:r>
          </w:p>
        </w:tc>
        <w:tc>
          <w:tcPr>
            <w:tcW w:type="dxa" w:w="2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Pasarela por subinterfaz y servicio común</w:t>
            </w:r>
          </w:p>
        </w:tc>
      </w:tr>
      <w:tr>
        <w:trPr>
          <w:cantSplit/>
          <w:tblHeader w:val="false"/>
        </w:trPr>
        <w:tc>
          <w:tcPr>
            <w:tcW w:type="dxa" w:w="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S-02</w:t>
            </w:r>
          </w:p>
        </w:tc>
        <w:tc>
          <w:tcPr>
            <w:tcW w:type="dxa" w:w="33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Un PC de VLAN 30 hace ping al switch 192.168.99.2</w:t>
            </w:r>
          </w:p>
        </w:tc>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El ping falla por CONFIANZA-RO04</w:t>
            </w:r>
          </w:p>
        </w:tc>
        <w:tc>
          <w:tcPr>
            <w:tcW w:type="dxa" w:w="2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Segregación de RO-04 en el plano de red</w:t>
            </w:r>
          </w:p>
        </w:tc>
      </w:tr>
      <w:tr>
        <w:trPr>
          <w:cantSplit/>
          <w:tblHeader w:val="false"/>
        </w:trPr>
        <w:tc>
          <w:tcPr>
            <w:tcW w:type="dxa" w:w="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S-03</w:t>
            </w:r>
          </w:p>
        </w:tc>
        <w:tc>
          <w:tcPr>
            <w:tcW w:type="dxa" w:w="33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Una laptop de AP-Visitas hace ping a 192.168.10.10</w:t>
            </w:r>
          </w:p>
        </w:tc>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El ping falla por VISITAS-SOLO-INTERNET</w:t>
            </w:r>
          </w:p>
        </w:tc>
        <w:tc>
          <w:tcPr>
            <w:tcW w:type="dxa" w:w="2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Aislamiento de la red de visitas</w:t>
            </w:r>
          </w:p>
        </w:tc>
      </w:tr>
      <w:tr>
        <w:trPr>
          <w:cantSplit/>
          <w:tblHeader w:val="false"/>
        </w:trPr>
        <w:tc>
          <w:tcPr>
            <w:tcW w:type="dxa" w:w="8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S-04</w:t>
            </w:r>
          </w:p>
        </w:tc>
        <w:tc>
          <w:tcPr>
            <w:tcW w:type="dxa" w:w="33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Cualquier PC abre http://api.abasteceni.com.ni en el navegador</w:t>
            </w:r>
          </w:p>
        </w:tc>
        <w:tc>
          <w:tcPr>
            <w:tcW w:type="dxa" w:w="270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Responde el Server-PT a través de NAT</w:t>
            </w:r>
          </w:p>
        </w:tc>
        <w:tc>
          <w:tcPr>
            <w:tcW w:type="dxa" w:w="2560"/>
            <w:tcBorders>
              <w:top w:val="single" w:color="AAAAAA" w:sz="4"/>
              <w:left w:val="single" w:color="AAAAAA" w:sz="4"/>
              <w:bottom w:val="single" w:color="AAAAAA" w:sz="4"/>
              <w:right w:val="single" w:color="AAAAAA" w:sz="4"/>
            </w:tcBorders>
            <w:tcMar>
              <w:top w:type="dxa" w:w="50"/>
              <w:left w:type="dxa" w:w="90"/>
              <w:bottom w:type="dxa" w:w="50"/>
              <w:right w:type="dxa" w:w="90"/>
            </w:tcMar>
          </w:tcPr>
          <w:p>
            <w:pPr>
              <w:spacing w:after="30"/>
            </w:pPr>
            <w:r>
              <w:rPr>
                <w:rFonts w:ascii="Calibri" w:cs="Calibri" w:eastAsia="Calibri" w:hAnsi="Calibri"/>
                <w:b w:val="false"/>
                <w:bCs w:val="false"/>
                <w:sz w:val="17"/>
                <w:szCs w:val="17"/>
              </w:rPr>
              <w:t xml:space="preserve">Salida a Internet hacia la plataforma en la nube</w:t>
            </w:r>
          </w:p>
        </w:tc>
      </w:tr>
    </w:tbl>
    <w:p>
      <w:pPr>
        <w:spacing w:after="120"/>
      </w:pPr>
    </w:p>
    <w:p>
      <w:pPr>
        <w:pStyle w:val="Heading2"/>
        <w:keepNext/>
        <w:spacing w:before="260" w:after="140"/>
      </w:pPr>
      <w:r>
        <w:rPr>
          <w:rFonts w:ascii="Calibri" w:cs="Calibri" w:eastAsia="Calibri" w:hAnsi="Calibri"/>
          <w:b/>
          <w:bCs/>
          <w:color w:val="1F3864"/>
          <w:sz w:val="25"/>
          <w:szCs w:val="25"/>
        </w:rPr>
        <w:t xml:space="preserve">Anexo B — Fuentes de las figuras</w:t>
      </w:r>
    </w:p>
    <w:p>
      <w:pPr>
        <w:spacing w:after="140" w:before="0" w:line="276"/>
        <w:jc w:val="both"/>
      </w:pPr>
      <w:r>
        <w:rPr>
          <w:rFonts w:ascii="Calibri" w:cs="Calibri" w:eastAsia="Calibri" w:hAnsi="Calibri"/>
          <w:sz w:val="22"/>
          <w:szCs w:val="22"/>
        </w:rPr>
        <w:t xml:space="preserve">Las figuras se generan desde fuentes de texto versionadas en el repositorio, con el mismo criterio de DML-03 para los modelos. docs/red/red-01-sede-fisica.dot genera la figura 1, y docs/red/red-02-nube-azure.dot la figura 2. Comando: dot -Tpng -Gdpi=200 &lt;archivo&gt;.dot -o &lt;archivo&gt;.png. Repositorio: https://github.com/PedroMG2023/abasteceni.</w:t>
      </w:r>
    </w:p>
    <w:sectPr>
      <w:headerReference w:type="default" r:id="rId10"/>
      <w:footerReference w:type="default" r:id="rId11"/>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AbasteceNi · Informe 5 — Escenario de red · v1.0 · Página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AbasteceNi · Informe 5 — Escenario de red · v1.0 · Página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AbasteceNi · Informe 5 — Escenario de red · v1.0 · Página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Universidad Nacional de Ingeniería · Ingeniería de Software I · Grupo 4S1-COM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Universidad Nacional de Ingeniería · Ingeniería de Software I · Grupo 4S1-COM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Universidad Nacional de Ingeniería · Ingeniería de Software I · Grupo 4S1-COM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image" Target="media/0384880e8eaa838d8648bb5f4f9ddf72358210a7.png"/><Relationship Id="rId13" Type="http://schemas.openxmlformats.org/officeDocument/2006/relationships/image" Target="media/146c1492606497e0dbeff0fe23aa47697798fc60.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del escenario de red — AbasteceNi</dc:title>
  <dc:creator>Edith Roda, Pedro Miranda</dc:creator>
  <cp:lastModifiedBy>Un-named</cp:lastModifiedBy>
  <cp:revision>1</cp:revision>
  <dcterms:created xsi:type="dcterms:W3CDTF">2026-10-17T08:16:37.871Z</dcterms:created>
  <dcterms:modified xsi:type="dcterms:W3CDTF">2026-10-17T08:16:37.871Z</dcterms:modified>
</cp:coreProperties>
</file>

<file path=docProps/custom.xml><?xml version="1.0" encoding="utf-8"?>
<Properties xmlns="http://schemas.openxmlformats.org/officeDocument/2006/custom-properties" xmlns:vt="http://schemas.openxmlformats.org/officeDocument/2006/docPropsVTypes"/>
</file>