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EXPERIENCIA DE USUARIO CONFORME A ISO 9241</w:t>
      </w:r>
    </w:p>
    <w:p>
      <w:pPr>
        <w:spacing w:after="160"/>
        <w:jc w:val="center"/>
      </w:pPr>
      <w:r>
        <w:rPr>
          <w:sz w:val="26"/>
          <w:szCs w:val="26"/>
        </w:rPr>
        <w:t xml:space="preserve">Flujo de afiliación, principios de diálogo, rendimiento y accesibilidad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2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 9241-11:2018, ISO 9241-110:2020 e ISO 9241-210:2019 — usabilidad e interacción</w:t>
      </w:r>
    </w:p>
    <w:p>
      <w:pPr>
        <w:spacing w:after="80"/>
        <w:jc w:val="center"/>
      </w:pPr>
      <w:r>
        <w:rPr>
          <w:sz w:val="20"/>
          <w:szCs w:val="20"/>
        </w:rPr>
        <w:t xml:space="preserve">WCAG 2.1 nivel AA — accesibilidad · ISO/IEC 25062:2006 — formato CIF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D1 (RO-06), D2 (SYS-NFN-08 a 12), D3 (ADR-06)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Contexto de uso (ISO 9241-11)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Proceso de diseño centrado en el ser humano (ISO 9241-210)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Contraste con los principios de ISO 9241-110, pantalla por pantalla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0">
            <w:r>
              <w:t xml:space="preserve">Pantalla 1 — Vista inicial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Pantallas 2 a 4 — Formulario de registro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2">
            <w:r>
              <w:t xml:space="preserve">Pantallas 5 y 6 — Confirmación e inicio de sesión de una cuenta pendiente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Pantallas 7 a 9 — Paneles por rol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2.4 Rendimiento, adaptación y peso de la vista inicial (SYS-NFN-08, 09 y 10)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2.5 Accesibilidad (WCAG 2.1 AA; SYS-NFN-12)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2.6 Informe de usabilidad en formato CIF (ISO/IEC 25062)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2.7 Lo construido y verificado frente a lo pendiente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Anexo A — Mediciones sin compresión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Anexo B — Reproducción de las mediciones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evalúa la experiencia de usuario de la interfaz construida de AbasteceNi conforme a la serie ISO 9241. Contrasta, pantalla por pantalla, el flujo de afiliación de IT-02 con los siete principios de diálogo de ISO 9241-110:2020. Mide la vista inicial con Lighthouse y la accesibilidad de todas las vistas con axe-core, frente a los requisitos de rendimiento, adaptación, peso y accesibilidad del documento 2 (SYS-NFN-08, 09, 10 y 12). La presentación de los resultados sigue la estructura del formato común de la industria de ISO/IEC 25062:2006, con una salvedad: no se realizaron sesiones con participantes, y el informe lo declara en lugar de simularlo.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p>
      <w:pPr>
        <w:spacing w:after="120" w:line="276"/>
        <w:jc w:val="both"/>
      </w:pPr>
      <w:r>
        <w:t xml:space="preserve">La interfaz evaluada es la capa 1 (ADR-06) de la rama </w:t>
      </w:r>
      <w:r>
        <w:rPr>
          <w:rFonts w:ascii="Consolas" w:cs="Consolas" w:eastAsia="Consolas" w:hAnsi="Consolas"/>
          <w:sz w:val="20"/>
          <w:szCs w:val="20"/>
        </w:rPr>
        <w:t xml:space="preserve">it-02/afiliacion</w:t>
      </w:r>
      <w:r>
        <w:t xml:space="preserve">. Su CI de cierre (ejecución 39033238576) terminó con 10 de 10 trabajos en verde. Las mediciones de este informe se tomaron después, sobre la rama </w:t>
      </w:r>
      <w:r>
        <w:rPr>
          <w:rFonts w:ascii="Consolas" w:cs="Consolas" w:eastAsia="Consolas" w:hAnsi="Consolas"/>
          <w:sz w:val="20"/>
          <w:szCs w:val="20"/>
        </w:rPr>
        <w:t xml:space="preserve">it-02/informes</w:t>
      </w:r>
      <w:r>
        <w:t xml:space="preserve">, en el entorno de sistema de Docker Compose. A la fecha, IT-01 e IT-02 están </w:t>
      </w:r>
      <w:r>
        <w:rPr>
          <w:b/>
          <w:bCs/>
        </w:rPr>
        <w:t xml:space="preserve">construidas y verificadas pero pendientes de la revisión cruzada</w:t>
      </w:r>
      <w:r>
        <w:t xml:space="preserve"> (PR #2 y #4) para integrarse en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(DM-04, condiciones 5 y 6). Por eso el informe las presenta como construidas en rama y no como parte del incremento integrado.</w:t>
      </w:r>
    </w:p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1123"/>
        <w:gridCol w:w="4306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Consecuencia para la experiencia de usuario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RO-06: operación territorial sobre redes celulares degradadas y teléfonos de gama media; alfabetización digital baja en parte del público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D1 §2.12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mobile-first desde 320 px, peso reducido, ayuda en cada campo y mensajes que dicen qué corregir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Escenarios A y B del concepto operacional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§2.6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 reales del contexto de uso: farmacia de El Viejo, finquero de Estelí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&lt; 2,5 s en 4G/LTE y &lt; 5,0 s en 3G, en tres mediciones consecutivas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Medición con Lighthouse en perfiles 4G y 3G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desde 320 px, sin desplazamiento horizontal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activos comprimidos y minificados, ≤ 2,5 MB en la vista inicial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Peso total medido por Lighthouse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los formularios críticos y tutoriales en video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cada campo del registro; los tutoriales quedan pendientes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operación completa por teclado (WCAG 2.1 criterios 2.1.1 y 2.1.2), prioridad «Podría»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automatizadas de teclado y análisis con axe-core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ADR-06: interfaz cliente desacoplada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3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React con Vite; el cliente HTTP se genera desde el contrato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rootKey>w:p</rootKey>
    <rootKey>w:p</rootKey>
    <rootKey>w:p</rootKey>
    <rootKey>w:p</rootKey>
    <rootKey>w:p</rootKey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Contexto de uso (ISO 9241-11)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Descripción en AbasteceNi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Compradores minoristas (farmacias, ferreterías, pulperías), proveedores mayoristas, productores agrícolas y el Administrador de la plataforma (D2 §2.2). Parte del público tiene alfabetización digital baja (RO-06).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Objetivos evaluados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Afiliarse: registrar la cuenta comercial con su documento legal y su consentimiento (SYS-FN-01, 02 y 36). Validar solicitudes como Administrador (SYS-FN-03). Iniciar sesión y llegar al panel del propio rol (SYS-FN-04).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Tareas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Completar el formulario de nueve campos, adjuntar el documento, aceptar el consentimiento y enviar; corregir los errores señalados; revisar y decidir una solicitud; iniciar y cerrar sesión.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con navegador móvil. Se evaluó a 360 × 740 y a 320 px de ancho, con la CPU ralentizada ×4 en Lighthouse.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 físico y técnico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Comercios de Chinandega, El Viejo y Estelí con redes celulares 3G y 4G degradadas (D2 §2.6; RO-06).</w:t>
            </w:r>
          </w:p>
        </w:tc>
      </w:tr>
    </w:tbl>
    <w:p>
      <w:pPr>
        <w:pStyle w:val="Heading2"/>
      </w:pPr>
      <w:bookmarkStart w:name="_Toc8" w:id="8"/>
      <w:r>
        <w:t xml:space="preserve">2.2 Proceso de diseño centrado en el ser humano (ISO 9241-210)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4305"/>
        <w:gridCol w:w="2622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Actividad de ISO 9241-210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Cómo se realizó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Comprender y especificar el contexto de uso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 contextual y entrevistas en comercios de Chinandega y El Viejo, y escenarios de uso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§2.4.1, §2.4.2 y §2.6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Especificar los requisitos de usuario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SYS-NFN-08 a 12 con umbrales medibles (Planguage), más las reglas aprobadas de textos y paneles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§3; DIS-26, DIS-28 y DIS-31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Producir soluciones de diseño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Formulario armado por composición de campos con ayuda contextual (AS-07), paneles por rol y mensajes en un catálogo único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apps/web/src/componentes/campos-registro.ts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apps/backend/src/aplicacion/transversal/mensajes.ts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Evaluar el diseño frente a los requisitos</w:t>
            </w:r>
          </w:p>
        </w:tc>
        <w:tc>
          <w:tcPr>
            <w:tcW w:type="dxa" w:w="43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Inspección por principios (§2.3), mediciones automatizadas (§2.4 y §2.5) y pruebas de sistema. La evaluación con usuarios está pendiente (§2.6).</w:t>
            </w:r>
          </w:p>
        </w:tc>
        <w:tc>
          <w:tcPr>
            <w:tcW w:type="dxa" w:w="26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e2e/pruebas/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docs/evidencia/pruebas/it-02/experiencia/</w:t>
            </w:r>
          </w:p>
        </w:tc>
      </w:tr>
    </w:tbl>
    <w:p>
      <w:pPr>
        <w:pStyle w:val="Heading2"/>
      </w:pPr>
      <w:bookmarkStart w:name="_Toc9" w:id="9"/>
      <w:r>
        <w:t xml:space="preserve">2.3 Contraste con los principios de ISO 9241-110, pantalla por pantalla</w:t>
      </w:r>
      <w:bookmarkEnd w:id="9"/>
    </w:p>
    <w:p>
      <w:pPr>
        <w:spacing w:after="120" w:line="276"/>
        <w:jc w:val="both"/>
      </w:pPr>
      <w:r>
        <w:t xml:space="preserve">Las capturas de las figuras 1 a 3 se tomaron con una prueba de sistema (</w:t>
      </w:r>
      <w:r>
        <w:rPr>
          <w:rFonts w:ascii="Consolas" w:cs="Consolas" w:eastAsia="Consolas" w:hAnsi="Consolas"/>
          <w:sz w:val="20"/>
          <w:szCs w:val="20"/>
        </w:rPr>
        <w:t xml:space="preserve">e2e/pruebas/capturas.spec.ts</w:t>
      </w:r>
      <w:r>
        <w:t xml:space="preserve">) a 360 × 740 píxeles, sobre la aplicación real levantada con Docker Compose.</w:t>
      </w:r>
    </w:p>
    <w:p>
      <w:pPr>
        <w:jc w:val="center"/>
      </w:pPr>
      <w:r>
        <w:drawing>
          <wp:inline distT="0" distB="0" distL="0" distR="0">
            <wp:extent cx="5715000" cy="4829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Pantallas 1 a 3: vista inicial, formulario de registro vacío y formulario enviado sin datos.</w:t>
      </w:r>
    </w:p>
    <w:p>
      <w:pPr>
        <w:jc w:val="center"/>
      </w:pPr>
      <w:r>
        <w:drawing>
          <wp:inline distT="0" distB="0" distL="0" distR="0">
            <wp:extent cx="5715000" cy="4257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Pantallas 4 a 6: RUC escrito con guiones, registro confirmado e inicio de sesión de una cuenta pendiente.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3. Pantallas 7 a 9: panel del Administrador con el rechazo en curso, solicitud aprobada y panel del Comprador.</w:t>
      </w:r>
    </w:p>
    <w:p>
      <w:pPr>
        <w:pStyle w:val="Heading3"/>
      </w:pPr>
      <w:bookmarkStart w:name="_Toc10" w:id="10"/>
      <w:r>
        <w:t xml:space="preserve">Pantalla 1 — Vista inicial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Nombre de la plataforma, su propósito en una línea y el estado del servicio visible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Navegación fija con tres destinos en lenguaje del usuario: Inicio, Registrar cuenta, Iniciar sesión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Compromiso del usuario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vista no explica todavía el valor de consolidar la demanda (O-StRS-02); depende de funciones de M3, fuera del alcance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</w:tbl>
    <w:p>
      <w:pPr>
        <w:pStyle w:val="Heading3"/>
      </w:pPr>
      <w:bookmarkStart w:name="_Toc11" w:id="11"/>
      <w:r>
        <w:t xml:space="preserve">Pantallas 2 a 4 — Formulario de registro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se piden los datos de SYS-FN-01 y los aprobados en DIS-16, 17 y 19; el documento y el consentimiento van en el mismo envío (DIS-29), sin pasos extra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campo dice qué se espera: el RUC indica su formato y el teléfono, el código de país y su uso para los avisos por WhatsApp (SYS-NFN-11)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errores se señalan en el propio campo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aria-invalid</w:t>
            </w:r>
            <w:r>
              <w:rPr>
                <w:sz w:val="18"/>
                <w:szCs w:val="18"/>
              </w:rPr>
              <w:t xml:space="preserve">, borde rojo y texto), dicen cómo corregir y no borran lo escrito. El servidor repite la validación y su respuesta se coloca en el mismo campo (PA-05).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 RUC escrito con guiones se rechaza (pantalla 4). La regla aprobada (DIS-21) exige «sin guiones», pero el sistema podría tolerarlos y normalizarlos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y 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 errores, el formulario no muestra un resumen arriba ni lleva el foco al primer campo inválido. En un teléfono (pantalla 3) hay que desplazarse para encontrarlos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selector de archivo muestra «Choose File»: es el control nativo del navegador de pruebas, configurado en inglés. En un navegador en español aparece en español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Observación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usuario decide el orden, puede volver a cualquier campo y nada se envía hasta que lo pide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2" w:id="12"/>
      <w:r>
        <w:t xml:space="preserve">Pantallas 5 y 6 — Confirmación e inicio de sesión de una cuenta pendiente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Autodescripción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confirmación dice en qué estado quedó la cuenta («Pendiente de validación») y qué sigue: el aviso al validarse (DIS-30)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Conformidad con las expectativas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cuenta pendiente que intenta entrar recibe «Su cuenta está pendiente de validación.» (DIS-25), no un error genérico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contraseña incorrecta recibe un mensaje que no revela si el correo existe, como exige la seguridad, y no bloquea al usuario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3"/>
      </w:pPr>
      <w:bookmarkStart w:name="_Toc13" w:id="13"/>
      <w:r>
        <w:t xml:space="preserve">Pantallas 7 a 9 — Paneles por rol</w:t>
      </w:r>
      <w:bookmarkEnd w:id="1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5616"/>
        <w:gridCol w:w="1498"/>
      </w:tblGrid>
      <w:tr>
        <w:trPr>
          <w:tblHeader/>
        </w:trP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Principio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Observación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Valoración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Adecuación a la tarea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panel del Administrador muestra solo las solicitudes pendientes, con los datos para decidir y el acceso al documento (PM-01, actividad 4)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Controlabilidad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Rechazar pide el motivo antes de confirmar; aprobar actúa de inmediato y lo confirma con un mensaje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Robustez frente a errores de uso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Aprobar no pide confirmación y no puede deshacerse: la máquina de estados no admite una segunda decisión (AS-01). Una confirmación evitaría aprobaciones por error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propuesta</w:t>
            </w:r>
          </w:p>
        </w:tc>
      </w:tr>
      <w:tr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Facilidad de aprendizaje</w:t>
            </w:r>
          </w:p>
        </w:tc>
        <w:tc>
          <w:tcPr>
            <w:tcW w:type="dxa" w:w="5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Cada rol ve un panel con su nombre (CT-SEG-04); los paneles de las cuentas comerciales anuncian que sus funciones llegan después (DIS-31)</w:t>
            </w:r>
          </w:p>
        </w:tc>
        <w:tc>
          <w:tcPr>
            <w:tcW w:type="dxa" w:w="14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14" w:id="14"/>
      <w:r>
        <w:t xml:space="preserve">2.4 Rendimiento, adaptación y peso de la vista inicial (SYS-NFN-08, 09 y 10)</w:t>
      </w:r>
      <w:bookmarkEnd w:id="14"/>
    </w:p>
    <w:p>
      <w:pPr>
        <w:spacing w:after="120" w:line="276"/>
        <w:jc w:val="both"/>
      </w:pPr>
      <w:r>
        <w:t xml:space="preserve">Se midió la vista inicial con Lighthouse 13.5.0 (</w:t>
      </w:r>
      <w:r>
        <w:rPr>
          <w:rFonts w:ascii="Consolas" w:cs="Consolas" w:eastAsia="Consolas" w:hAnsi="Consolas"/>
          <w:sz w:val="20"/>
          <w:szCs w:val="20"/>
        </w:rPr>
        <w:t xml:space="preserve">herramientas/sistema/medir-experiencia.mjs</w:t>
      </w:r>
      <w:r>
        <w:t xml:space="preserve">): perfil móvil, simulación de red y CPU ralentizada ×4. Hubo tres mediciones consecutivas por perfil, como pide el criterio de SYS-NFN-08. El perfil 4G usa la red «4G lento» de Lighthouse (150 ms de latencia y 1,6 Mb/s), más exigente que los 100 ms del requisito. El perfil 3G usa «3G regular» (300 ms y 700 kb/s). Como instante de «carga completada» se toma el despliegue del elemento de contenido más grande (LCP), la métrica de carga que percibe el usuario.</w:t>
      </w:r>
    </w:p>
    <w:p>
      <w:pPr>
        <w:spacing w:after="120" w:line="276"/>
        <w:jc w:val="both"/>
      </w:pPr>
      <w:r>
        <w:t xml:space="preserve">La primera medición destapó una brecha con SYS-NFN-10: los activos estaban minificados pero el servidor del entorno de sistema no los comprimía. Se activó gzip en </w:t>
      </w:r>
      <w:r>
        <w:rPr>
          <w:rFonts w:ascii="Consolas" w:cs="Consolas" w:eastAsia="Consolas" w:hAnsi="Consolas"/>
          <w:sz w:val="20"/>
          <w:szCs w:val="20"/>
        </w:rPr>
        <w:t xml:space="preserve">herramientas/sistema/nginx.conf</w:t>
      </w:r>
      <w:r>
        <w:t xml:space="preserve"> (en producción comprime la red de distribución de contenido, ADR-06) y se repitió la medición. Las dos series se conservan como 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1,41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1,43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2,79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77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spacing w:after="120" w:line="276"/>
        <w:jc w:val="both"/>
      </w:pPr>
      <w:r>
        <w:rPr>
          <w:b/>
          <w:bCs/>
        </w:rPr>
        <w:t xml:space="preserve">Con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docs/evidencia/pruebas/it-02/experiencia/lighthouse-resumen.json</w:t>
      </w:r>
      <w:r>
        <w:t xml:space="preserve">): la carga más lenta fue de 1,43 s en 4G (umbral 2,5 s) y de 2,79 s en 3G (umbral 5,0 s), y el peso de la vista inicial, de 77 KB (umbral 2,5 MB). </w:t>
      </w:r>
      <w:r>
        <w:rPr>
          <w:b/>
          <w:bCs/>
        </w:rPr>
        <w:t xml:space="preserve">Sin compresión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lighthouse-resumen-sin-compresion.json</w:t>
      </w:r>
      <w:r>
        <w:t xml:space="preserve">) la carga en 3G llegaba a 4,88 s, apenas por debajo del umbral, con un peso de 240 KB.</w:t>
      </w:r>
    </w:p>
    <w:p>
      <w:pPr>
        <w:spacing w:after="120" w:line="276"/>
        <w:jc w:val="both"/>
      </w:pPr>
      <w:r>
        <w:rPr>
          <w:b/>
          <w:bCs/>
        </w:rPr>
        <w:t xml:space="preserve">SYS-NFN-09</w:t>
      </w:r>
      <w:r>
        <w:t xml:space="preserve"> lo verifica </w:t>
      </w:r>
      <w:r>
        <w:rPr>
          <w:rFonts w:ascii="Consolas" w:cs="Consolas" w:eastAsia="Consolas" w:hAnsi="Consolas"/>
          <w:sz w:val="20"/>
          <w:szCs w:val="20"/>
        </w:rPr>
        <w:t xml:space="preserve">e2e/pruebas/registro.spec.ts</w:t>
      </w:r>
      <w:r>
        <w:t xml:space="preserve"> («SYS-NFN-09 · el formulario se opera a 320 px sin desplazamiento horizontal»): el ancho del documento no supera el de la ventana y todos los controles caben a lo ancho.</w:t>
      </w:r>
    </w:p>
    <w:p>
      <w:pPr>
        <w:pStyle w:val="Heading2"/>
      </w:pPr>
      <w:bookmarkStart w:name="_Toc15" w:id="15"/>
      <w:r>
        <w:t xml:space="preserve">2.5 Accesibilidad (WCAG 2.1 AA; SYS-NFN-12)</w:t>
      </w:r>
      <w:bookmarkEnd w:id="15"/>
    </w:p>
    <w:p>
      <w:pPr>
        <w:spacing w:after="120" w:line="276"/>
        <w:jc w:val="both"/>
      </w:pPr>
      <w:r>
        <w:rPr>
          <w:rFonts w:ascii="Consolas" w:cs="Consolas" w:eastAsia="Consolas" w:hAnsi="Consolas"/>
          <w:sz w:val="20"/>
          <w:szCs w:val="20"/>
        </w:rPr>
        <w:t xml:space="preserve">e2e/pruebas/accesibilidad.spec.ts</w:t>
      </w:r>
      <w:r>
        <w:t xml:space="preserve"> analiza con axe-core cada vista con las reglas WCAG 2.0 y 2.1 de niveles A y AA, y comprueba la operación por teclado.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Vista analizada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Infracciones WCAG A y AA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Reglas superadas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Inicio de sesión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Panel del Administrador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con errores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23</w:t>
            </w:r>
          </w:p>
        </w:tc>
      </w:tr>
    </w:tbl>
    <rootKey>w:p</rootKey>
    <rootKey>w:p</rootKey>
    <rootKey>w:p</rootKey>
    <rootKey>w:p</rootKey>
    <w:p>
      <w:pPr>
        <w:spacing w:after="120" w:line="276"/>
        <w:jc w:val="both"/>
      </w:pPr>
      <w:r>
        <w:t xml:space="preserve">El análisis automático no cubre todos los criterios de WCAG. La comprensión de los textos por personas con alfabetización digital baja (RO-06) requiere evaluación con usuarios (§2.6).</w:t>
      </w:r>
    </w:p>
    <w:p>
      <w:pPr>
        <w:pStyle w:val="Heading2"/>
      </w:pPr>
      <w:bookmarkStart w:name="_Toc16" w:id="16"/>
      <w:r>
        <w:t xml:space="preserve">2.6 Informe de usabilidad en formato CIF (ISO/IEC 25062)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3"/>
        <w:gridCol w:w="6927"/>
      </w:tblGrid>
      <w:tr>
        <w:trPr>
          <w:tblHeader/>
        </w:trP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Sección del CIF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 para AbasteceNi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ejecutivo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 interfaz de afiliación cumple los umbrales medibles de rendimiento, peso, adaptación y accesibilidad automatizada (SYS-NFN-08 a 10 y 12). La inspección por principios de ISO 9241-110 identificó dos mejoras pendientes y dos propuestas. No se han realizado sesiones con participantes.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producto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Capa 1 de AbasteceNi: registro de cuenta comercial, inicio de sesión y paneles por rol (IT-01 e IT-02).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Introducción: objetivos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los umbrales de D2 y la conformidad con ISO 9241-110 del flujo de afiliación (PM-01).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participantes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realizado.</w:t>
            </w:r>
            <w:r>
              <w:rPr>
                <w:sz w:val="18"/>
                <w:szCs w:val="18"/>
              </w:rPr>
              <w:t xml:space="preserve"> No hubo participantes del público objetivo en esta fase. Diseño previsto: cinco comerciantes de Chinandega y El Viejo, al menos dos con alfabetización digital baja (RO-06), reclutados por U-03.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tareas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T1: registrar la cuenta con su documento. T2: corregir un error señalado. T3: iniciar sesión tras la aprobación. T4 (Administrador): revisar y decidir una solicitud.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Método: entorno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Teléfono de gama media sobre red celular de la zona; en esta evaluación se simuló con Lighthouse (CPU ×4, 4G y 3G) y Playwright a 360 y 320 px.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Métricas previstas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Eficacia: tasa de tareas completadas sin ayuda. Eficiencia: tiempo por tarea y número de errores. Satisfacción: cuestionario SUS.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obtenidos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de los §2.3 a §2.5: inspección por principios, rendimiento, peso, adaptación y accesibilidad automatizada.</w:t>
            </w:r>
          </w:p>
        </w:tc>
      </w:tr>
      <w:tr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Resultados pendientes</w:t>
            </w:r>
          </w:p>
        </w:tc>
        <w:tc>
          <w:tcPr>
            <w:tcW w:type="dxa" w:w="69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Eficacia, eficiencia y satisfacción medidas con participantes.</w:t>
            </w:r>
          </w:p>
        </w:tc>
      </w:tr>
    </w:tbl>
    <w:p>
      <w:pPr>
        <w:pStyle w:val="Heading2"/>
      </w:pPr>
      <w:bookmarkStart w:name="_Toc17" w:id="17"/>
      <w:r>
        <w:t xml:space="preserve">2.7 Lo construido y verificado frente a lo pendiente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433"/>
        <w:gridCol w:w="3183"/>
      </w:tblGrid>
      <w:tr>
        <w:trPr>
          <w:tblHeader/>
        </w:trP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SYS-NFN-08: carga en 4G y 3G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 en el entorno de sistema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Tres mediciones por perfil, todas bajo el umbral (§2.4)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SYS-NFN-09: 320 px sin desplazamiento horizontal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 de sistema a 320 px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SYS-NFN-10: peso ≤ 2,5 MB, comprimido y minificado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Verificado; la compresión se corrigió durante la medición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nginx.conf</w:t>
            </w:r>
            <w:r>
              <w:rPr>
                <w:sz w:val="18"/>
                <w:szCs w:val="18"/>
              </w:rPr>
              <w:t xml:space="preserve"> con gzip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ayuda contextual en el registro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Ayuda en los campos críticos del registro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SYS-NFN-11: tutoriales en video de hasta 3 minutos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No construidos en el alcance vigente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SYS-NFN-12: teclado y WCAG 2.1 AA (automatizado)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Verificado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 infracciones en cinco vistas; pruebas de teclado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Resumen de errores al inicio del formulario y foco en el primer error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 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§2.3, pantalla 3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RUC con guiones normalizado y confirmación al aprobar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Mejoras propuestas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§2.3; exigen modificar DIS-21 y DIS-26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Evaluación con participantes (ISO/IEC 25062)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Diseño en el §2.6</w:t>
            </w:r>
          </w:p>
        </w:tc>
      </w:tr>
      <w:tr>
        <w:tc>
          <w:tcPr>
            <w:tcW w:type="dxa" w:w="3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de IT-01 e IT-02</w:t>
            </w:r>
          </w:p>
        </w:tc>
        <w:tc>
          <w:tcPr>
            <w:tcW w:type="dxa" w:w="2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de la revisión cruzada</w:t>
            </w:r>
          </w:p>
        </w:tc>
        <w:tc>
          <w:tcPr>
            <w:tcW w:type="dxa" w:w="31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 #2 y #4</w:t>
            </w:r>
          </w:p>
        </w:tc>
      </w:tr>
    </w:tbl>
    <w:p>
      <w:pPr>
        <w:pStyle w:val="Heading1"/>
      </w:pPr>
      <w:bookmarkStart w:name="_Toc18" w:id="18"/>
      <w:r>
        <w:t xml:space="preserve">3. Conclusiones</w:t>
      </w:r>
      <w:bookmarkEnd w:id="18"/>
    </w:p>
    <w:p>
      <w:pPr>
        <w:spacing w:after="120" w:line="276"/>
        <w:jc w:val="both"/>
      </w:pPr>
      <w:r>
        <w:t xml:space="preserve">La interfaz de afiliación cumple los umbrales cuantitativos de la serie en el contexto de uso más exigente que la serie declara: teléfono de gama media y red 3G. Con la compresión activada, la carga más lenta fue de 2,79 s en 3G y de 1,43 s en 4G, con un peso de 77 KB, una décima parte del presupuesto de 2,5 MB. El análisis con axe-core no encontró infracciones WCAG 2.1 A ni AA, y la operación por teclado se verificó de forma automática.</w:t>
      </w:r>
    </w:p>
    <w:p>
      <w:pPr>
        <w:spacing w:after="120" w:line="276"/>
        <w:jc w:val="both"/>
      </w:pPr>
      <w:r>
        <w:t xml:space="preserve">La medición cumplió también su función de control: reveló que los activos no se servían comprimidos, en contra de SYS-NFN-10, y la corrección redujo la carga en 3G de forma apreciable. La inspección por principios de ISO 9241-110 identificó mejoras concretas: el resumen de errores, la tolerancia a los guiones del RUC y la confirmación al aprobar. Las dos últimas requieren modificar reglas aprobadas por el equipo y no se implementan sin esa decisión.</w:t>
      </w:r>
    </w:p>
    <w:p>
      <w:pPr>
        <w:spacing w:after="120" w:line="276"/>
        <w:jc w:val="both"/>
      </w:pPr>
      <w:r>
        <w:t xml:space="preserve">La evaluación con participantes del público objetivo sigue pendiente y es la que puede confirmar o refutar la adecuación de los textos para personas con alfabetización digital baja (RO-06). El formato CIF de ISO/IEC 25062 queda preparado para registrarla.</w:t>
      </w:r>
    </w:p>
    <w:p>
      <w:pPr>
        <w:pStyle w:val="Heading1"/>
      </w:pPr>
      <w:bookmarkStart w:name="_Toc19" w:id="19"/>
      <w:r>
        <w:t xml:space="preserve">4. Referencias normativas y bibliográficas</w:t>
      </w:r>
      <w:bookmarkEnd w:id="19"/>
    </w:p>
    <w:p>
      <w:pPr>
        <w:spacing w:after="120" w:line="276"/>
        <w:jc w:val="both"/>
      </w:pPr>
      <w:r>
        <w:t xml:space="preserve">[1] ISO 9241-11:2018. </w:t>
      </w:r>
      <w:r>
        <w:rPr>
          <w:i/>
          <w:iCs/>
        </w:rPr>
        <w:t xml:space="preserve">Ergonomics of human-system interaction — Part 11: Usability: Definitions and concepts</w:t>
      </w:r>
      <w:r>
        <w:t xml:space="preserve">. ISO, 2018.</w:t>
      </w:r>
    </w:p>
    <w:p>
      <w:pPr>
        <w:spacing w:after="120" w:line="276"/>
        <w:jc w:val="both"/>
      </w:pPr>
      <w:r>
        <w:t xml:space="preserve">[2] ISO 9241-110:2020. </w:t>
      </w:r>
      <w:r>
        <w:rPr>
          <w:i/>
          <w:iCs/>
        </w:rPr>
        <w:t xml:space="preserve">Ergonomics of human-system interaction — Part 110: Interaction principles</w:t>
      </w:r>
      <w:r>
        <w:t xml:space="preserve">. ISO, 2020.</w:t>
      </w:r>
    </w:p>
    <w:p>
      <w:pPr>
        <w:spacing w:after="120" w:line="276"/>
        <w:jc w:val="both"/>
      </w:pPr>
      <w:r>
        <w:t xml:space="preserve">[3] ISO 9241-210:2019. </w:t>
      </w:r>
      <w:r>
        <w:rPr>
          <w:i/>
          <w:iCs/>
        </w:rPr>
        <w:t xml:space="preserve">Ergonomics of human-system interaction — Part 210: Human-centred design for interactive systems</w:t>
      </w:r>
      <w:r>
        <w:t xml:space="preserve">. ISO, 2019.</w:t>
      </w:r>
    </w:p>
    <w:p>
      <w:pPr>
        <w:spacing w:after="120" w:line="276"/>
        <w:jc w:val="both"/>
      </w:pPr>
      <w:r>
        <w:t xml:space="preserve">[4] ISO/IEC 25062:2006. </w:t>
      </w:r>
      <w:r>
        <w:rPr>
          <w:i/>
          <w:iCs/>
        </w:rPr>
        <w:t xml:space="preserve">Software engineering — Software product Quality Requirements and Evaluation (SQuaRE) — Common Industry Format (CIF) for usability test reports</w:t>
      </w:r>
      <w:r>
        <w:t xml:space="preserve">. ISO, 2006.</w:t>
      </w:r>
    </w:p>
    <w:p>
      <w:pPr>
        <w:spacing w:after="120" w:line="276"/>
        <w:jc w:val="both"/>
      </w:pPr>
      <w:r>
        <w:t xml:space="preserve">[5] W3C. </w:t>
      </w:r>
      <w:r>
        <w:rPr>
          <w:i/>
          <w:iCs/>
        </w:rPr>
        <w:t xml:space="preserve">Web Content Accessibility Guidelines (WCAG) 2.1</w:t>
      </w:r>
      <w:r>
        <w:t xml:space="preserve">. Recomendación del W3C, 2018.</w:t>
      </w:r>
    </w:p>
    <w:p>
      <w:pPr>
        <w:spacing w:after="120" w:line="276"/>
        <w:jc w:val="both"/>
      </w:pPr>
      <w:r>
        <w:t xml:space="preserve">[6] Google. </w:t>
      </w:r>
      <w:r>
        <w:rPr>
          <w:i/>
          <w:iCs/>
        </w:rPr>
        <w:t xml:space="preserve">Lighthouse</w:t>
      </w:r>
      <w:r>
        <w:t xml:space="preserve"> 13.5.0, documentación de métricas (FCP, LCP, Speed Index) y de simulación de red.</w:t>
      </w:r>
    </w:p>
    <w:p>
      <w:pPr>
        <w:spacing w:after="120" w:line="276"/>
        <w:jc w:val="both"/>
      </w:pPr>
      <w:r>
        <w:t xml:space="preserve">[7] Deque Systems. </w:t>
      </w:r>
      <w:r>
        <w:rPr>
          <w:i/>
          <w:iCs/>
        </w:rPr>
        <w:t xml:space="preserve">axe-core</w:t>
      </w:r>
      <w:r>
        <w:t xml:space="preserve"> y </w:t>
      </w:r>
      <w:r>
        <w:rPr>
          <w:i/>
          <w:iCs/>
        </w:rPr>
        <w:t xml:space="preserve">@axe-core/playwright</w:t>
      </w:r>
      <w:r>
        <w:t xml:space="preserve"> 4.14.0.</w:t>
      </w:r>
    </w:p>
    <w:p>
      <w:pPr>
        <w:spacing w:after="120" w:line="276"/>
        <w:jc w:val="both"/>
      </w:pPr>
      <w:r>
        <w:t xml:space="preserve">[8] Brooke, J. «SUS: A quick and dirty usability scale». En </w:t>
      </w:r>
      <w:r>
        <w:rPr>
          <w:i/>
          <w:iCs/>
        </w:rPr>
        <w:t xml:space="preserve">Usability Evaluation in Industry</w:t>
      </w:r>
      <w:r>
        <w:t xml:space="preserve">. Taylor &amp; Francis, 1996.</w:t>
      </w:r>
    </w:p>
    <w:p>
      <w:pPr>
        <w:spacing w:after="120" w:line="276"/>
        <w:jc w:val="both"/>
      </w:pPr>
      <w:r>
        <w:t xml:space="preserve">[9] Serie AbasteceNi: D1 v2.1 (RO-06), D2 v1.1 (SYS-NFN-08 a 12; §2.6), D3 v1.1 (ADR-06), D4 v1.1 (§2.15) (</w:t>
      </w:r>
      <w:r>
        <w:rPr>
          <w:rFonts w:ascii="Consolas" w:cs="Consolas" w:eastAsia="Consolas" w:hAnsi="Consolas"/>
          <w:sz w:val="20"/>
          <w:szCs w:val="20"/>
        </w:rPr>
        <w:t xml:space="preserve">docs/serie/</w:t>
      </w:r>
      <w:r>
        <w:t xml:space="preserve">).</w:t>
      </w:r>
    </w:p>
    <w:p>
      <w:pPr>
        <w:pStyle w:val="Heading1"/>
      </w:pPr>
      <w:bookmarkStart w:name="_Toc20" w:id="20"/>
      <w:r>
        <w:t xml:space="preserve">5. Anexos</w:t>
      </w:r>
      <w:bookmarkEnd w:id="20"/>
    </w:p>
    <w:p>
      <w:pPr>
        <w:pStyle w:val="Heading2"/>
      </w:pPr>
      <w:bookmarkStart w:name="_Toc21" w:id="21"/>
      <w:r>
        <w:t xml:space="preserve">Anexo A — Mediciones sin compresión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2"/>
        <w:gridCol w:w="842"/>
        <w:gridCol w:w="936"/>
        <w:gridCol w:w="1123"/>
        <w:gridCol w:w="1123"/>
        <w:gridCol w:w="1029"/>
        <w:gridCol w:w="1123"/>
        <w:gridCol w:w="1216"/>
        <w:gridCol w:w="1126"/>
      </w:tblGrid>
      <w:tr>
        <w:trPr>
          <w:tblHeader/>
        </w:trP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Perfil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FCP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LCP (carga)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Speed Index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Peso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Rendimiento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2,16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97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2,18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96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4,87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4,57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  <w:tr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3G</w:t>
            </w:r>
          </w:p>
        </w:tc>
        <w:tc>
          <w:tcPr>
            <w:tcW w:type="dxa" w:w="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4,88 s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4,58 s</w:t>
            </w:r>
          </w:p>
        </w:tc>
        <w:tc>
          <w:tcPr>
            <w:tcW w:type="dxa" w:w="1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240 KB</w:t>
            </w:r>
          </w:p>
        </w:tc>
        <w:tc>
          <w:tcPr>
            <w:tcW w:type="dxa" w:w="11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11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Cumple</w:t>
            </w:r>
          </w:p>
        </w:tc>
      </w:tr>
    </w:tbl>
    <w:p>
      <w:pPr>
        <w:pStyle w:val="Heading2"/>
      </w:pPr>
      <w:bookmarkStart w:name="_Toc22" w:id="22"/>
      <w:r>
        <w:t xml:space="preserve">Anexo B — Reproducción de las mediciones</w:t>
      </w:r>
      <w:bookmarkEnd w:id="22"/>
    </w:p>
    <w:p>
      <w:pPr>
        <w:spacing w:after="120" w:line="276"/>
        <w:jc w:val="both"/>
      </w:pPr>
      <w:r>
        <w:t xml:space="preserve">Desde la raíz del repositorio,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MEDIR_EXPERIENCIA=1 bash herramientas/sistema/ejecutar.sh</w:t>
      </w:r>
      <w:r>
        <w:t xml:space="preserve">. El guion levanta el entorno de sistema con secretos de un solo uso, ejecuta los 21 escenarios de Playwright (incluidos los de accesibilidad y las capturas) y las seis mediciones de Lighthouse, y deja los resultados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docs/evidencia/pruebas/experiencia/</w:t>
      </w:r>
      <w:r>
        <w:t xml:space="preserve">. Las series citadas en este informe están versionadas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docs/evidencia/pruebas/it-02/experiencia/</w:t>
      </w:r>
      <w: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2: ISO 9241: experiencia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c3b7523c6c7af1b57deaba3691e4fe9eae45cf9.png"/><Relationship Id="rId12" Type="http://schemas.openxmlformats.org/officeDocument/2006/relationships/image" Target="media/420a9bd0513197b92a5b8da9e705d5fb8bef421a.png"/><Relationship Id="rId13" Type="http://schemas.openxmlformats.org/officeDocument/2006/relationships/image" Target="media/65a4ff54f9c78e82f035247c19bc518f1a0a2f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9241: experiencia de usuario</dc:title>
  <dc:creator>Equipo AbasteceNi (U-01)</dc:creator>
  <dc:description>Informe 2 de la fase de desarrollo de AbasteceNi</dc:description>
  <cp:lastModifiedBy>Un-named</cp:lastModifiedBy>
  <cp:revision>1</cp:revision>
  <dcterms:created xsi:type="dcterms:W3CDTF">2026-10-17T13:23:58.387Z</dcterms:created>
  <dcterms:modified xsi:type="dcterms:W3CDTF">2026-10-17T13:23:58.387Z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