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(PR #1)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 y verificada; pendiente de la revisión cruzada (PR #2)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 y verificada; pendiente de la revisión cruzada (PR #4)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rootKey>w:p</rootKey>
    <rootKey>w:p</rootKey>
    <rootKey>w:p</rootKey>
    <rootKey>w:p</rootKey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siete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50006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0006.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 única está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 y 36; DIS-16, 21 y 23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39033238576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0,046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0,017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0,104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0,025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27 ejecutados · 27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0,544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39033238576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aa72608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it-02/afiliacion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IT-02: 27 casos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rootKey>w:p</rootKey>
    <rootKey>w:p</rootKey>
    <rootKey>w:p</rootKey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 y verificado (suite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bd/</w:t>
            </w:r>
            <w:r>
              <w:rPr>
                <w:sz w:val="18"/>
                <w:szCs w:val="18"/>
              </w:rPr>
              <w:t xml:space="preserve">, CI en verde); integración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pendiente de PR #2 y #4 para lo de IT-01 e IT-02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27 casos que se ejecutan en cada cambio contra un PostgreSQL real y efímero. Separarla de la batería principal permite informarla por sí misma y leer su evolución por iteración: 4, 19 y 27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df28a9f198ac6ad61a2500404759bda405906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2026-10-17T13:23:58.628Z</dcterms:created>
  <dcterms:modified xsi:type="dcterms:W3CDTF">2026-10-17T13:23:58.628Z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