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28"/>
          <w:szCs w:val="28"/>
        </w:rPr>
        <w:t xml:space="preserve">UNIVERSIDAD NACIONAL DE INGENIERÍA</w:t>
      </w:r>
    </w:p>
    <w:p>
      <w:pPr>
        <w:spacing w:after="80"/>
        <w:jc w:val="center"/>
      </w:pPr>
      <w:r>
        <w:rPr>
          <w:sz w:val="24"/>
          <w:szCs w:val="24"/>
        </w:rPr>
        <w:t xml:space="preserve">ÁREA DACTIC</w:t>
      </w:r>
    </w:p>
    <w:p>
      <w:pPr>
        <w:spacing w:after="80"/>
        <w:jc w:val="center"/>
      </w:pPr>
      <w:r>
        <w:rPr>
          <w:sz w:val="24"/>
          <w:szCs w:val="24"/>
        </w:rPr>
        <w:t xml:space="preserve">Programa Académico de Ingeniería en Computación</w:t>
      </w:r>
    </w:p>
    <w:p>
      <w:pPr>
        <w:spacing w:after="600"/>
        <w:jc w:val="center"/>
      </w:pPr>
      <w:r>
        <w:rPr>
          <w:b/>
          <w:bCs/>
          <w:sz w:val="24"/>
          <w:szCs w:val="24"/>
        </w:rPr>
        <w:t xml:space="preserve">INGENIERÍA DE SOFTWARE I</w:t>
      </w:r>
    </w:p>
    <w:p>
      <w:pPr>
        <w:spacing w:after="160"/>
        <w:jc w:val="center"/>
      </w:pPr>
      <w:r>
        <w:rPr>
          <w:b/>
          <w:bCs/>
          <w:color w:val="2E74B5"/>
          <w:sz w:val="36"/>
          <w:szCs w:val="36"/>
        </w:rPr>
        <w:t xml:space="preserve">INFORME TÉCNICO: PRUEBAS A LA BASE DE DATOS</w:t>
      </w:r>
    </w:p>
    <w:p>
      <w:pPr>
        <w:spacing w:after="160"/>
        <w:jc w:val="center"/>
      </w:pPr>
      <w:r>
        <w:rPr>
          <w:sz w:val="26"/>
          <w:szCs w:val="26"/>
        </w:rPr>
        <w:t xml:space="preserve">Esquema físico, privilegios, bitácora inmutable y transacciones</w:t>
      </w:r>
    </w:p>
    <w:p>
      <w:pPr>
        <w:spacing w:after="80"/>
        <w:jc w:val="center"/>
      </w:pPr>
      <w:r>
        <w:rPr>
          <w:sz w:val="24"/>
          <w:szCs w:val="24"/>
        </w:rPr>
        <w:t xml:space="preserve">Plataforma Web B2B de Emparejamiento Comercial «AbasteceNi»</w:t>
      </w:r>
    </w:p>
    <w:p>
      <w:pPr>
        <w:spacing w:after="480"/>
        <w:jc w:val="center"/>
      </w:pPr>
      <w:r>
        <w:rPr>
          <w:i/>
          <w:iCs/>
          <w:sz w:val="22"/>
          <w:szCs w:val="22"/>
        </w:rPr>
        <w:t xml:space="preserve">Empresa simulada AbasteceNi, S.A. — Informe 4b de la fase de desarrollo</w:t>
      </w: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Marco normativo rector</w:t>
      </w:r>
    </w:p>
    <w:p>
      <w:pPr>
        <w:spacing w:after="80"/>
        <w:jc w:val="center"/>
      </w:pPr>
      <w:r>
        <w:rPr>
          <w:sz w:val="20"/>
          <w:szCs w:val="20"/>
        </w:rPr>
        <w:t xml:space="preserve">ISO/IEC/IEEE 29119-1, 29119-2 y 29119-3 — pruebas de software</w:t>
      </w:r>
    </w:p>
    <w:p>
      <w:pPr>
        <w:spacing w:after="80"/>
        <w:jc w:val="center"/>
      </w:pPr>
      <w:r>
        <w:rPr>
          <w:sz w:val="20"/>
          <w:szCs w:val="20"/>
        </w:rPr>
        <w:t xml:space="preserve">ISO/IEC 27002:2022, control 8.31 — separación de entornos</w:t>
      </w:r>
    </w:p>
    <w:p>
      <w:pPr>
        <w:spacing w:after="80"/>
        <w:jc w:val="center"/>
      </w:pPr>
      <w:r>
        <w:rPr>
          <w:sz w:val="20"/>
          <w:szCs w:val="20"/>
        </w:rPr>
        <w:t xml:space="preserve">Serie AbasteceNi: D3 (PA-02, PA-06, ADR-01, ADR-05), ADR-07, ADR-08, D2 (SYS-FN-01, 02, 05, 08, 35 y 36)</w:t>
      </w:r>
    </w:p>
    <w:p>
      <w:pPr>
        <w:spacing w:after="480"/>
      </w:pP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Integrantes</w:t>
      </w:r>
    </w:p>
    <w:p>
      <w:pPr>
        <w:spacing w:after="80"/>
        <w:jc w:val="center"/>
      </w:pPr>
      <w:r>
        <w:rPr>
          <w:sz w:val="22"/>
          <w:szCs w:val="22"/>
        </w:rPr>
        <w:t xml:space="preserve">Edith Yasohara Roda Hernández — 2023-0752U</w:t>
      </w:r>
    </w:p>
    <w:p>
      <w:pPr>
        <w:spacing w:after="80"/>
        <w:jc w:val="center"/>
      </w:pPr>
      <w:r>
        <w:rPr>
          <w:sz w:val="22"/>
          <w:szCs w:val="22"/>
        </w:rPr>
        <w:t xml:space="preserve">Pedro José Miranda Gómez — 2022-0288U</w:t>
      </w:r>
    </w:p>
    <w:p>
      <w:pPr>
        <w:spacing w:after="0"/>
        <w:jc w:val="center"/>
      </w:pPr>
      <w:r>
        <w:rPr>
          <w:sz w:val="22"/>
          <w:szCs w:val="22"/>
        </w:rPr>
        <w:t xml:space="preserve">Grupo: 4S1-COM · Versión 1.0 · 17 de octubre de 2026</w:t>
      </w:r>
    </w:p>
    <w:p>
      <w:r>
        <w:br w:type="page"/>
      </w:r>
    </w:p>
    <w:p>
      <w:pPr>
        <w:spacing w:after="120"/>
      </w:pPr>
      <w:r>
        <w:rPr>
          <w:b/>
          <w:bCs/>
          <w:color w:val="2E74B5"/>
          <w:sz w:val="28"/>
          <w:szCs w:val="28"/>
        </w:rPr>
        <w:t xml:space="preserve">Tabla de contenido</w:t>
      </w:r>
    </w:p>
    <w:p>
      <w:pPr>
        <w:spacing w:after="120" w:line="276"/>
        <w:jc w:val="both"/>
      </w:pPr>
      <w:r>
        <w:rPr>
          <w:i/>
          <w:iCs/>
          <w:color w:val="595959"/>
          <w:sz w:val="18"/>
          <w:szCs w:val="18"/>
        </w:rPr>
        <w:t xml:space="preserve">Si el índice aparece vacío, haga clic derecho sobre él y elija «Actualizar campo».</w:t>
      </w:r>
    </w:p>
    <w:sdt>
      <w:sdtPr>
        <w:alias w:val="Tabla de contenido"/>
      </w:sdtPr>
      <w:sdtContent>
        <w:p>
          <w:pPr>
            <w:pStyle w:val="TOC1"/>
            <w:tabs>
              <w:tab w:val="right" w:pos="9360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">
            <w:r>
              <w:t xml:space="preserve">1. Introducción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">
            <w:r>
              <w:t xml:space="preserve">1.1 Propósito del documento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3">
            <w:r>
              <w:t xml:space="preserve">1.2 Alcance y estado de integración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4">
            <w:r>
              <w:t xml:space="preserve">1.3 Insumos heredados de la serie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5">
            <w:r>
              <w:t xml:space="preserve">1.4 Normas aplicables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6">
            <w:r>
              <w:t xml:space="preserve">2. Desarrollo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7">
            <w:r>
              <w:t xml:space="preserve">2.1 Objeto de prueba: el esquema físico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8">
            <w:r>
              <w:t xml:space="preserve">2.2 Plan de prueba (ISO/IEC/IEEE 29119-3)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9">
            <w:r>
              <w:t xml:space="preserve">2.3 Especificación del diseño de pruebas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0">
            <w:r>
              <w:t xml:space="preserve">2.4 Casos de prueba y procedimientos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360" w:leader="dot"/>
            </w:tabs>
            <w:ind w:left="440"/>
          </w:pPr>
          <w:hyperlink w:history="1" w:anchor="_Toc11">
            <w:r>
              <w:t xml:space="preserve">Pruebas de persistencia en la batería principal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2">
            <w:r>
              <w:t xml:space="preserve">2.5 Informe de finalización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360" w:leader="dot"/>
            </w:tabs>
            <w:ind w:left="440"/>
          </w:pPr>
          <w:hyperlink w:history="1" w:anchor="_Toc13">
            <w:r>
              <w:t xml:space="preserve">Incidencias durante la construcción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4">
            <w:r>
              <w:t xml:space="preserve">2.6 Lo construido y verificado frente a lo pendiente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15">
            <w:r>
              <w:t xml:space="preserve">3. Conclusiones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16">
            <w:r>
              <w:t xml:space="preserve">4. Referencias normativas y bibliográficas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17">
            <w:r>
              <w:t xml:space="preserve">5. Anexos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8">
            <w:r>
              <w:t xml:space="preserve">Anexo A — Privilegios declarados de abasteceni_app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9">
            <w:r>
              <w:t xml:space="preserve">Anexo B — Reproducción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name="_Toc1" w:id="1"/>
      <w:r>
        <w:t xml:space="preserve">1. Introducción</w:t>
      </w:r>
      <w:bookmarkEnd w:id="1"/>
    </w:p>
    <w:p>
      <w:pPr>
        <w:pStyle w:val="Heading2"/>
      </w:pPr>
      <w:bookmarkStart w:name="_Toc2" w:id="2"/>
      <w:r>
        <w:t xml:space="preserve">1.1 Propósito del documento</w:t>
      </w:r>
      <w:bookmarkEnd w:id="2"/>
    </w:p>
    <w:p>
      <w:pPr>
        <w:spacing w:after="120" w:line="276"/>
        <w:jc w:val="both"/>
      </w:pPr>
      <w:r>
        <w:t xml:space="preserve">Este informe documenta las pruebas aplicadas a la base de datos de AbasteceNi con la estructura de documentación de pruebas de ISO/IEC/IEEE 29119-3: plan, especificación de diseño, casos y procedimientos, e informe de finalización. El objeto de prueba es el esquema físico de PostgreSQL que producen las migraciones del repositorio, junto con las propiedades que la arquitectura deposita en él: un esquema por módulo (PA-02), la bandeja de salida transaccional (ADR-01), la bitácora inmutable (ADR-05, PA-06), los privilegios del rol de la aplicación y el contador compartido de peticiones (ADR-08).</w:t>
      </w:r>
    </w:p>
    <w:p>
      <w:pPr>
        <w:spacing w:after="120" w:line="276"/>
        <w:jc w:val="both"/>
      </w:pPr>
      <w:r>
        <w:t xml:space="preserve">Las pruebas de base de datos forman una suite propia, </w:t>
      </w:r>
      <w:r>
        <w:rPr>
          <w:rFonts w:ascii="Consolas" w:cs="Consolas" w:eastAsia="Consolas" w:hAnsi="Consolas"/>
          <w:sz w:val="20"/>
          <w:szCs w:val="20"/>
        </w:rPr>
        <w:t xml:space="preserve">apps/backend/test/bd/</w:t>
      </w:r>
      <w:r>
        <w:t xml:space="preserve">, con su configuración (</w:t>
      </w:r>
      <w:r>
        <w:rPr>
          <w:rFonts w:ascii="Consolas" w:cs="Consolas" w:eastAsia="Consolas" w:hAnsi="Consolas"/>
          <w:sz w:val="20"/>
          <w:szCs w:val="20"/>
        </w:rPr>
        <w:t xml:space="preserve">jest.bd.config.js</w:t>
      </w:r>
      <w:r>
        <w:t xml:space="preserve">) y su reporte (</w:t>
      </w:r>
      <w:r>
        <w:rPr>
          <w:rFonts w:ascii="Consolas" w:cs="Consolas" w:eastAsia="Consolas" w:hAnsi="Consolas"/>
          <w:sz w:val="20"/>
          <w:szCs w:val="20"/>
        </w:rPr>
        <w:t xml:space="preserve">docs/evidencia/pruebas/it-0n/bd/junit.xml</w:t>
      </w:r>
      <w:r>
        <w:t xml:space="preserve">). Así se informan por separado de la batería principal, como exige CLAUDE.md §6.</w:t>
      </w:r>
    </w:p>
    <w:p>
      <w:pPr>
        <w:pStyle w:val="Heading2"/>
      </w:pPr>
      <w:bookmarkStart w:name="_Toc3" w:id="3"/>
      <w:r>
        <w:t xml:space="preserve">1.2 Alcance y estado de integración</w:t>
      </w:r>
      <w:bookmarkEnd w:id="3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0"/>
        <w:gridCol w:w="5241"/>
        <w:gridCol w:w="2809"/>
      </w:tblGrid>
      <w:tr>
        <w:trPr>
          <w:tblHeader/>
        </w:trPr>
        <w:tc>
          <w:tcPr>
            <w:tcW w:type="dxa" w:w="1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Iteración</w:t>
            </w:r>
          </w:p>
        </w:tc>
        <w:tc>
          <w:tcPr>
            <w:tcW w:type="dxa" w:w="52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Lo que aporta a la base de datos</w:t>
            </w:r>
          </w:p>
        </w:tc>
        <w:tc>
          <w:tcPr>
            <w:tcW w:type="dxa" w:w="28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IT-00</w:t>
            </w:r>
          </w:p>
        </w:tc>
        <w:tc>
          <w:tcPr>
            <w:tcW w:type="dxa" w:w="52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Roles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abasteceni_propietario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abasteceni_app</w:t>
            </w:r>
            <w:r>
              <w:rPr>
                <w:sz w:val="18"/>
                <w:szCs w:val="18"/>
              </w:rPr>
              <w:t xml:space="preserve">; diez esquemas; privilegios de uso sin creación</w:t>
            </w:r>
          </w:p>
        </w:tc>
        <w:tc>
          <w:tcPr>
            <w:tcW w:type="dxa" w:w="28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Integrada en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main</w:t>
            </w:r>
            <w:r>
              <w:rPr>
                <w:sz w:val="18"/>
                <w:szCs w:val="18"/>
              </w:rPr>
              <w:t xml:space="preserve"> (commit de fusión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9e16046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1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IT-01</w:t>
            </w:r>
          </w:p>
        </w:tc>
        <w:tc>
          <w:tcPr>
            <w:tcW w:type="dxa" w:w="52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Tablas de M1 y M2, bandeja de salida y contador de peticiones; privilegios explícitos por tabla</w:t>
            </w:r>
          </w:p>
        </w:tc>
        <w:tc>
          <w:tcPr>
            <w:tcW w:type="dxa" w:w="28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Integrada en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main</w:t>
            </w:r>
            <w:r>
              <w:rPr>
                <w:sz w:val="18"/>
                <w:szCs w:val="18"/>
              </w:rPr>
              <w:t xml:space="preserve"> (commit de fusión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8d1845e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1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IT-02</w:t>
            </w:r>
          </w:p>
        </w:tc>
        <w:tc>
          <w:tcPr>
            <w:tcW w:type="dxa" w:w="52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Bitácora de M9 con UPDATE, DELETE y TRUNCATE revocados; registro legal y consentimiento en la cuenta</w:t>
            </w:r>
          </w:p>
        </w:tc>
        <w:tc>
          <w:tcPr>
            <w:tcW w:type="dxa" w:w="28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Integrada en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main</w:t>
            </w:r>
            <w:r>
              <w:rPr>
                <w:sz w:val="18"/>
                <w:szCs w:val="18"/>
              </w:rPr>
              <w:t xml:space="preserve"> (commit de fusión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6d0f2d3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1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IT-02, tramo B (SYS-FN-07)</w:t>
            </w:r>
          </w:p>
        </w:tc>
        <w:tc>
          <w:tcPr>
            <w:tcW w:type="dxa" w:w="52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Contador de intentos fallidos y fin del bloqueo en las credenciales de M2</w:t>
            </w:r>
          </w:p>
        </w:tc>
        <w:tc>
          <w:tcPr>
            <w:tcW w:type="dxa" w:w="28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Integrado en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main</w:t>
            </w:r>
            <w:r>
              <w:rPr>
                <w:sz w:val="18"/>
                <w:szCs w:val="18"/>
              </w:rPr>
              <w:t xml:space="preserve"> con la PR #6, fusión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2bd1b3e</w:t>
            </w:r>
          </w:p>
        </w:tc>
      </w:tr>
      <w:tr>
        <w:tc>
          <w:tcPr>
            <w:tcW w:type="dxa" w:w="1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IT-02, tramos B y C (SYS-FN-05 y 08)</w:t>
            </w:r>
          </w:p>
        </w:tc>
        <w:tc>
          <w:tcPr>
            <w:tcW w:type="dxa" w:w="52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Solicitudes de recuperación con la huella del secreto; fecha de inicio del dispositivo y marca de sesión desplazada en las sesiones de M2</w:t>
            </w:r>
          </w:p>
        </w:tc>
        <w:tc>
          <w:tcPr>
            <w:tcW w:type="dxa" w:w="28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Construidos y verificados en la rama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it-02/recuperacion</w:t>
            </w:r>
            <w:r>
              <w:rPr>
                <w:sz w:val="18"/>
                <w:szCs w:val="18"/>
              </w:rPr>
              <w:t xml:space="preserve"> (ejecución 39339908565, 10/10 en verde), pendientes de la PR #8</w:t>
            </w:r>
          </w:p>
        </w:tc>
      </w:tr>
    </w:tbl>
    <w:p>
      <w:pPr>
        <w:pStyle w:val="Heading2"/>
      </w:pPr>
      <w:bookmarkStart w:name="_Toc4" w:id="4"/>
      <w:r>
        <w:t xml:space="preserve">1.3 Insumos heredados de la serie</w:t>
      </w:r>
      <w:bookmarkEnd w:id="4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1872"/>
        <w:gridCol w:w="4493"/>
      </w:tblGrid>
      <w:tr>
        <w:trPr>
          <w:tblHeader/>
        </w:trPr>
        <w:tc>
          <w:tcPr>
            <w:tcW w:type="dxa" w:w="2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Insumo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Origen</w:t>
            </w:r>
          </w:p>
        </w:tc>
        <w:tc>
          <w:tcPr>
            <w:tcW w:type="dxa" w:w="44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Propiedad que se prueba en la base</w:t>
            </w:r>
          </w:p>
        </w:tc>
      </w:tr>
      <w:tr>
        <w:tc>
          <w:tcPr>
            <w:tcW w:type="dxa" w:w="2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PA-02: cada módulo posee sus datos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D3 §2.7.4</w:t>
            </w:r>
          </w:p>
        </w:tc>
        <w:tc>
          <w:tcPr>
            <w:tcW w:type="dxa" w:w="44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Existe un esquema por módulo y ninguna clave foránea cruza esquemas</w:t>
            </w:r>
          </w:p>
        </w:tc>
      </w:tr>
      <w:tr>
        <w:tc>
          <w:tcPr>
            <w:tcW w:type="dxa" w:w="2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ADR-01: bandeja de salida transaccional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D3 §2.7.2</w:t>
            </w:r>
          </w:p>
        </w:tc>
        <w:tc>
          <w:tcPr>
            <w:tcW w:type="dxa" w:w="44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El cambio de estado y su evento se confirman o se revierten juntos</w:t>
            </w:r>
          </w:p>
        </w:tc>
      </w:tr>
      <w:tr>
        <w:tc>
          <w:tcPr>
            <w:tcW w:type="dxa" w:w="2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ADR-05 y PA-06: auditoría de solo adición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D3 §2.7.2 y §2.7.4</w:t>
            </w:r>
          </w:p>
        </w:tc>
        <w:tc>
          <w:tcPr>
            <w:tcW w:type="dxa" w:w="44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UPDATE, DELETE y TRUNCATE sobre la bitácora fallan con el rol de la aplicación</w:t>
            </w:r>
          </w:p>
        </w:tc>
      </w:tr>
      <w:tr>
        <w:tc>
          <w:tcPr>
            <w:tcW w:type="dxa" w:w="2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ADR-07: PostgreSQL con esquemas por módulo y roles diferenciados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Registro de decisiones</w:t>
            </w:r>
          </w:p>
        </w:tc>
        <w:tc>
          <w:tcPr>
            <w:tcW w:type="dxa" w:w="44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Migraciones con el rol propietario; la aplicación se conecta con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abasteceni_app</w:t>
            </w:r>
          </w:p>
        </w:tc>
      </w:tr>
      <w:tr>
        <w:tc>
          <w:tcPr>
            <w:tcW w:type="dxa" w:w="2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ADR-08: contador de peticiones en PostgreSQL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Registro de decisiones</w:t>
            </w:r>
          </w:p>
        </w:tc>
        <w:tc>
          <w:tcPr>
            <w:tcW w:type="dxa" w:w="44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El contador es atómico y compartido entre conexiones</w:t>
            </w:r>
          </w:p>
        </w:tc>
      </w:tr>
      <w:tr>
        <w:tc>
          <w:tcPr>
            <w:tcW w:type="dxa" w:w="2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SYS-FN-01, 02, 35 y 36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D2 §3</w:t>
            </w:r>
          </w:p>
        </w:tc>
        <w:tc>
          <w:tcPr>
            <w:tcW w:type="dxa" w:w="44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Unicidad del RUC, campos obligatorios NOT NULL, asientos de bitácora, marca temporal del consentimiento</w:t>
            </w:r>
          </w:p>
        </w:tc>
      </w:tr>
      <w:tr>
        <w:tc>
          <w:tcPr>
            <w:tcW w:type="dxa" w:w="2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SYS-FN-05 y 08 (DIS-36 y 37)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D2 §3</w:t>
            </w:r>
          </w:p>
        </w:tc>
        <w:tc>
          <w:tcPr>
            <w:tcW w:type="dxa" w:w="44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Huella única y vigencia de la solicitud de recuperación; fecha de inicio obligatoria de la sesión; privilegios sin DELETE</w:t>
            </w:r>
          </w:p>
        </w:tc>
      </w:tr>
      <w:tr>
        <w:tc>
          <w:tcPr>
            <w:tcW w:type="dxa" w:w="2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SYS-NFN-15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D2 §3</w:t>
            </w:r>
          </w:p>
        </w:tc>
        <w:tc>
          <w:tcPr>
            <w:tcW w:type="dxa" w:w="44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Pruebas automáticas en cada integración continua</w:t>
            </w:r>
          </w:p>
        </w:tc>
      </w:tr>
    </w:tbl>
    <w:p>
      <w:pPr>
        <w:pStyle w:val="Heading2"/>
      </w:pPr>
      <w:bookmarkStart w:name="_Toc5" w:id="5"/>
      <w:r>
        <w:t xml:space="preserve">1.4 Normas aplicables</w:t>
      </w:r>
      <w:bookmarkEnd w:id="5"/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b/>
          <w:bCs/>
        </w:rPr>
        <w:t xml:space="preserve">ISO/IEC/IEEE 29119-1:2022.</w:t>
      </w:r>
      <w:r>
        <w:t xml:space="preserve"> Conceptos y vocabulario: objeto de prueba, condición de prueba, caso de prueba, entorno de prueba.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b/>
          <w:bCs/>
        </w:rPr>
        <w:t xml:space="preserve">ISO/IEC/IEEE 29119-2:2021.</w:t>
      </w:r>
      <w:r>
        <w:t xml:space="preserve"> Procesos de prueba: planificación, diseño e implementación, ejecución y finalización.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b/>
          <w:bCs/>
        </w:rPr>
        <w:t xml:space="preserve">ISO/IEC/IEEE 29119-3:2021.</w:t>
      </w:r>
      <w:r>
        <w:t xml:space="preserve"> Documentación de pruebas: plan, especificación de diseño, especificación de casos y procedimientos, e informe de finalización. Organiza los §2.2 a §2.5.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b/>
          <w:bCs/>
        </w:rPr>
        <w:t xml:space="preserve">ISO/IEC 27002:2022, control 8.31.</w:t>
      </w:r>
      <w:r>
        <w:t xml:space="preserve"> Separación de los entornos de desarrollo, prueba y producción: las pruebas usan una base efímera propia.</w:t>
      </w:r>
    </w:p>
    <w:p>
      <w:pPr>
        <w:pStyle w:val="Heading1"/>
      </w:pPr>
      <w:bookmarkStart w:name="_Toc6" w:id="6"/>
      <w:r>
        <w:t xml:space="preserve">2. Desarrollo</w:t>
      </w:r>
      <w:bookmarkEnd w:id="6"/>
    </w:p>
    <w:p>
      <w:pPr>
        <w:pStyle w:val="Heading2"/>
      </w:pPr>
      <w:bookmarkStart w:name="_Toc7" w:id="7"/>
      <w:r>
        <w:t xml:space="preserve">2.1 Objeto de prueba: el esquema físico</w:t>
      </w:r>
      <w:bookmarkEnd w:id="7"/>
    </w:p>
    <w:p>
      <w:pPr>
        <w:spacing w:after="120" w:line="276"/>
        <w:jc w:val="both"/>
      </w:pPr>
      <w:r>
        <w:t xml:space="preserve">La figura 1 es el diagrama físico de los esquemas, </w:t>
      </w:r>
      <w:r>
        <w:rPr>
          <w:b/>
          <w:bCs/>
        </w:rPr>
        <w:t xml:space="preserve">generado desde las migraciones</w:t>
      </w:r>
      <w:r>
        <w:t xml:space="preserve">. </w:t>
      </w:r>
      <w:r>
        <w:rPr>
          <w:rFonts w:ascii="Consolas" w:cs="Consolas" w:eastAsia="Consolas" w:hAnsi="Consolas"/>
          <w:sz w:val="20"/>
          <w:szCs w:val="20"/>
        </w:rPr>
        <w:t xml:space="preserve">herramientas/bd/diagrama-fisico.sh</w:t>
      </w:r>
      <w:r>
        <w:t xml:space="preserve"> levanta un PostgreSQL 18.6 efímero, crea los dos roles de ADR-05 con </w:t>
      </w:r>
      <w:r>
        <w:rPr>
          <w:rFonts w:ascii="Consolas" w:cs="Consolas" w:eastAsia="Consolas" w:hAnsi="Consolas"/>
          <w:sz w:val="20"/>
          <w:szCs w:val="20"/>
        </w:rPr>
        <w:t xml:space="preserve">herramientas/bd/provisionar.sh</w:t>
      </w:r>
      <w:r>
        <w:t xml:space="preserve">, aplica en orden las once migraciones de </w:t>
      </w:r>
      <w:r>
        <w:rPr>
          <w:rFonts w:ascii="Consolas" w:cs="Consolas" w:eastAsia="Consolas" w:hAnsi="Consolas"/>
          <w:sz w:val="20"/>
          <w:szCs w:val="20"/>
        </w:rPr>
        <w:t xml:space="preserve">apps/backend/migraciones/</w:t>
      </w:r>
      <w:r>
        <w:t xml:space="preserve"> con el rol propietario y dibuja el catálogo resultante (</w:t>
      </w:r>
      <w:r>
        <w:rPr>
          <w:rFonts w:ascii="Consolas" w:cs="Consolas" w:eastAsia="Consolas" w:hAnsi="Consolas"/>
          <w:sz w:val="20"/>
          <w:szCs w:val="20"/>
        </w:rPr>
        <w:t xml:space="preserve">pg_constraint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information_schema</w:t>
      </w:r>
      <w:r>
        <w:t xml:space="preserve">). El diagrama refleja, por tanto, lo que la base es y no lo que se pretendía que fuera.</w:t>
      </w:r>
    </w:p>
    <w:p>
      <w:pPr>
        <w:jc w:val="center"/>
      </w:pPr>
      <w:r>
        <w:drawing>
          <wp:inline distT="0" distB="0" distL="0" distR="0">
            <wp:extent cx="4476750" cy="762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95959"/>
          <w:sz w:val="18"/>
          <w:szCs w:val="18"/>
        </w:rPr>
        <w:t xml:space="preserve">Figura 1. Esquema físico de AbasteceNi tras aplicar las migraciones 0000 a 0010. Cada tabla indica las claves (PK, UQ), las columnas NOT NULL, el número de restricciones CHECK y los privilegios del rol abasteceni_app.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5054"/>
        <w:gridCol w:w="1124"/>
      </w:tblGrid>
      <w:tr>
        <w:trPr>
          <w:tblHeader/>
        </w:trPr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Migración</w:t>
            </w:r>
          </w:p>
        </w:tc>
        <w:tc>
          <w:tcPr>
            <w:tcW w:type="dxa" w:w="50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Contenido</w:t>
            </w:r>
          </w:p>
        </w:tc>
        <w:tc>
          <w:tcPr>
            <w:tcW w:type="dxa" w:w="11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Iteración</w:t>
            </w:r>
          </w:p>
        </w:tc>
      </w:tr>
      <w:tr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0000_esquemas.sql</w:t>
            </w:r>
          </w:p>
        </w:tc>
        <w:tc>
          <w:tcPr>
            <w:tcW w:type="dxa" w:w="50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Nueve esquemas de módulo y el esquema transversal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plataforma</w:t>
            </w:r>
          </w:p>
        </w:tc>
        <w:tc>
          <w:tcPr>
            <w:tcW w:type="dxa" w:w="11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IT-00</w:t>
            </w:r>
          </w:p>
        </w:tc>
      </w:tr>
      <w:tr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0001_privilegios-esquemas.sql</w:t>
            </w:r>
          </w:p>
        </w:tc>
        <w:tc>
          <w:tcPr>
            <w:tcW w:type="dxa" w:w="50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USAGE para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abasteceni_app</w:t>
            </w:r>
            <w:r>
              <w:rPr>
                <w:sz w:val="18"/>
                <w:szCs w:val="18"/>
              </w:rPr>
              <w:t xml:space="preserve"> en los diez esquemas; CREATE revocado en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</w:t>
            </w:r>
          </w:p>
        </w:tc>
        <w:tc>
          <w:tcPr>
            <w:tcW w:type="dxa" w:w="11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IT-00</w:t>
            </w:r>
          </w:p>
        </w:tc>
      </w:tr>
      <w:tr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0002_linea-base.sql</w:t>
            </w:r>
          </w:p>
        </w:tc>
        <w:tc>
          <w:tcPr>
            <w:tcW w:type="dxa" w:w="50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Cuentas comerciales (M1), credenciales y sesiones (M2), bandeja de salida y contador de peticiones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plataforma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11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IT-01</w:t>
            </w:r>
          </w:p>
        </w:tc>
      </w:tr>
      <w:tr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0003_privilegios-linea-base.sql</w:t>
            </w:r>
          </w:p>
        </w:tc>
        <w:tc>
          <w:tcPr>
            <w:tcW w:type="dxa" w:w="50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Privilegios explícitos de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abasteceni_app</w:t>
            </w:r>
            <w:r>
              <w:rPr>
                <w:sz w:val="18"/>
                <w:szCs w:val="18"/>
              </w:rPr>
              <w:t xml:space="preserve"> por tabla</w:t>
            </w:r>
          </w:p>
        </w:tc>
        <w:tc>
          <w:tcPr>
            <w:tcW w:type="dxa" w:w="11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IT-01</w:t>
            </w:r>
          </w:p>
        </w:tc>
      </w:tr>
      <w:tr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0004_bitacora.sql</w:t>
            </w:r>
          </w:p>
        </w:tc>
        <w:tc>
          <w:tcPr>
            <w:tcW w:type="dxa" w:w="50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Bitácora de M9</w:t>
            </w:r>
          </w:p>
        </w:tc>
        <w:tc>
          <w:tcPr>
            <w:tcW w:type="dxa" w:w="11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IT-02</w:t>
            </w:r>
          </w:p>
        </w:tc>
      </w:tr>
      <w:tr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0005_privilegios-bitacora.sql</w:t>
            </w:r>
          </w:p>
        </w:tc>
        <w:tc>
          <w:tcPr>
            <w:tcW w:type="dxa" w:w="50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INSERT y SELECT; UPDATE, DELETE y TRUNCATE revocados para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abasteceni_app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</w:t>
            </w:r>
          </w:p>
        </w:tc>
        <w:tc>
          <w:tcPr>
            <w:tcW w:type="dxa" w:w="11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IT-02</w:t>
            </w:r>
          </w:p>
        </w:tc>
      </w:tr>
      <w:tr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0006_registro-legal-consentimiento.sql</w:t>
            </w:r>
          </w:p>
        </w:tc>
        <w:tc>
          <w:tcPr>
            <w:tcW w:type="dxa" w:w="50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Marca temporal del consentimiento y referencia al registro legal en la cuenta</w:t>
            </w:r>
          </w:p>
        </w:tc>
        <w:tc>
          <w:tcPr>
            <w:tcW w:type="dxa" w:w="11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IT-02</w:t>
            </w:r>
          </w:p>
        </w:tc>
      </w:tr>
      <w:tr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0007_bloqueo-intentos.sql</w:t>
            </w:r>
          </w:p>
        </w:tc>
        <w:tc>
          <w:tcPr>
            <w:tcW w:type="dxa" w:w="50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Intentos fallidos (NOT NULL, ≥ 0) y fin del bloqueo en las credenciales (SYS-FN-07)</w:t>
            </w:r>
          </w:p>
        </w:tc>
        <w:tc>
          <w:tcPr>
            <w:tcW w:type="dxa" w:w="11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IT-02, tramo B</w:t>
            </w:r>
          </w:p>
        </w:tc>
      </w:tr>
      <w:tr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0008_recuperacion.sql</w:t>
            </w:r>
          </w:p>
        </w:tc>
        <w:tc>
          <w:tcPr>
            <w:tcW w:type="dxa" w:w="50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Solicitudes de recuperación: huella única, vigencia posterior a la creación, uso y anulación, con clave foránea a la credencial (SYS-FN-05)</w:t>
            </w:r>
          </w:p>
        </w:tc>
        <w:tc>
          <w:tcPr>
            <w:tcW w:type="dxa" w:w="11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IT-02, tramo B</w:t>
            </w:r>
          </w:p>
        </w:tc>
      </w:tr>
      <w:tr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0009_privilegios-recuperacion.sql</w:t>
            </w:r>
          </w:p>
        </w:tc>
        <w:tc>
          <w:tcPr>
            <w:tcW w:type="dxa" w:w="50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SELECT, INSERT y UPDATE para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abasteceni_app</w:t>
            </w:r>
            <w:r>
              <w:rPr>
                <w:sz w:val="18"/>
                <w:szCs w:val="18"/>
              </w:rPr>
              <w:t xml:space="preserve">; sin DELETE</w:t>
            </w:r>
          </w:p>
        </w:tc>
        <w:tc>
          <w:tcPr>
            <w:tcW w:type="dxa" w:w="11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IT-02, tramo B</w:t>
            </w:r>
          </w:p>
        </w:tc>
      </w:tr>
      <w:tr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0010_sesiones-dispositivos.sql</w:t>
            </w:r>
          </w:p>
        </w:tc>
        <w:tc>
          <w:tcPr>
            <w:tcW w:type="dxa" w:w="50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Fecha de inicio del dispositivo (rellenada en las filas existentes antes del NOT NULL), marca de sesión desplazada e índice de sesiones vigentes (SYS-FN-08)</w:t>
            </w:r>
          </w:p>
        </w:tc>
        <w:tc>
          <w:tcPr>
            <w:tcW w:type="dxa" w:w="11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IT-02, tramo C</w:t>
            </w:r>
          </w:p>
        </w:tc>
      </w:tr>
    </w:tbl>
    <w:p>
      <w:pPr>
        <w:spacing w:after="120" w:line="276"/>
        <w:jc w:val="both"/>
      </w:pPr>
      <w:r>
        <w:t xml:space="preserve">Se observan tres propiedades de diseño. Ninguna clave foránea cruza esquemas: las dos que existen están dentro de M2, de </w:t>
      </w:r>
      <w:r>
        <w:rPr>
          <w:rFonts w:ascii="Consolas" w:cs="Consolas" w:eastAsia="Consolas" w:hAnsi="Consolas"/>
          <w:sz w:val="20"/>
          <w:szCs w:val="20"/>
        </w:rPr>
        <w:t xml:space="preserve">sesiones</w:t>
      </w:r>
      <w:r>
        <w:t xml:space="preserve"> y de </w:t>
      </w:r>
      <w:r>
        <w:rPr>
          <w:rFonts w:ascii="Consolas" w:cs="Consolas" w:eastAsia="Consolas" w:hAnsi="Consolas"/>
          <w:sz w:val="20"/>
          <w:szCs w:val="20"/>
        </w:rPr>
        <w:t xml:space="preserve">recuperaciones</w:t>
      </w:r>
      <w:r>
        <w:t xml:space="preserve"> a </w:t>
      </w:r>
      <w:r>
        <w:rPr>
          <w:rFonts w:ascii="Consolas" w:cs="Consolas" w:eastAsia="Consolas" w:hAnsi="Consolas"/>
          <w:sz w:val="20"/>
          <w:szCs w:val="20"/>
        </w:rPr>
        <w:t xml:space="preserve">credenciales</w:t>
      </w:r>
      <w:r>
        <w:t xml:space="preserve">, y la cuenta de M1 se referencia desde M2 solo por valor (PA-02). Los esquemas de M3 a M8 existen y están vacíos: sus fronteras se fijan desde IT-00, aunque su contenido llegue con sus iteraciones (D4 Anexo B). Y la tabla de control de migraciones (</w:t>
      </w:r>
      <w:r>
        <w:rPr>
          <w:rFonts w:ascii="Consolas" w:cs="Consolas" w:eastAsia="Consolas" w:hAnsi="Consolas"/>
          <w:sz w:val="20"/>
          <w:szCs w:val="20"/>
        </w:rPr>
        <w:t xml:space="preserve">plataforma.migraciones</w:t>
      </w:r>
      <w:r>
        <w:t xml:space="preserve">) no es accesible para la aplicación.</w:t>
      </w:r>
    </w:p>
    <w:p>
      <w:pPr>
        <w:pStyle w:val="Heading2"/>
      </w:pPr>
      <w:bookmarkStart w:name="_Toc8" w:id="8"/>
      <w:r>
        <w:t xml:space="preserve">2.2 Plan de prueba (ISO/IEC/IEEE 29119-3)</w:t>
      </w:r>
      <w:bookmarkEnd w:id="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Elemento del plan</w:t>
            </w:r>
          </w:p>
        </w:tc>
        <w:tc>
          <w:tcPr>
            <w:tcW w:type="dxa" w:w="7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Contenido</w:t>
            </w:r>
          </w:p>
        </w:tc>
      </w:tr>
      <w:tr>
        <w:tc>
          <w:tcPr>
            <w:tcW w:type="dxa" w:w="2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Objetivo</w:t>
            </w:r>
          </w:p>
        </w:tc>
        <w:tc>
          <w:tcPr>
            <w:tcW w:type="dxa" w:w="7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Verificar que las propiedades de datos que exige la arquitectura las cumple el gestor, y no solo el código de la aplicación (ADR-05: «inmutabilidad verificable por inspección»).</w:t>
            </w:r>
          </w:p>
        </w:tc>
      </w:tr>
      <w:tr>
        <w:tc>
          <w:tcPr>
            <w:tcW w:type="dxa" w:w="2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Elementos de prueba</w:t>
            </w:r>
          </w:p>
        </w:tc>
        <w:tc>
          <w:tcPr>
            <w:tcW w:type="dxa" w:w="7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Migraciones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0000</w:t>
            </w:r>
            <w:r>
              <w:rPr>
                <w:sz w:val="18"/>
                <w:szCs w:val="18"/>
              </w:rPr>
              <w:t xml:space="preserve"> a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0010</w:t>
            </w:r>
            <w:r>
              <w:rPr>
                <w:sz w:val="18"/>
                <w:szCs w:val="18"/>
              </w:rPr>
              <w:t xml:space="preserve">; roles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abasteceni_propietario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abasteceni_app</w:t>
            </w:r>
            <w:r>
              <w:rPr>
                <w:sz w:val="18"/>
                <w:szCs w:val="18"/>
              </w:rPr>
              <w:t xml:space="preserve">; adaptadores de persistencia de M1, M2 y M9, de la bandeja de salida y del contador.</w:t>
            </w:r>
          </w:p>
        </w:tc>
      </w:tr>
      <w:tr>
        <w:tc>
          <w:tcPr>
            <w:tcW w:type="dxa" w:w="2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Entorno</w:t>
            </w:r>
          </w:p>
        </w:tc>
        <w:tc>
          <w:tcPr>
            <w:tcW w:type="dxa" w:w="7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PostgreSQL 18.6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postgres:18.6-alpine</w:t>
            </w:r>
            <w:r>
              <w:rPr>
                <w:sz w:val="18"/>
                <w:szCs w:val="18"/>
              </w:rPr>
              <w:t xml:space="preserve">) en un contenedor efímero por archivo de prueba, creado con Testcontainers 12.2.1. Roles con claves de un solo uso. Separado de la base de desarrollo (control 8.31).</w:t>
            </w:r>
          </w:p>
        </w:tc>
      </w:tr>
      <w:tr>
        <w:tc>
          <w:tcPr>
            <w:tcW w:type="dxa" w:w="2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Enfoque</w:t>
            </w:r>
          </w:p>
        </w:tc>
        <w:tc>
          <w:tcPr>
            <w:tcW w:type="dxa" w:w="7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Pruebas de caja blanca sobre el catálogo (privilegios, propietarios, restricciones) y de comportamiento con el rol real de la aplicación (sentencias que deben fallar con 42501, 23505, 23502 o 23514).</w:t>
            </w:r>
          </w:p>
        </w:tc>
      </w:tr>
      <w:tr>
        <w:tc>
          <w:tcPr>
            <w:tcW w:type="dxa" w:w="2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Criterios de entrada</w:t>
            </w:r>
          </w:p>
        </w:tc>
        <w:tc>
          <w:tcPr>
            <w:tcW w:type="dxa" w:w="7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Las migraciones aplican desde cero; el código compila (trabajo 2 de la CI).</w:t>
            </w:r>
          </w:p>
        </w:tc>
      </w:tr>
      <w:tr>
        <w:tc>
          <w:tcPr>
            <w:tcW w:type="dxa" w:w="2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Criterios de salida</w:t>
            </w:r>
          </w:p>
        </w:tc>
        <w:tc>
          <w:tcPr>
            <w:tcW w:type="dxa" w:w="7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Todos los casos pasan en la CI (trabajo 3), en cada cambio. Un caso fallido impide integrar (DM-04, condición 6).</w:t>
            </w:r>
          </w:p>
        </w:tc>
      </w:tr>
      <w:tr>
        <w:tc>
          <w:tcPr>
            <w:tcW w:type="dxa" w:w="2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Responsables y calendario</w:t>
            </w:r>
          </w:p>
        </w:tc>
        <w:tc>
          <w:tcPr>
            <w:tcW w:type="dxa" w:w="7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Equipo U-01. Se ejecuta en cada cambio y se informa al cierre de cada iteración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docs/evidencia/iteraciones.md</w:t>
            </w:r>
            <w:r>
              <w:rPr>
                <w:sz w:val="18"/>
                <w:szCs w:val="18"/>
              </w:rPr>
              <w:t xml:space="preserve">).</w:t>
            </w:r>
          </w:p>
        </w:tc>
      </w:tr>
      <w:tr>
        <w:tc>
          <w:tcPr>
            <w:tcW w:type="dxa" w:w="2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Riesgos</w:t>
            </w:r>
          </w:p>
        </w:tc>
        <w:tc>
          <w:tcPr>
            <w:tcW w:type="dxa" w:w="7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Que un privilegio concedido de más pase inadvertido: lo mitiga la comparación exacta de la lista de privilegios. Que las pruebas dependan de la base de desarrollo: lo mitiga el contenedor efímero.</w:t>
            </w:r>
          </w:p>
        </w:tc>
      </w:tr>
    </w:tbl>
    <w:p>
      <w:pPr>
        <w:pStyle w:val="Heading2"/>
      </w:pPr>
      <w:bookmarkStart w:name="_Toc9" w:id="9"/>
      <w:r>
        <w:t xml:space="preserve">2.3 Especificación del diseño de pruebas</w:t>
      </w:r>
      <w:bookmarkEnd w:id="9"/>
    </w:p>
    <w:p>
      <w:pPr>
        <w:spacing w:after="120" w:line="276"/>
        <w:jc w:val="both"/>
      </w:pPr>
      <w:r>
        <w:t xml:space="preserve">Las condiciones de prueba son las siete que exige CLAUDE.md §6 para esta suite, trazadas a su origen en la serie: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684"/>
        <w:gridCol w:w="2808"/>
        <w:gridCol w:w="2060"/>
      </w:tblGrid>
      <w:tr>
        <w:trPr>
          <w:tblHeader/>
        </w:trPr>
        <w:tc>
          <w:tcPr>
            <w:tcW w:type="dxa" w:w="2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Condición</w:t>
            </w:r>
          </w:p>
        </w:tc>
        <w:tc>
          <w:tcPr>
            <w:tcW w:type="dxa" w:w="16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Origen</w:t>
            </w:r>
          </w:p>
        </w:tc>
        <w:tc>
          <w:tcPr>
            <w:tcW w:type="dxa" w:w="2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Técnica de diseño</w:t>
            </w:r>
          </w:p>
        </w:tc>
        <w:tc>
          <w:tcPr>
            <w:tcW w:type="dxa" w:w="2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Casos</w:t>
            </w:r>
          </w:p>
        </w:tc>
      </w:tr>
      <w:tr>
        <w:tc>
          <w:tcPr>
            <w:tcW w:type="dxa" w:w="2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CB-1 · Las migraciones aplican desde cero y son idempotentes</w:t>
            </w:r>
          </w:p>
        </w:tc>
        <w:tc>
          <w:tcPr>
            <w:tcW w:type="dxa" w:w="16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ADR-07; D4 §2.16</w:t>
            </w:r>
          </w:p>
        </w:tc>
        <w:tc>
          <w:tcPr>
            <w:tcW w:type="dxa" w:w="2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Ejecución doble y recuento contra el diario de drizzle</w:t>
            </w:r>
          </w:p>
        </w:tc>
        <w:tc>
          <w:tcPr>
            <w:tcW w:type="dxa" w:w="2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Migraciones y esquemas</w:t>
            </w:r>
          </w:p>
        </w:tc>
      </w:tr>
      <w:tr>
        <w:tc>
          <w:tcPr>
            <w:tcW w:type="dxa" w:w="2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CB-2 · Existe un esquema por módulo y el esquema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plataforma</w:t>
            </w:r>
            <w:r>
              <w:rPr>
                <w:sz w:val="18"/>
                <w:szCs w:val="18"/>
              </w:rPr>
              <w:t xml:space="preserve">, propiedad del rol propietario</w:t>
            </w:r>
          </w:p>
        </w:tc>
        <w:tc>
          <w:tcPr>
            <w:tcW w:type="dxa" w:w="16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PA-02; ADR-01</w:t>
            </w:r>
          </w:p>
        </w:tc>
        <w:tc>
          <w:tcPr>
            <w:tcW w:type="dxa" w:w="2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Consulta al catálogo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pg_namespace</w:t>
            </w:r>
          </w:p>
        </w:tc>
        <w:tc>
          <w:tcPr>
            <w:tcW w:type="dxa" w:w="2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Migraciones y esquemas</w:t>
            </w:r>
          </w:p>
        </w:tc>
      </w:tr>
      <w:tr>
        <w:tc>
          <w:tcPr>
            <w:tcW w:type="dxa" w:w="2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CB-3 · Los privilegios de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abasteceni_app</w:t>
            </w:r>
            <w:r>
              <w:rPr>
                <w:sz w:val="18"/>
                <w:szCs w:val="18"/>
              </w:rPr>
              <w:t xml:space="preserve"> son exactamente los declarados</w:t>
            </w:r>
          </w:p>
        </w:tc>
        <w:tc>
          <w:tcPr>
            <w:tcW w:type="dxa" w:w="16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ADR-05</w:t>
            </w:r>
          </w:p>
        </w:tc>
        <w:tc>
          <w:tcPr>
            <w:tcW w:type="dxa" w:w="2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Comparación exacta con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information_schema.role_table_grants</w:t>
            </w:r>
            <w:r>
              <w:rPr>
                <w:sz w:val="18"/>
                <w:szCs w:val="18"/>
              </w:rPr>
              <w:t xml:space="preserve">; intento de CREATE</w:t>
            </w:r>
          </w:p>
        </w:tc>
        <w:tc>
          <w:tcPr>
            <w:tcW w:type="dxa" w:w="2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Privilegios exactos; sin CREATE; sin privilegios elevados</w:t>
            </w:r>
          </w:p>
        </w:tc>
      </w:tr>
      <w:tr>
        <w:tc>
          <w:tcPr>
            <w:tcW w:type="dxa" w:w="2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CB-4 · UPDATE, DELETE y TRUNCATE sobre la bitácora fallan</w:t>
            </w:r>
          </w:p>
        </w:tc>
        <w:tc>
          <w:tcPr>
            <w:tcW w:type="dxa" w:w="16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ADR-05, PA-06, SYS-FN-35</w:t>
            </w:r>
          </w:p>
        </w:tc>
        <w:tc>
          <w:tcPr>
            <w:tcW w:type="dxa" w:w="2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Partición por sentencia; código esperado 42501; el asiento queda intacto</w:t>
            </w:r>
          </w:p>
        </w:tc>
        <w:tc>
          <w:tcPr>
            <w:tcW w:type="dxa" w:w="2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Bitácora de solo adición</w:t>
            </w:r>
          </w:p>
        </w:tc>
      </w:tr>
      <w:tr>
        <w:tc>
          <w:tcPr>
            <w:tcW w:type="dxa" w:w="2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CB-5 · El cambio de estado y su evento se confirman o se revierten juntos</w:t>
            </w:r>
          </w:p>
        </w:tc>
        <w:tc>
          <w:tcPr>
            <w:tcW w:type="dxa" w:w="16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ADR-01</w:t>
            </w:r>
          </w:p>
        </w:tc>
        <w:tc>
          <w:tcPr>
            <w:tcW w:type="dxa" w:w="2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Transacción confirmada frente a revertida tras escribir ambos</w:t>
            </w:r>
          </w:p>
        </w:tc>
        <w:tc>
          <w:tcPr>
            <w:tcW w:type="dxa" w:w="2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ADR-01 · confirmación conjunta</w:t>
            </w:r>
          </w:p>
        </w:tc>
      </w:tr>
      <w:tr>
        <w:tc>
          <w:tcPr>
            <w:tcW w:type="dxa" w:w="2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CB-6 · Restricciones de integridad</w:t>
            </w:r>
          </w:p>
        </w:tc>
        <w:tc>
          <w:tcPr>
            <w:tcW w:type="dxa" w:w="16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SYS-FN-01, 02, 05, 08 y 36; DIS-16, 21, 23, 36 y 37</w:t>
            </w:r>
          </w:p>
        </w:tc>
        <w:tc>
          <w:tcPr>
            <w:tcW w:type="dxa" w:w="2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Valores límite y clases inválidas: duplicado (23505), nulo (23502), vacío o fuera de dominio (23514), clave foránea inexistente (23503)</w:t>
            </w:r>
          </w:p>
        </w:tc>
        <w:tc>
          <w:tcPr>
            <w:tcW w:type="dxa" w:w="2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Restricciones de integridad</w:t>
            </w:r>
          </w:p>
        </w:tc>
      </w:tr>
      <w:tr>
        <w:tc>
          <w:tcPr>
            <w:tcW w:type="dxa" w:w="2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CB-7 · El contador de ADR-08 es compartido entre conexiones</w:t>
            </w:r>
          </w:p>
        </w:tc>
        <w:tc>
          <w:tcPr>
            <w:tcW w:type="dxa" w:w="16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ADR-08, PA-04</w:t>
            </w:r>
          </w:p>
        </w:tc>
        <w:tc>
          <w:tcPr>
            <w:tcW w:type="dxa" w:w="2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Concurrencia: 40 incrementos simultáneos desde dos grupos de conexiones</w:t>
            </w:r>
          </w:p>
        </w:tc>
        <w:tc>
          <w:tcPr>
            <w:tcW w:type="dxa" w:w="2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ADR-08 · contador compartido</w:t>
            </w:r>
          </w:p>
        </w:tc>
      </w:tr>
    </w:tbl>
    <w:p>
      <w:pPr>
        <w:pStyle w:val="Heading2"/>
      </w:pPr>
      <w:bookmarkStart w:name="_Toc10" w:id="10"/>
      <w:r>
        <w:t xml:space="preserve">2.4 Casos de prueba y procedimientos</w:t>
      </w:r>
      <w:bookmarkEnd w:id="10"/>
    </w:p>
    <w:p>
      <w:pPr>
        <w:spacing w:after="120" w:line="276"/>
        <w:jc w:val="both"/>
      </w:pPr>
      <w:r>
        <w:t xml:space="preserve">El procedimiento es el mismo para toda la suite: (1) arrancar un PostgreSQL 18.6 efímero; (2) crear los roles con claves de un solo uso; (3) aplicar las migraciones con el rol propietario, salvo en CB-1, que lo hace dentro de la prueba; (4) ejecutar la sentencia con el rol que corresponda; (5) comparar con el resultado esperado; (6) destruir el contenedor. Se ejecuta con </w:t>
      </w:r>
      <w:r>
        <w:rPr>
          <w:rFonts w:ascii="Consolas" w:cs="Consolas" w:eastAsia="Consolas" w:hAnsi="Consolas"/>
          <w:sz w:val="20"/>
          <w:szCs w:val="20"/>
        </w:rPr>
        <w:t xml:space="preserve">npm run test:bd</w:t>
      </w:r>
      <w:r>
        <w:t xml:space="preserve">. La tabla lista los casos con sus tiempos de la ejecución 39339908565 de la CI.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1778"/>
        <w:gridCol w:w="4586"/>
        <w:gridCol w:w="936"/>
        <w:gridCol w:w="1124"/>
      </w:tblGrid>
      <w:tr>
        <w:trPr>
          <w:tblHeader/>
        </w:trPr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Archivo</w:t>
            </w:r>
          </w:p>
        </w:tc>
        <w:tc>
          <w:tcPr>
            <w:tcW w:type="dxa" w:w="45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Caso</w:t>
            </w:r>
          </w:p>
        </w:tc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Tiempo</w:t>
            </w:r>
          </w:p>
        </w:tc>
        <w:tc>
          <w:tcPr>
            <w:tcW w:type="dxa" w:w="11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CP-BD-01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linea-base.spec.ts</w:t>
            </w:r>
          </w:p>
        </w:tc>
        <w:tc>
          <w:tcPr>
            <w:tcW w:type="dxa" w:w="45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ADR-05 · los privilegios de abasteceni_app sobre las tablas son exactamente los declarados</w:t>
            </w:r>
          </w:p>
        </w:tc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0,029 s</w:t>
            </w:r>
          </w:p>
        </w:tc>
        <w:tc>
          <w:tcPr>
            <w:tcW w:type="dxa" w:w="11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Pasa</w:t>
            </w:r>
          </w:p>
        </w:tc>
      </w:tr>
      <w:tr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CP-BD-02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linea-base.spec.ts</w:t>
            </w:r>
          </w:p>
        </w:tc>
        <w:tc>
          <w:tcPr>
            <w:tcW w:type="dxa" w:w="45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ADR-01 · el cambio de estado y su evento se confirman juntos o se revierten juntos</w:t>
            </w:r>
          </w:p>
        </w:tc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0,052 s</w:t>
            </w:r>
          </w:p>
        </w:tc>
        <w:tc>
          <w:tcPr>
            <w:tcW w:type="dxa" w:w="11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Pasa</w:t>
            </w:r>
          </w:p>
        </w:tc>
      </w:tr>
      <w:tr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CP-BD-03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linea-base.spec.ts</w:t>
            </w:r>
          </w:p>
        </w:tc>
        <w:tc>
          <w:tcPr>
            <w:tcW w:type="dxa" w:w="45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restricciones de integridad el RUC es único (SYS-FN-01)</w:t>
            </w:r>
          </w:p>
        </w:tc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0,013 s</w:t>
            </w:r>
          </w:p>
        </w:tc>
        <w:tc>
          <w:tcPr>
            <w:tcW w:type="dxa" w:w="11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Pasa</w:t>
            </w:r>
          </w:p>
        </w:tc>
      </w:tr>
      <w:tr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CP-BD-04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linea-base.spec.ts</w:t>
            </w:r>
          </w:p>
        </w:tc>
        <w:tc>
          <w:tcPr>
            <w:tcW w:type="dxa" w:w="45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restricciones de integridad razon_social es NOT NULL (SYS-FN-01, 02 y 36)</w:t>
            </w:r>
          </w:p>
        </w:tc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0,010 s</w:t>
            </w:r>
          </w:p>
        </w:tc>
        <w:tc>
          <w:tcPr>
            <w:tcW w:type="dxa" w:w="11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Pasa</w:t>
            </w:r>
          </w:p>
        </w:tc>
      </w:tr>
      <w:tr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CP-BD-05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linea-base.spec.ts</w:t>
            </w:r>
          </w:p>
        </w:tc>
        <w:tc>
          <w:tcPr>
            <w:tcW w:type="dxa" w:w="45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restricciones de integridad ruc es NOT NULL (SYS-FN-01, 02 y 36)</w:t>
            </w:r>
          </w:p>
        </w:tc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0,009 s</w:t>
            </w:r>
          </w:p>
        </w:tc>
        <w:tc>
          <w:tcPr>
            <w:tcW w:type="dxa" w:w="11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Pasa</w:t>
            </w:r>
          </w:p>
        </w:tc>
      </w:tr>
      <w:tr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CP-BD-06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linea-base.spec.ts</w:t>
            </w:r>
          </w:p>
        </w:tc>
        <w:tc>
          <w:tcPr>
            <w:tcW w:type="dxa" w:w="45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restricciones de integridad departamento es NOT NULL (SYS-FN-01, 02 y 36)</w:t>
            </w:r>
          </w:p>
        </w:tc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0,010 s</w:t>
            </w:r>
          </w:p>
        </w:tc>
        <w:tc>
          <w:tcPr>
            <w:tcW w:type="dxa" w:w="11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Pasa</w:t>
            </w:r>
          </w:p>
        </w:tc>
      </w:tr>
      <w:tr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CP-BD-07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linea-base.spec.ts</w:t>
            </w:r>
          </w:p>
        </w:tc>
        <w:tc>
          <w:tcPr>
            <w:tcW w:type="dxa" w:w="45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restricciones de integridad municipio es NOT NULL (SYS-FN-01, 02 y 36)</w:t>
            </w:r>
          </w:p>
        </w:tc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0,009 s</w:t>
            </w:r>
          </w:p>
        </w:tc>
        <w:tc>
          <w:tcPr>
            <w:tcW w:type="dxa" w:w="11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Pasa</w:t>
            </w:r>
          </w:p>
        </w:tc>
      </w:tr>
      <w:tr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CP-BD-08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linea-base.spec.ts</w:t>
            </w:r>
          </w:p>
        </w:tc>
        <w:tc>
          <w:tcPr>
            <w:tcW w:type="dxa" w:w="45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restricciones de integridad rubro es NOT NULL (SYS-FN-01, 02 y 36)</w:t>
            </w:r>
          </w:p>
        </w:tc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0,009 s</w:t>
            </w:r>
          </w:p>
        </w:tc>
        <w:tc>
          <w:tcPr>
            <w:tcW w:type="dxa" w:w="11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Pasa</w:t>
            </w:r>
          </w:p>
        </w:tc>
      </w:tr>
      <w:tr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CP-BD-09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linea-base.spec.ts</w:t>
            </w:r>
          </w:p>
        </w:tc>
        <w:tc>
          <w:tcPr>
            <w:tcW w:type="dxa" w:w="45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restricciones de integridad consentimiento_aceptado_en es NOT NULL (SYS-FN-01, 02 y 36)</w:t>
            </w:r>
          </w:p>
        </w:tc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0,009 s</w:t>
            </w:r>
          </w:p>
        </w:tc>
        <w:tc>
          <w:tcPr>
            <w:tcW w:type="dxa" w:w="11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Pasa</w:t>
            </w:r>
          </w:p>
        </w:tc>
      </w:tr>
      <w:tr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CP-BD-10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linea-base.spec.ts</w:t>
            </w:r>
          </w:p>
        </w:tc>
        <w:tc>
          <w:tcPr>
            <w:tcW w:type="dxa" w:w="45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restricciones de integridad registro_legal_clave es NOT NULL (SYS-FN-01, 02 y 36)</w:t>
            </w:r>
          </w:p>
        </w:tc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0,009 s</w:t>
            </w:r>
          </w:p>
        </w:tc>
        <w:tc>
          <w:tcPr>
            <w:tcW w:type="dxa" w:w="11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Pasa</w:t>
            </w:r>
          </w:p>
        </w:tc>
      </w:tr>
      <w:tr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CP-BD-11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linea-base.spec.ts</w:t>
            </w:r>
          </w:p>
        </w:tc>
        <w:tc>
          <w:tcPr>
            <w:tcW w:type="dxa" w:w="45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restricciones de integridad razon_social no admite texto vacío</w:t>
            </w:r>
          </w:p>
        </w:tc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0,010 s</w:t>
            </w:r>
          </w:p>
        </w:tc>
        <w:tc>
          <w:tcPr>
            <w:tcW w:type="dxa" w:w="11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Pasa</w:t>
            </w:r>
          </w:p>
        </w:tc>
      </w:tr>
      <w:tr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CP-BD-12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linea-base.spec.ts</w:t>
            </w:r>
          </w:p>
        </w:tc>
        <w:tc>
          <w:tcPr>
            <w:tcW w:type="dxa" w:w="45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restricciones de integridad departamento no admite texto vacío</w:t>
            </w:r>
          </w:p>
        </w:tc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0,009 s</w:t>
            </w:r>
          </w:p>
        </w:tc>
        <w:tc>
          <w:tcPr>
            <w:tcW w:type="dxa" w:w="11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Pasa</w:t>
            </w:r>
          </w:p>
        </w:tc>
      </w:tr>
      <w:tr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CP-BD-13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linea-base.spec.ts</w:t>
            </w:r>
          </w:p>
        </w:tc>
        <w:tc>
          <w:tcPr>
            <w:tcW w:type="dxa" w:w="45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restricciones de integridad municipio no admite texto vacío</w:t>
            </w:r>
          </w:p>
        </w:tc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0,009 s</w:t>
            </w:r>
          </w:p>
        </w:tc>
        <w:tc>
          <w:tcPr>
            <w:tcW w:type="dxa" w:w="11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Pasa</w:t>
            </w:r>
          </w:p>
        </w:tc>
      </w:tr>
      <w:tr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CP-BD-14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linea-base.spec.ts</w:t>
            </w:r>
          </w:p>
        </w:tc>
        <w:tc>
          <w:tcPr>
            <w:tcW w:type="dxa" w:w="45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restricciones de integridad rubro no admite texto vacío</w:t>
            </w:r>
          </w:p>
        </w:tc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0,009 s</w:t>
            </w:r>
          </w:p>
        </w:tc>
        <w:tc>
          <w:tcPr>
            <w:tcW w:type="dxa" w:w="11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Pasa</w:t>
            </w:r>
          </w:p>
        </w:tc>
      </w:tr>
      <w:tr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CP-BD-15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linea-base.spec.ts</w:t>
            </w:r>
          </w:p>
        </w:tc>
        <w:tc>
          <w:tcPr>
            <w:tcW w:type="dxa" w:w="45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restricciones de integridad el formato del RUC y los estados de la cuenta están restringidos (DIS-21, DIS-23)</w:t>
            </w:r>
          </w:p>
        </w:tc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0,018 s</w:t>
            </w:r>
          </w:p>
        </w:tc>
        <w:tc>
          <w:tcPr>
            <w:tcW w:type="dxa" w:w="11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Pasa</w:t>
            </w:r>
          </w:p>
        </w:tc>
      </w:tr>
      <w:tr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CP-BD-16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linea-base.spec.ts</w:t>
            </w:r>
          </w:p>
        </w:tc>
        <w:tc>
          <w:tcPr>
            <w:tcW w:type="dxa" w:w="45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restricciones de integridad el correo de la credencial es único (DIS-16)</w:t>
            </w:r>
          </w:p>
        </w:tc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0,020 s</w:t>
            </w:r>
          </w:p>
        </w:tc>
        <w:tc>
          <w:tcPr>
            <w:tcW w:type="dxa" w:w="11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Pasa</w:t>
            </w:r>
          </w:p>
        </w:tc>
      </w:tr>
      <w:tr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CP-BD-17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linea-base.spec.ts</w:t>
            </w:r>
          </w:p>
        </w:tc>
        <w:tc>
          <w:tcPr>
            <w:tcW w:type="dxa" w:w="45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restricciones de integridad SYS-FN-05 · la recuperación exige credencial existente, huella única y vigencia posterior a su creación (DIS-36)</w:t>
            </w:r>
          </w:p>
        </w:tc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0,050 s</w:t>
            </w:r>
          </w:p>
        </w:tc>
        <w:tc>
          <w:tcPr>
            <w:tcW w:type="dxa" w:w="11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Pasa</w:t>
            </w:r>
          </w:p>
        </w:tc>
      </w:tr>
      <w:tr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CP-BD-18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linea-base.spec.ts</w:t>
            </w:r>
          </w:p>
        </w:tc>
        <w:tc>
          <w:tcPr>
            <w:tcW w:type="dxa" w:w="45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restricciones de integridad SYS-FN-08 · la sesión exige su fecha de inicio, anterior o igual a su creación, y no nace desplazada (DIS-37)</w:t>
            </w:r>
          </w:p>
        </w:tc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0,030 s</w:t>
            </w:r>
          </w:p>
        </w:tc>
        <w:tc>
          <w:tcPr>
            <w:tcW w:type="dxa" w:w="11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Pasa</w:t>
            </w:r>
          </w:p>
        </w:tc>
      </w:tr>
      <w:tr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CP-BD-19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linea-base.spec.ts</w:t>
            </w:r>
          </w:p>
        </w:tc>
        <w:tc>
          <w:tcPr>
            <w:tcW w:type="dxa" w:w="45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ADR-08 · el contador de peticiones es compartido entre conexiones y atómico bajo concurrencia</w:t>
            </w:r>
          </w:p>
        </w:tc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0,079 s</w:t>
            </w:r>
          </w:p>
        </w:tc>
        <w:tc>
          <w:tcPr>
            <w:tcW w:type="dxa" w:w="11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Pasa</w:t>
            </w:r>
          </w:p>
        </w:tc>
      </w:tr>
      <w:tr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CP-BD-20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esquemas.spec.ts</w:t>
            </w:r>
          </w:p>
        </w:tc>
        <w:tc>
          <w:tcPr>
            <w:tcW w:type="dxa" w:w="45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las migraciones aplican desde cero y una segunda ejecución no tiene efecto</w:t>
            </w:r>
          </w:p>
        </w:tc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0,119 s</w:t>
            </w:r>
          </w:p>
        </w:tc>
        <w:tc>
          <w:tcPr>
            <w:tcW w:type="dxa" w:w="11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Pasa</w:t>
            </w:r>
          </w:p>
        </w:tc>
      </w:tr>
      <w:tr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CP-BD-21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esquemas.spec.ts</w:t>
            </w:r>
          </w:p>
        </w:tc>
        <w:tc>
          <w:tcPr>
            <w:tcW w:type="dxa" w:w="45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existe un esquema por módulo y el esquema transversal plataforma, propiedad de abasteceni_propietario</w:t>
            </w:r>
          </w:p>
        </w:tc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0,012 s</w:t>
            </w:r>
          </w:p>
        </w:tc>
        <w:tc>
          <w:tcPr>
            <w:tcW w:type="dxa" w:w="11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Pasa</w:t>
            </w:r>
          </w:p>
        </w:tc>
      </w:tr>
      <w:tr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CP-BD-22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esquemas.spec.ts</w:t>
            </w:r>
          </w:p>
        </w:tc>
        <w:tc>
          <w:tcPr>
            <w:tcW w:type="dxa" w:w="45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abasteceni_app usa los esquemas pero no puede crear objetos en ninguno</w:t>
            </w:r>
          </w:p>
        </w:tc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0,014 s</w:t>
            </w:r>
          </w:p>
        </w:tc>
        <w:tc>
          <w:tcPr>
            <w:tcW w:type="dxa" w:w="11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Pasa</w:t>
            </w:r>
          </w:p>
        </w:tc>
      </w:tr>
      <w:tr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CP-BD-23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esquemas.spec.ts</w:t>
            </w:r>
          </w:p>
        </w:tc>
        <w:tc>
          <w:tcPr>
            <w:tcW w:type="dxa" w:w="45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abasteceni_app no tiene privilegios de rol elevados</w:t>
            </w:r>
          </w:p>
        </w:tc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0,012 s</w:t>
            </w:r>
          </w:p>
        </w:tc>
        <w:tc>
          <w:tcPr>
            <w:tcW w:type="dxa" w:w="11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Pasa</w:t>
            </w:r>
          </w:p>
        </w:tc>
      </w:tr>
      <w:tr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CP-BD-24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bitacora.spec.ts</w:t>
            </w:r>
          </w:p>
        </w:tc>
        <w:tc>
          <w:tcPr>
            <w:tcW w:type="dxa" w:w="45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abasteceni_app puede insertar y leer asientos</w:t>
            </w:r>
          </w:p>
        </w:tc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0,010 s</w:t>
            </w:r>
          </w:p>
        </w:tc>
        <w:tc>
          <w:tcPr>
            <w:tcW w:type="dxa" w:w="11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Pasa</w:t>
            </w:r>
          </w:p>
        </w:tc>
      </w:tr>
      <w:tr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CP-BD-25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bitacora.spec.ts</w:t>
            </w:r>
          </w:p>
        </w:tc>
        <w:tc>
          <w:tcPr>
            <w:tcW w:type="dxa" w:w="45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UPDATE sobre la bitácora falla con el rol de la aplicación</w:t>
            </w:r>
          </w:p>
        </w:tc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0,019 s</w:t>
            </w:r>
          </w:p>
        </w:tc>
        <w:tc>
          <w:tcPr>
            <w:tcW w:type="dxa" w:w="11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Pasa</w:t>
            </w:r>
          </w:p>
        </w:tc>
      </w:tr>
      <w:tr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CP-BD-26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bitacora.spec.ts</w:t>
            </w:r>
          </w:p>
        </w:tc>
        <w:tc>
          <w:tcPr>
            <w:tcW w:type="dxa" w:w="45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DELETE sobre la bitácora falla con el rol de la aplicación</w:t>
            </w:r>
          </w:p>
        </w:tc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0,021 s</w:t>
            </w:r>
          </w:p>
        </w:tc>
        <w:tc>
          <w:tcPr>
            <w:tcW w:type="dxa" w:w="11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Pasa</w:t>
            </w:r>
          </w:p>
        </w:tc>
      </w:tr>
      <w:tr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CP-BD-27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bitacora.spec.ts</w:t>
            </w:r>
          </w:p>
        </w:tc>
        <w:tc>
          <w:tcPr>
            <w:tcW w:type="dxa" w:w="45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TRUNCATE sobre la bitácora falla con el rol de la aplicación</w:t>
            </w:r>
          </w:p>
        </w:tc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0,022 s</w:t>
            </w:r>
          </w:p>
        </w:tc>
        <w:tc>
          <w:tcPr>
            <w:tcW w:type="dxa" w:w="11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Pasa</w:t>
            </w:r>
          </w:p>
        </w:tc>
      </w:tr>
      <w:tr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CP-BD-28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bitacora.spec.ts</w:t>
            </w:r>
          </w:p>
        </w:tc>
        <w:tc>
          <w:tcPr>
            <w:tcW w:type="dxa" w:w="45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el gestor declara UPDATE, DELETE y TRUNCATE revocados para abasteceni_app</w:t>
            </w:r>
          </w:p>
        </w:tc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0,011 s</w:t>
            </w:r>
          </w:p>
        </w:tc>
        <w:tc>
          <w:tcPr>
            <w:tcW w:type="dxa" w:w="11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Pasa</w:t>
            </w:r>
          </w:p>
        </w:tc>
      </w:tr>
      <w:tr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CP-BD-29</w:t>
            </w:r>
          </w:p>
        </w:tc>
        <w:tc>
          <w:tcPr>
            <w:tcW w:type="dxa" w:w="1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bitacora.spec.ts</w:t>
            </w:r>
          </w:p>
        </w:tc>
        <w:tc>
          <w:tcPr>
            <w:tcW w:type="dxa" w:w="45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una transacción que inserta un asiento y luego falla no deja el asiento (ADR-01)</w:t>
            </w:r>
          </w:p>
        </w:tc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0,021 s</w:t>
            </w:r>
          </w:p>
        </w:tc>
        <w:tc>
          <w:tcPr>
            <w:tcW w:type="dxa" w:w="11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Pasa</w:t>
            </w:r>
          </w:p>
        </w:tc>
      </w:tr>
    </w:tbl>
    <w:p>
      <w:pPr>
        <w:pStyle w:val="Heading3"/>
      </w:pPr>
      <w:bookmarkStart w:name="_Toc11" w:id="11"/>
      <w:r>
        <w:t xml:space="preserve">Pruebas de persistencia en la batería principal</w:t>
      </w:r>
      <w:bookmarkEnd w:id="11"/>
    </w:p>
    <w:p>
      <w:pPr>
        <w:spacing w:after="120" w:line="276"/>
        <w:jc w:val="both"/>
      </w:pPr>
      <w:r>
        <w:t xml:space="preserve">Además de la suite propia, la batería principal ejecuta contra PostgreSQL real las suites de contrato de la bandeja de salida (AS-10) y de la bitácora (AS-08), las pruebas de los repositorios de M1 y M2 y la correspondencia entre las definiciones de esquema del código y las migraciones. En total son 14 casos más, todos en verde en la misma ejecución.</w:t>
      </w:r>
    </w:p>
    <w:p>
      <w:pPr>
        <w:pStyle w:val="Heading2"/>
      </w:pPr>
      <w:bookmarkStart w:name="_Toc12" w:id="12"/>
      <w:r>
        <w:t xml:space="preserve">2.5 Informe de finalización</w:t>
      </w:r>
      <w:bookmarkEnd w:id="12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9"/>
        <w:gridCol w:w="5991"/>
      </w:tblGrid>
      <w:tr>
        <w:trPr>
          <w:tblHeader/>
        </w:trPr>
        <w:tc>
          <w:tcPr>
            <w:tcW w:type="dxa" w:w="33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Medida</w:t>
            </w:r>
          </w:p>
        </w:tc>
        <w:tc>
          <w:tcPr>
            <w:tcW w:type="dxa" w:w="59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3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Casos de la suite de base de datos</w:t>
            </w:r>
          </w:p>
        </w:tc>
        <w:tc>
          <w:tcPr>
            <w:tcW w:type="dxa" w:w="59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29 ejecutados · 29 pasan · 0 fallan</w:t>
            </w:r>
          </w:p>
        </w:tc>
      </w:tr>
      <w:tr>
        <w:tc>
          <w:tcPr>
            <w:tcW w:type="dxa" w:w="33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Casos de persistencia en la batería principal</w:t>
            </w:r>
          </w:p>
        </w:tc>
        <w:tc>
          <w:tcPr>
            <w:tcW w:type="dxa" w:w="59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14 ejecutados · todos pasan</w:t>
            </w:r>
          </w:p>
        </w:tc>
      </w:tr>
      <w:tr>
        <w:tc>
          <w:tcPr>
            <w:tcW w:type="dxa" w:w="33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Condiciones de CLAUDE.md §6 cubiertas</w:t>
            </w:r>
          </w:p>
        </w:tc>
        <w:tc>
          <w:tcPr>
            <w:tcW w:type="dxa" w:w="59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7 de 7</w:t>
            </w:r>
          </w:p>
        </w:tc>
      </w:tr>
      <w:tr>
        <w:tc>
          <w:tcPr>
            <w:tcW w:type="dxa" w:w="33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Tiempo de la suite</w:t>
            </w:r>
          </w:p>
        </w:tc>
        <w:tc>
          <w:tcPr>
            <w:tcW w:type="dxa" w:w="59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0,654 s de ejecución de casos, sin contar el arranque de los contenedores</w:t>
            </w:r>
          </w:p>
        </w:tc>
      </w:tr>
      <w:tr>
        <w:tc>
          <w:tcPr>
            <w:tcW w:type="dxa" w:w="33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Ejecución de la CI</w:t>
            </w:r>
          </w:p>
        </w:tc>
        <w:tc>
          <w:tcPr>
            <w:tcW w:type="dxa" w:w="59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39339908565 sobre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dd13e02</w:t>
            </w:r>
            <w:r>
              <w:rPr>
                <w:sz w:val="18"/>
                <w:szCs w:val="18"/>
              </w:rPr>
              <w:t xml:space="preserve"> (rama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it-02/recuperacion</w:t>
            </w:r>
            <w:r>
              <w:rPr>
                <w:sz w:val="18"/>
                <w:szCs w:val="18"/>
              </w:rPr>
              <w:t xml:space="preserve">): 10/10 trabajos en verde</w:t>
            </w:r>
          </w:p>
        </w:tc>
      </w:tr>
      <w:tr>
        <w:tc>
          <w:tcPr>
            <w:tcW w:type="dxa" w:w="33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Ejecuciones anteriores</w:t>
            </w:r>
          </w:p>
        </w:tc>
        <w:tc>
          <w:tcPr>
            <w:tcW w:type="dxa" w:w="59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IT-00: 4 casos (39020586251). IT-01: 19 casos (39023391840). IT-02, tramo A: 27 casos (39033238576). SYS-FN-07: 27 casos (39042977012)</w:t>
            </w:r>
          </w:p>
        </w:tc>
      </w:tr>
      <w:tr>
        <w:tc>
          <w:tcPr>
            <w:tcW w:type="dxa" w:w="33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Reportes</w:t>
            </w:r>
          </w:p>
        </w:tc>
        <w:tc>
          <w:tcPr>
            <w:tcW w:type="dxa" w:w="59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docs/evidencia/pruebas/it-00/bd/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it-01/bd/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it-02/bd/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it-02/tramo-b/bd/</w:t>
            </w:r>
            <w:r>
              <w:rPr>
                <w:sz w:val="18"/>
                <w:szCs w:val="18"/>
              </w:rPr>
              <w:t xml:space="preserve"> 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it-02/tramo-bc/bd/</w:t>
            </w:r>
            <w:r>
              <w:rPr>
                <w:sz w:val="18"/>
                <w:szCs w:val="18"/>
              </w:rPr>
              <w:t xml:space="preserve"> (JUnit XML)</w:t>
            </w:r>
          </w:p>
        </w:tc>
      </w:tr>
    </w:tbl>
    <w:p>
      <w:pPr>
        <w:pStyle w:val="Heading3"/>
      </w:pPr>
      <w:bookmarkStart w:name="_Toc13" w:id="13"/>
      <w:r>
        <w:t xml:space="preserve">Incidencias durante la construcción</w:t>
      </w:r>
      <w:bookmarkEnd w:id="13"/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El recuento fijo de migraciones de CB-1 dejó de ser válido al añadir migraciones en IT-01. Se sustituyó por la lectura del diario de drizzle (</w:t>
      </w:r>
      <w:r>
        <w:rPr>
          <w:rFonts w:ascii="Consolas" w:cs="Consolas" w:eastAsia="Consolas" w:hAnsi="Consolas"/>
          <w:sz w:val="20"/>
          <w:szCs w:val="20"/>
        </w:rPr>
        <w:t xml:space="preserve">meta/_journal.json</w:t>
      </w:r>
      <w:r>
        <w:t xml:space="preserve">), para que la prueba no dependa del número de migraciones.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La lista exacta de privilegios de CB-3 detectó cada privilegio nuevo de IT-01 e IT-02. Toda concesión queda así revisada de forma explícita en la propia prueba.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Las columnas NOT NULL añadidas en IT-02 (consentimiento y registro legal) exigen migrar bases sin filas previas. Es aceptable porque aún no hay datos de producción.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La columna </w:t>
      </w:r>
      <w:r>
        <w:rPr>
          <w:rFonts w:ascii="Consolas" w:cs="Consolas" w:eastAsia="Consolas" w:hAnsi="Consolas"/>
          <w:sz w:val="20"/>
          <w:szCs w:val="20"/>
        </w:rPr>
        <w:t xml:space="preserve">iniciada_en</w:t>
      </w:r>
      <w:r>
        <w:t xml:space="preserve"> de SYS-FN-08 sí se migra sin perder filas: </w:t>
      </w:r>
      <w:r>
        <w:rPr>
          <w:rFonts w:ascii="Consolas" w:cs="Consolas" w:eastAsia="Consolas" w:hAnsi="Consolas"/>
          <w:sz w:val="20"/>
          <w:szCs w:val="20"/>
        </w:rPr>
        <w:t xml:space="preserve">0010</w:t>
      </w:r>
      <w:r>
        <w:t xml:space="preserve"> la añade sin restricción, la rellena con la fecha de creación de cada sesión y solo después exige NOT NULL. La generación automática de drizzle la habría añadido NOT NULL de entrada y habría fallado con sesiones existentes.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Al añadir </w:t>
      </w:r>
      <w:r>
        <w:rPr>
          <w:rFonts w:ascii="Consolas" w:cs="Consolas" w:eastAsia="Consolas" w:hAnsi="Consolas"/>
          <w:sz w:val="20"/>
          <w:szCs w:val="20"/>
        </w:rPr>
        <w:t xml:space="preserve">recuperaciones</w:t>
      </w:r>
      <w:r>
        <w:t xml:space="preserve">, la lista exacta de privilegios de CB-3 falló hasta declarar en la propia prueba los tres privilegios nuevos, como está previsto.</w:t>
      </w:r>
    </w:p>
    <w:p>
      <w:pPr>
        <w:pStyle w:val="Heading2"/>
      </w:pPr>
      <w:bookmarkStart w:name="_Toc14" w:id="14"/>
      <w:r>
        <w:t xml:space="preserve">2.6 Lo construido y verificado frente a lo pendiente</w:t>
      </w:r>
      <w:bookmarkEnd w:id="14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31"/>
        <w:gridCol w:w="3556"/>
        <w:gridCol w:w="1873"/>
      </w:tblGrid>
      <w:tr>
        <w:trPr>
          <w:tblHeader/>
        </w:trPr>
        <w:tc>
          <w:tcPr>
            <w:tcW w:type="dxa" w:w="39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Propiedad de la base de datos</w:t>
            </w:r>
          </w:p>
        </w:tc>
        <w:tc>
          <w:tcPr>
            <w:tcW w:type="dxa" w:w="35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1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Origen</w:t>
            </w:r>
          </w:p>
        </w:tc>
      </w:tr>
      <w:tr>
        <w:tc>
          <w:tcPr>
            <w:tcW w:type="dxa" w:w="39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Esquema por módulo; roles; privilegios exactos; bitácora inmutable; ADR-01; integridad; contador compartido</w:t>
            </w:r>
          </w:p>
        </w:tc>
        <w:tc>
          <w:tcPr>
            <w:tcW w:type="dxa" w:w="35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Construido, verificado e integrado en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main</w:t>
            </w:r>
          </w:p>
        </w:tc>
        <w:tc>
          <w:tcPr>
            <w:tcW w:type="dxa" w:w="1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PA-02, ADR-01, ADR-05, ADR-08</w:t>
            </w:r>
          </w:p>
        </w:tc>
      </w:tr>
      <w:tr>
        <w:tc>
          <w:tcPr>
            <w:tcW w:type="dxa" w:w="39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Cifrado en reposo AES-256</w:t>
            </w:r>
          </w:p>
        </w:tc>
        <w:tc>
          <w:tcPr>
            <w:tcW w:type="dxa" w:w="35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Pendiente: lo aporta el servicio gestionado de PostgreSQL de producción</w:t>
            </w:r>
          </w:p>
        </w:tc>
        <w:tc>
          <w:tcPr>
            <w:tcW w:type="dxa" w:w="1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SYS-NFN-01; ADR-09</w:t>
            </w:r>
          </w:p>
        </w:tc>
      </w:tr>
      <w:tr>
        <w:tc>
          <w:tcPr>
            <w:tcW w:type="dxa" w:w="39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Retención de la bitácora 90 días en acceso rápido y 7 años en archivo</w:t>
            </w:r>
          </w:p>
        </w:tc>
        <w:tc>
          <w:tcPr>
            <w:tcW w:type="dxa" w:w="35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Pendiente</w:t>
            </w:r>
          </w:p>
        </w:tc>
        <w:tc>
          <w:tcPr>
            <w:tcW w:type="dxa" w:w="1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SYS-NFN-04</w:t>
            </w:r>
          </w:p>
        </w:tc>
      </w:tr>
      <w:tr>
        <w:tc>
          <w:tcPr>
            <w:tcW w:type="dxa" w:w="39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Respaldo diario a las 02:00 e incrementales cada 6 horas; restauración de prueba</w:t>
            </w:r>
          </w:p>
        </w:tc>
        <w:tc>
          <w:tcPr>
            <w:tcW w:type="dxa" w:w="35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Pendiente: configuración del servicio gestionado</w:t>
            </w:r>
          </w:p>
        </w:tc>
        <w:tc>
          <w:tcPr>
            <w:tcW w:type="dxa" w:w="1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SYS-NFN-14</w:t>
            </w:r>
          </w:p>
        </w:tc>
      </w:tr>
      <w:tr>
        <w:tc>
          <w:tcPr>
            <w:tcW w:type="dxa" w:w="39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Réplica de lectura para búsqueda y tablero</w:t>
            </w:r>
          </w:p>
        </w:tc>
        <w:tc>
          <w:tcPr>
            <w:tcW w:type="dxa" w:w="35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Pendiente (IT-05)</w:t>
            </w:r>
          </w:p>
        </w:tc>
        <w:tc>
          <w:tcPr>
            <w:tcW w:type="dxa" w:w="1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ADR-03</w:t>
            </w:r>
          </w:p>
        </w:tc>
      </w:tr>
      <w:tr>
        <w:tc>
          <w:tcPr>
            <w:tcW w:type="dxa" w:w="39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Lectura administrativa de la bitácora</w:t>
            </w:r>
          </w:p>
        </w:tc>
        <w:tc>
          <w:tcPr>
            <w:tcW w:type="dxa" w:w="35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Pendiente (IT-09)</w:t>
            </w:r>
          </w:p>
        </w:tc>
        <w:tc>
          <w:tcPr>
            <w:tcW w:type="dxa" w:w="1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AS-12; SYS-FN-35</w:t>
            </w:r>
          </w:p>
        </w:tc>
      </w:tr>
    </w:tbl>
    <w:p>
      <w:pPr>
        <w:pStyle w:val="Heading1"/>
      </w:pPr>
      <w:bookmarkStart w:name="_Toc15" w:id="15"/>
      <w:r>
        <w:t xml:space="preserve">3. Conclusiones</w:t>
      </w:r>
      <w:bookmarkEnd w:id="15"/>
    </w:p>
    <w:p>
      <w:pPr>
        <w:spacing w:after="120" w:line="276"/>
        <w:jc w:val="both"/>
      </w:pPr>
      <w:r>
        <w:t xml:space="preserve">La base de datos de AbasteceNi materializa en el gestor, y no solo en el código, las propiedades que la arquitectura le asigna. La inmutabilidad de la bitácora es verificable por inspección, como pidió ADR-05: el rol de la aplicación no puede actualizar, borrar ni vaciar la tabla, y la prueba lo demuestra con el código de error del propio PostgreSQL. La frontera entre módulos se ve en el diagrama físico: un esquema por módulo y ninguna clave foránea entre esquemas.</w:t>
      </w:r>
    </w:p>
    <w:p>
      <w:pPr>
        <w:spacing w:after="120" w:line="276"/>
        <w:jc w:val="both"/>
      </w:pPr>
      <w:r>
        <w:t xml:space="preserve">La suite propia cubre las siete condiciones exigidas, con 29 casos que se ejecutan en cada cambio contra un PostgreSQL real y efímero. Separarla de la batería principal permite informarla por sí misma y leer su evolución por iteración: 4, 19, 27 y 29 casos. Las propiedades que dependen de la plataforma de producción (cifrado en reposo, retención, respaldos y réplica) quedan declaradas como pendientes con su requisito de origen.</w:t>
      </w:r>
    </w:p>
    <w:p>
      <w:pPr>
        <w:pStyle w:val="Heading1"/>
      </w:pPr>
      <w:bookmarkStart w:name="_Toc16" w:id="16"/>
      <w:r>
        <w:t xml:space="preserve">4. Referencias normativas y bibliográficas</w:t>
      </w:r>
      <w:bookmarkEnd w:id="16"/>
    </w:p>
    <w:p>
      <w:pPr>
        <w:spacing w:after="120" w:line="276"/>
        <w:jc w:val="both"/>
      </w:pPr>
      <w:r>
        <w:t xml:space="preserve">[1] ISO/IEC/IEEE 29119-1:2022. </w:t>
      </w:r>
      <w:r>
        <w:rPr>
          <w:i/>
          <w:iCs/>
        </w:rPr>
        <w:t xml:space="preserve">Software and systems engineering — Software testing — Part 1: General concepts</w:t>
      </w:r>
      <w:r>
        <w:t xml:space="preserve">.</w:t>
      </w:r>
    </w:p>
    <w:p>
      <w:pPr>
        <w:spacing w:after="120" w:line="276"/>
        <w:jc w:val="both"/>
      </w:pPr>
      <w:r>
        <w:t xml:space="preserve">[2] ISO/IEC/IEEE 29119-2:2021. </w:t>
      </w:r>
      <w:r>
        <w:rPr>
          <w:i/>
          <w:iCs/>
        </w:rPr>
        <w:t xml:space="preserve">Software and systems engineering — Software testing — Part 2: Test processes</w:t>
      </w:r>
      <w:r>
        <w:t xml:space="preserve">.</w:t>
      </w:r>
    </w:p>
    <w:p>
      <w:pPr>
        <w:spacing w:after="120" w:line="276"/>
        <w:jc w:val="both"/>
      </w:pPr>
      <w:r>
        <w:t xml:space="preserve">[3] ISO/IEC/IEEE 29119-3:2021. </w:t>
      </w:r>
      <w:r>
        <w:rPr>
          <w:i/>
          <w:iCs/>
        </w:rPr>
        <w:t xml:space="preserve">Software and systems engineering — Software testing — Part 3: Test documentation</w:t>
      </w:r>
      <w:r>
        <w:t xml:space="preserve">.</w:t>
      </w:r>
    </w:p>
    <w:p>
      <w:pPr>
        <w:spacing w:after="120" w:line="276"/>
        <w:jc w:val="both"/>
      </w:pPr>
      <w:r>
        <w:t xml:space="preserve">[4] ISO/IEC 27002:2022. </w:t>
      </w:r>
      <w:r>
        <w:rPr>
          <w:i/>
          <w:iCs/>
        </w:rPr>
        <w:t xml:space="preserve">Information security, cybersecurity and privacy protection — Information security controls</w:t>
      </w:r>
      <w:r>
        <w:t xml:space="preserve">, control 8.31.</w:t>
      </w:r>
    </w:p>
    <w:p>
      <w:pPr>
        <w:spacing w:after="120" w:line="276"/>
        <w:jc w:val="both"/>
      </w:pPr>
      <w:r>
        <w:t xml:space="preserve">[5] The PostgreSQL Global Development Group. </w:t>
      </w:r>
      <w:r>
        <w:rPr>
          <w:i/>
          <w:iCs/>
        </w:rPr>
        <w:t xml:space="preserve">PostgreSQL 18 Documentation</w:t>
      </w:r>
      <w:r>
        <w:t xml:space="preserve">: privilegios (GRANT, REVOKE), catálogos del sistema y códigos de error SQLSTATE.</w:t>
      </w:r>
    </w:p>
    <w:p>
      <w:pPr>
        <w:spacing w:after="120" w:line="276"/>
        <w:jc w:val="both"/>
      </w:pPr>
      <w:r>
        <w:t xml:space="preserve">[6] Serie AbasteceNi: D2 v1.1, D3 v1.1 (PA-02, PA-06, ADR-01, ADR-05), registro de decisiones (ADR-07, ADR-08) (</w:t>
      </w:r>
      <w:r>
        <w:rPr>
          <w:rFonts w:ascii="Consolas" w:cs="Consolas" w:eastAsia="Consolas" w:hAnsi="Consolas"/>
          <w:sz w:val="20"/>
          <w:szCs w:val="20"/>
        </w:rPr>
        <w:t xml:space="preserve">docs/</w:t>
      </w:r>
      <w:r>
        <w:t xml:space="preserve">).</w:t>
      </w:r>
    </w:p>
    <w:p>
      <w:pPr>
        <w:pStyle w:val="Heading1"/>
      </w:pPr>
      <w:bookmarkStart w:name="_Toc17" w:id="17"/>
      <w:r>
        <w:t xml:space="preserve">5. Anexos</w:t>
      </w:r>
      <w:bookmarkEnd w:id="17"/>
    </w:p>
    <w:p>
      <w:pPr>
        <w:pStyle w:val="Heading2"/>
      </w:pPr>
      <w:bookmarkStart w:name="_Toc18" w:id="18"/>
      <w:r>
        <w:t xml:space="preserve">Anexo A — Privilegios declarados de abasteceni_app</w:t>
      </w:r>
      <w:bookmarkEnd w:id="1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2246"/>
        <w:gridCol w:w="3932"/>
      </w:tblGrid>
      <w:tr>
        <w:trPr>
          <w:tblHeader/>
        </w:trPr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Tabla</w:t>
            </w:r>
          </w:p>
        </w:tc>
        <w:tc>
          <w:tcPr>
            <w:tcW w:type="dxa" w:w="22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Privilegios</w:t>
            </w:r>
          </w:p>
        </w:tc>
        <w:tc>
          <w:tcPr>
            <w:tcW w:type="dxa" w:w="39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Justificación</w:t>
            </w:r>
          </w:p>
        </w:tc>
      </w:tr>
      <w:tr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m1_usuarios.cuentas_comerciales</w:t>
            </w:r>
          </w:p>
        </w:tc>
        <w:tc>
          <w:tcPr>
            <w:tcW w:type="dxa" w:w="22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SELECT, INSERT, UPDATE</w:t>
            </w:r>
          </w:p>
        </w:tc>
        <w:tc>
          <w:tcPr>
            <w:tcW w:type="dxa" w:w="39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Registro (SYS-FN-01) y validación (SYS-FN-03)</w:t>
            </w:r>
          </w:p>
        </w:tc>
      </w:tr>
      <w:tr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m2_seguridad.credenciales</w:t>
            </w:r>
          </w:p>
        </w:tc>
        <w:tc>
          <w:tcPr>
            <w:tcW w:type="dxa" w:w="22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SELECT, INSERT, UPDATE</w:t>
            </w:r>
          </w:p>
        </w:tc>
        <w:tc>
          <w:tcPr>
            <w:tcW w:type="dxa" w:w="39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Registro de la credencial y habilitación (DIS-25)</w:t>
            </w:r>
          </w:p>
        </w:tc>
      </w:tr>
      <w:tr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m2_seguridad.sesiones</w:t>
            </w:r>
          </w:p>
        </w:tc>
        <w:tc>
          <w:tcPr>
            <w:tcW w:type="dxa" w:w="22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SELECT, INSERT, UPDATE</w:t>
            </w:r>
          </w:p>
        </w:tc>
        <w:tc>
          <w:tcPr>
            <w:tcW w:type="dxa" w:w="39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Emisión, rotación y revocación (ADR-04); desplazamiento de la sesión más antigua (SYS-FN-08)</w:t>
            </w:r>
          </w:p>
        </w:tc>
      </w:tr>
      <w:tr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m2_seguridad.recuperaciones</w:t>
            </w:r>
          </w:p>
        </w:tc>
        <w:tc>
          <w:tcPr>
            <w:tcW w:type="dxa" w:w="22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SELECT, INSERT, UPDATE</w:t>
            </w:r>
          </w:p>
        </w:tc>
        <w:tc>
          <w:tcPr>
            <w:tcW w:type="dxa" w:w="39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Solicitud, anulación y uso del enlace (SYS-FN-05); sin DELETE: las solicitudes no se borran</w:t>
            </w:r>
          </w:p>
        </w:tc>
      </w:tr>
      <w:tr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m9_administracion.bitacora</w:t>
            </w:r>
          </w:p>
        </w:tc>
        <w:tc>
          <w:tcPr>
            <w:tcW w:type="dxa" w:w="22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SELECT, INSERT</w:t>
            </w:r>
          </w:p>
        </w:tc>
        <w:tc>
          <w:tcPr>
            <w:tcW w:type="dxa" w:w="39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Solo adición (ADR-05); UPDATE, DELETE y TRUNCATE revocados</w:t>
            </w:r>
          </w:p>
        </w:tc>
      </w:tr>
      <w:tr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plataforma.bandeja_salida</w:t>
            </w:r>
          </w:p>
        </w:tc>
        <w:tc>
          <w:tcPr>
            <w:tcW w:type="dxa" w:w="22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SELECT, INSERT, UPDATE</w:t>
            </w:r>
          </w:p>
        </w:tc>
        <w:tc>
          <w:tcPr>
            <w:tcW w:type="dxa" w:w="39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Publicación en la transacción y marca de publicado (ADR-01)</w:t>
            </w:r>
          </w:p>
        </w:tc>
      </w:tr>
      <w:tr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plataforma.contador_peticiones</w:t>
            </w:r>
          </w:p>
        </w:tc>
        <w:tc>
          <w:tcPr>
            <w:tcW w:type="dxa" w:w="22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SELECT, INSERT, UPDATE, DELETE</w:t>
            </w:r>
          </w:p>
        </w:tc>
        <w:tc>
          <w:tcPr>
            <w:tcW w:type="dxa" w:w="39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Contador y purga de ventanas vencidas (ADR-08)</w:t>
            </w:r>
          </w:p>
        </w:tc>
      </w:tr>
    </w:tbl>
    <w:p>
      <w:pPr>
        <w:pStyle w:val="Heading2"/>
      </w:pPr>
      <w:bookmarkStart w:name="_Toc19" w:id="19"/>
      <w:r>
        <w:t xml:space="preserve">Anexo B — Reproducción</w:t>
      </w:r>
      <w:bookmarkEnd w:id="19"/>
    </w:p>
    <w:p>
      <w:pPr>
        <w:spacing w:after="120" w:line="276"/>
        <w:jc w:val="both"/>
      </w:pPr>
      <w:r>
        <w:t xml:space="preserve">Desde </w:t>
      </w:r>
      <w:r>
        <w:rPr>
          <w:rFonts w:ascii="Consolas" w:cs="Consolas" w:eastAsia="Consolas" w:hAnsi="Consolas"/>
          <w:sz w:val="20"/>
          <w:szCs w:val="20"/>
        </w:rPr>
        <w:t xml:space="preserve">apps/backend</w:t>
      </w:r>
      <w:r>
        <w:t xml:space="preserve">, con Docker en marcha: </w:t>
      </w:r>
      <w:r>
        <w:rPr>
          <w:rFonts w:ascii="Consolas" w:cs="Consolas" w:eastAsia="Consolas" w:hAnsi="Consolas"/>
          <w:sz w:val="20"/>
          <w:szCs w:val="20"/>
        </w:rPr>
        <w:t xml:space="preserve">npm run test:bd</w:t>
      </w:r>
      <w:r>
        <w:t xml:space="preserve"> ejecuta la suite y deja el reporte en </w:t>
      </w:r>
      <w:r>
        <w:rPr>
          <w:rFonts w:ascii="Consolas" w:cs="Consolas" w:eastAsia="Consolas" w:hAnsi="Consolas"/>
          <w:sz w:val="20"/>
          <w:szCs w:val="20"/>
        </w:rPr>
        <w:t xml:space="preserve">docs/evidencia/pruebas/bd/junit.xml</w:t>
      </w:r>
      <w:r>
        <w:t xml:space="preserve">. Desde la raíz del repositorio: </w:t>
      </w:r>
      <w:r>
        <w:rPr>
          <w:rFonts w:ascii="Consolas" w:cs="Consolas" w:eastAsia="Consolas" w:hAnsi="Consolas"/>
          <w:sz w:val="20"/>
          <w:szCs w:val="20"/>
        </w:rPr>
        <w:t xml:space="preserve">bash herramientas/bd/diagrama-fisico.sh</w:t>
      </w:r>
      <w:r>
        <w:t xml:space="preserve"> regenera el diagrama físico en </w:t>
      </w:r>
      <w:r>
        <w:rPr>
          <w:rFonts w:ascii="Consolas" w:cs="Consolas" w:eastAsia="Consolas" w:hAnsi="Consolas"/>
          <w:sz w:val="20"/>
          <w:szCs w:val="20"/>
        </w:rPr>
        <w:t xml:space="preserve">docs/evidencia/esquema-fisico/</w:t>
      </w:r>
      <w:r>
        <w:t xml:space="preserve">, producto derivado que no se versiona (DML-03).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2240" w:h="15840" w:orient="portrait"/>
      <w:pgMar w:top="1300" w:right="1440" w:bottom="1300" w:left="144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6"/>
        <w:szCs w:val="16"/>
      </w:rPr>
      <w:t xml:space="preserve">AbasteceNi — Informe 4b: Pruebas a la base de datos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 Light" w:cs="Calibri Light" w:eastAsia="Calibri Light" w:hAnsi="Calibri Light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 Light" w:cs="Calibri Light" w:eastAsia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 Light" w:cs="Calibri Light" w:eastAsia="Calibri Light" w:hAnsi="Calibri Light"/>
      <w:color w:val="1F4D78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d18863645d5e864b819e4964c269effef8a2d5d6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Pruebas a la base de datos</dc:title>
  <dc:creator>Equipo AbasteceNi (U-01)</dc:creator>
  <dc:description>Informe 4b de la fase de desarrollo de AbasteceNi</dc:description>
  <cp:lastModifiedBy>Un-named</cp:lastModifiedBy>
  <cp:revision>1</cp:revision>
  <dcterms:created xsi:type="dcterms:W3CDTF">2026-10-20T02:11:21.799Z</dcterms:created>
  <dcterms:modified xsi:type="dcterms:W3CDTF">2026-10-20T02:11:21.799Z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