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(tramo A): registro de cuentas, carga del registro legal, inicio de sesión sin estado, validación administrativa, bitácora inmutable y consentimiento. IT-00 e IT-01 están integradas en </w:t>
      </w:r>
      <w:r>
        <w:rPr>
          <w:rFonts w:ascii="Consolas" w:cs="Consolas" w:eastAsia="Consolas" w:hAnsi="Consolas"/>
          <w:sz w:val="20"/>
          <w:szCs w:val="20"/>
        </w:rPr>
        <w:t xml:space="preserve">main</w:t>
      </w:r>
      <w:r>
        <w:t xml:space="preserve"> (PR #1 y #2). IT-02 (tramo A) está </w:t>
      </w:r>
      <w:r>
        <w:rPr>
          <w:b/>
          <w:bCs/>
        </w:rPr>
        <w:t xml:space="preserve">construida y verificada, pendiente de la revisión cruzada</w:t>
      </w:r>
      <w:r>
        <w:t xml:space="preserve"> (PR #3) para integrarse (DM-04, condiciones 5 y 6), y por eso se presenta como construida en rama y no como parte del incremento integrado. Los requisitos de seguridad de los tramos B y C (SYS-FN-05 a 08) y los que dependen de la infraestructura de producción (SYS-NFN-01 y 02) se declaran como pendientes.</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9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bloqueo por intentos (SYS-FN-07)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y SYS-NFN-03 verificados; resto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apps/backend/src/dominio/m2-seguridad/servicio-seguridad.ts:90</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servicio-seguridad.ts:158</w:t>
      </w:r>
      <w:r>
        <w:t xml:space="preserve">), la rota en cada uso y revoca la anterior (</w:t>
      </w:r>
      <w:r>
        <w:rPr>
          <w:rFonts w:ascii="Consolas" w:cs="Consolas" w:eastAsia="Consolas" w:hAnsi="Consolas"/>
          <w:sz w:val="20"/>
          <w:szCs w:val="20"/>
        </w:rPr>
        <w:t xml:space="preserve">:106</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apps/backend/src/aplicacion/m2-seguridad/sesiones.controller.ts:63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Pendiente:</w:t>
      </w:r>
      <w:r>
        <w:t xml:space="preserve"> bloqueo tras cinco intentos fallidos (SYS-FN-07, ASVS V2.2.1), límite de dos dispositivos (SYS-FN-08), segundo factor TOTP (SYS-FN-06) y recuperación por enlace temporal (SYS-FN-05), es decir, los tramos B y C. Hasta entonces, el límite de 120 peticiones por minuto e IP mitiga parcialmente los ataques de fuerza bruta.</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apps/backend/src/aplicacion/transversal/registro-peticiones.interceptor.ts:17</w:t>
      </w:r>
      <w:r>
        <w:t xml:space="preserve">). El filtro de errores registra solo el tipo del error, nunca su mensaje (</w:t>
      </w:r>
      <w:r>
        <w:rPr>
          <w:rFonts w:ascii="Consolas" w:cs="Consolas" w:eastAsia="Consolas" w:hAnsi="Consolas"/>
          <w:sz w:val="20"/>
          <w:szCs w:val="20"/>
        </w:rPr>
        <w:t xml:space="preserve">filtro-errores.filter.ts:77</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y la decisión del Administrador,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sesiones.controller.ts:63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V2.4.1 (argon2id)</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V2.2.1 (bloqueo, SYS-FN-07), V2.5 (recuperación, SYS-FN-05), V2.8 (TOTP, SYS-FN-06)</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lo de IT-01 integrado en </w:t>
            </w:r>
            <w:r>
              <w:rPr>
                <w:rFonts w:ascii="Consolas" w:cs="Consolas" w:eastAsia="Consolas" w:hAnsi="Consolas"/>
                <w:sz w:val="18"/>
                <w:szCs w:val="18"/>
              </w:rPr>
              <w:t xml:space="preserve">main</w:t>
            </w:r>
            <w:r>
              <w:rPr>
                <w:sz w:val="18"/>
                <w:szCs w:val="18"/>
              </w:rPr>
              <w:t xml:space="preserve">, lo de IT-02 pendiente de la revisión cruzada (PR #3)</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06, 07 y 08 (recuperación, TOTP, bloqueo,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tramos B y C de IT-02, no construidos a la fecha de corte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una alerta de gravedad alta. Se analizó y se descartó con justificación documentada, porque corresponde a una decisión de arquitectura cuyas protecciones están implementadas y probadas. La auditoría de dependencias no tiene hallazgos altos ni críticos. Los requisitos de seguridad pendientes están identificados: bloqueo por intentos, recuperación, segundo factor y límite de dispositivos (tramos B y C),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2026-10-17T13:33:29.668Z</dcterms:created>
  <dcterms:modified xsi:type="dcterms:W3CDTF">2026-10-17T13:33:29.668Z</dcterms:modified>
</cp:coreProperties>
</file>

<file path=docProps/custom.xml><?xml version="1.0" encoding="utf-8"?>
<Properties xmlns="http://schemas.openxmlformats.org/officeDocument/2006/custom-properties" xmlns:vt="http://schemas.openxmlformats.org/officeDocument/2006/docPropsVTypes"/>
</file>