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UNIVERSIDAD NACIONAL DE INGENIERÍA</w:t>
      </w:r>
    </w:p>
    <w:p>
      <w:pPr>
        <w:spacing w:after="80"/>
        <w:jc w:val="center"/>
      </w:pPr>
      <w:r>
        <w:rPr>
          <w:sz w:val="24"/>
          <w:szCs w:val="24"/>
        </w:rPr>
        <w:t xml:space="preserve">ÁREA DACTIC</w:t>
      </w:r>
    </w:p>
    <w:p>
      <w:pPr>
        <w:spacing w:after="80"/>
        <w:jc w:val="center"/>
      </w:pPr>
      <w:r>
        <w:rPr>
          <w:sz w:val="24"/>
          <w:szCs w:val="24"/>
        </w:rPr>
        <w:t xml:space="preserve">Programa Académico de Ingeniería en Computación</w:t>
      </w:r>
    </w:p>
    <w:p>
      <w:pPr>
        <w:spacing w:after="600"/>
        <w:jc w:val="center"/>
      </w:pPr>
      <w:r>
        <w:rPr>
          <w:b/>
          <w:bCs/>
          <w:sz w:val="24"/>
          <w:szCs w:val="24"/>
        </w:rPr>
        <w:t xml:space="preserve">INGENIERÍA DE SOFTWARE I</w:t>
      </w:r>
    </w:p>
    <w:p>
      <w:pPr>
        <w:spacing w:after="160"/>
        <w:jc w:val="center"/>
      </w:pPr>
      <w:r>
        <w:rPr>
          <w:b/>
          <w:bCs/>
          <w:color w:val="2E74B5"/>
          <w:sz w:val="36"/>
          <w:szCs w:val="36"/>
        </w:rPr>
        <w:t xml:space="preserve">INFORME TÉCNICO: PRUEBAS DE SISTEMA</w:t>
      </w:r>
    </w:p>
    <w:p>
      <w:pPr>
        <w:spacing w:after="160"/>
        <w:jc w:val="center"/>
      </w:pPr>
      <w:r>
        <w:rPr>
          <w:sz w:val="26"/>
          <w:szCs w:val="26"/>
        </w:rPr>
        <w:t xml:space="preserve">Extremo a extremo con Playwright e integración HTTP contra el contrato</w:t>
      </w:r>
    </w:p>
    <w:p>
      <w:pPr>
        <w:spacing w:after="80"/>
        <w:jc w:val="center"/>
      </w:pPr>
      <w:r>
        <w:rPr>
          <w:sz w:val="24"/>
          <w:szCs w:val="24"/>
        </w:rPr>
        <w:t xml:space="preserve">Plataforma Web B2B de Emparejamiento Comercial «AbasteceNi»</w:t>
      </w:r>
    </w:p>
    <w:p>
      <w:pPr>
        <w:spacing w:after="480"/>
        <w:jc w:val="center"/>
      </w:pPr>
      <w:r>
        <w:rPr>
          <w:i/>
          <w:iCs/>
          <w:sz w:val="22"/>
          <w:szCs w:val="22"/>
        </w:rPr>
        <w:t xml:space="preserve">Empresa simulada AbasteceNi, S.A. — Informe 4a de la fase de desarrollo</w:t>
      </w:r>
    </w:p>
    <w:p>
      <w:pPr>
        <w:spacing w:after="80"/>
        <w:jc w:val="center"/>
      </w:pPr>
      <w:r>
        <w:rPr>
          <w:b/>
          <w:bCs/>
          <w:sz w:val="22"/>
          <w:szCs w:val="22"/>
        </w:rPr>
        <w:t xml:space="preserve">Marco normativo rector</w:t>
      </w:r>
    </w:p>
    <w:p>
      <w:pPr>
        <w:spacing w:after="80"/>
        <w:jc w:val="center"/>
      </w:pPr>
      <w:r>
        <w:rPr>
          <w:sz w:val="20"/>
          <w:szCs w:val="20"/>
        </w:rPr>
        <w:t xml:space="preserve">ISO/IEC/IEEE 29119-1, 29119-2 y 29119-3 — pruebas de software</w:t>
      </w:r>
    </w:p>
    <w:p>
      <w:pPr>
        <w:spacing w:after="80"/>
        <w:jc w:val="center"/>
      </w:pPr>
      <w:r>
        <w:rPr>
          <w:sz w:val="20"/>
          <w:szCs w:val="20"/>
        </w:rPr>
        <w:t xml:space="preserve">ISO/IEC/IEEE 29148:2011 — verificabilidad de los requisitos</w:t>
      </w:r>
    </w:p>
    <w:p>
      <w:pPr>
        <w:spacing w:after="80"/>
        <w:jc w:val="center"/>
      </w:pPr>
      <w:r>
        <w:rPr>
          <w:sz w:val="20"/>
          <w:szCs w:val="20"/>
        </w:rPr>
        <w:t xml:space="preserve">Serie AbasteceNi: D2 (CT-REG-01, CT-REG-02, CT-ADM-03, CT-SEG-04), D4 (§2.13, DM-04), D5 (MD-05)</w:t>
      </w:r>
    </w:p>
    <w:p>
      <w:pPr>
        <w:spacing w:after="480"/>
      </w:pPr>
    </w:p>
    <w:p>
      <w:pPr>
        <w:spacing w:after="80"/>
        <w:jc w:val="center"/>
      </w:pPr>
      <w:r>
        <w:rPr>
          <w:b/>
          <w:bCs/>
          <w:sz w:val="22"/>
          <w:szCs w:val="22"/>
        </w:rPr>
        <w:t xml:space="preserve">Integrantes</w:t>
      </w:r>
    </w:p>
    <w:p>
      <w:pPr>
        <w:spacing w:after="80"/>
        <w:jc w:val="center"/>
      </w:pPr>
      <w:r>
        <w:rPr>
          <w:sz w:val="22"/>
          <w:szCs w:val="22"/>
        </w:rPr>
        <w:t xml:space="preserve">Edith Yasohara Roda Hernández — 2023-0752U</w:t>
      </w:r>
    </w:p>
    <w:p>
      <w:pPr>
        <w:spacing w:after="80"/>
        <w:jc w:val="center"/>
      </w:pPr>
      <w:r>
        <w:rPr>
          <w:sz w:val="22"/>
          <w:szCs w:val="22"/>
        </w:rPr>
        <w:t xml:space="preserve">Pedro José Miranda Gómez — 2022-0288U</w:t>
      </w:r>
    </w:p>
    <w:p>
      <w:pPr>
        <w:spacing w:after="0"/>
        <w:jc w:val="center"/>
      </w:pPr>
      <w:r>
        <w:rPr>
          <w:sz w:val="22"/>
          <w:szCs w:val="22"/>
        </w:rPr>
        <w:t xml:space="preserve">Grupo: 4S1-COM · Versión 1.0 · 17 de octubre de 2026</w:t>
      </w:r>
    </w:p>
    <w:p>
      <w:r>
        <w:br w:type="page"/>
      </w:r>
    </w:p>
    <w:p>
      <w:pPr>
        <w:spacing w:after="120"/>
      </w:pPr>
      <w:r>
        <w:rPr>
          <w:b/>
          <w:bCs/>
          <w:color w:val="2E74B5"/>
          <w:sz w:val="28"/>
          <w:szCs w:val="28"/>
        </w:rPr>
        <w:t xml:space="preserve">Tabla de contenido</w:t>
      </w:r>
    </w:p>
    <w:p>
      <w:pPr>
        <w:spacing w:after="120" w:line="276"/>
        <w:jc w:val="both"/>
      </w:pPr>
      <w:r>
        <w:rPr>
          <w:i/>
          <w:iCs/>
          <w:color w:val="595959"/>
          <w:sz w:val="18"/>
          <w:szCs w:val="18"/>
        </w:rPr>
        <w:t xml:space="preserve">Si el índice aparece vacío, haga clic derecho sobre él y elija «Actualizar campo».</w:t>
      </w:r>
    </w:p>
    <w:sdt>
      <w:sdtPr>
        <w:alias w:val="Tabla de 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Propósito del documento</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Alcance y estado de integración</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Insumos heredados de la serie</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1.4 Normas aplicables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Desarrollo</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Plan de prueba</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Especificación del diseño de pruebas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Procedimiento de prueba</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2.4 Casos de prueba de extremo a extremo y resultados</w:t>
            </w:r>
            <w:r>
              <w:tab/>
            </w:r>
            <w:r>
              <w:fldChar w:fldCharType="begin" w:dirty="true"/>
              <w:instrText xml:space="preserve">PAGEREF _Toc10 \h</w:instrText>
              <w:fldChar w:fldCharType="separate"/>
              <w:fldChar w:fldCharType="end"/>
            </w:r>
          </w:hyperlink>
        </w:p>
        <w:p>
          <w:pPr>
            <w:pStyle w:val="TOC3"/>
            <w:tabs>
              <w:tab w:val="right" w:pos="9360" w:leader="dot"/>
            </w:tabs>
            <w:ind w:left="440"/>
          </w:pPr>
          <w:hyperlink w:history="1" w:anchor="_Toc11">
            <w:r>
              <w:t xml:space="preserve">Casos de integración HTTP</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2.5 Trazabilidad de los criterios de aceptación</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2.6 Informe de finalización</w:t>
            </w:r>
            <w:r>
              <w:tab/>
            </w:r>
            <w:r>
              <w:fldChar w:fldCharType="begin" w:dirty="true"/>
              <w:instrText xml:space="preserve">PAGEREF _Toc13 \h</w:instrText>
              <w:fldChar w:fldCharType="separate"/>
              <w:fldChar w:fldCharType="end"/>
            </w:r>
          </w:hyperlink>
        </w:p>
        <w:p>
          <w:pPr>
            <w:pStyle w:val="TOC3"/>
            <w:tabs>
              <w:tab w:val="right" w:pos="9360" w:leader="dot"/>
            </w:tabs>
            <w:ind w:left="440"/>
          </w:pPr>
          <w:hyperlink w:history="1" w:anchor="_Toc14">
            <w:r>
              <w:t xml:space="preserve">Defectos detectados por las pruebas y corregidos</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2.7 Lo construido y verificado frente a lo pendiente</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3. Conclusiones</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4. Referencias normativas y bibliográficas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5. Anexos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Anexo A — Reportes</w:t>
            </w:r>
            <w:r>
              <w:tab/>
            </w:r>
            <w:r>
              <w:fldChar w:fldCharType="begin" w:dirty="true"/>
              <w:instrText xml:space="preserve">PAGEREF _Toc19 \h</w:instrText>
              <w:fldChar w:fldCharType="separate"/>
              <w:fldChar w:fldCharType="end"/>
            </w:r>
          </w:hyperlink>
        </w:p>
        <w:p>
          <w:r>
            <w:fldChar w:fldCharType="end"/>
          </w:r>
        </w:p>
      </w:sdtContent>
    </w:sdt>
    <w:p>
      <w:r>
        <w:br w:type="page"/>
      </w:r>
    </w:p>
    <w:p>
      <w:pPr>
        <w:pStyle w:val="Heading1"/>
      </w:pPr>
      <w:bookmarkStart w:name="_Toc1" w:id="1"/>
      <w:r>
        <w:t xml:space="preserve">1. Introducción</w:t>
      </w:r>
      <w:bookmarkEnd w:id="1"/>
    </w:p>
    <w:p>
      <w:pPr>
        <w:pStyle w:val="Heading2"/>
      </w:pPr>
      <w:bookmarkStart w:name="_Toc2" w:id="2"/>
      <w:r>
        <w:t xml:space="preserve">1.1 Propósito del documento</w:t>
      </w:r>
      <w:bookmarkEnd w:id="2"/>
    </w:p>
    <w:p>
      <w:pPr>
        <w:spacing w:after="120" w:line="276"/>
        <w:jc w:val="both"/>
      </w:pPr>
      <w:r>
        <w:t xml:space="preserve">Este informe documenta las pruebas de sistema de AbasteceNi con la estructura de ISO/IEC/IEEE 29119-3. Comprende dos niveles: las pruebas </w:t>
      </w:r>
      <w:r>
        <w:rPr>
          <w:b/>
          <w:bCs/>
        </w:rPr>
        <w:t xml:space="preserve">de extremo a extremo</w:t>
      </w:r>
      <w:r>
        <w:t xml:space="preserve"> con Playwright, que recorren la interfaz real contra la API, el trabajador y PostgreSQL levantados con Docker Compose, y las pruebas </w:t>
      </w:r>
      <w:r>
        <w:rPr>
          <w:b/>
          <w:bCs/>
        </w:rPr>
        <w:t xml:space="preserve">de integración HTTP</w:t>
      </w:r>
      <w:r>
        <w:t xml:space="preserve">, que ejercitan la API completa contra PostgreSQL real y validan cada respuesta contra el contrato OpenAPI (PA-07). Cada escenario cita el criterio de aceptación (CT) o el requisito (SYS-FN, SYS-NFN) que verifica.</w:t>
      </w:r>
    </w:p>
    <w:p>
      <w:pPr>
        <w:pStyle w:val="Heading2"/>
      </w:pPr>
      <w:bookmarkStart w:name="_Toc3" w:id="3"/>
      <w:r>
        <w:t xml:space="preserve">1.2 Alcance y estado de integración</w:t>
      </w:r>
      <w:bookmarkEnd w:id="3"/>
    </w:p>
    <w:p>
      <w:pPr>
        <w:spacing w:after="120" w:line="276"/>
        <w:jc w:val="both"/>
      </w:pPr>
      <w:r>
        <w:t xml:space="preserve">Las pruebas cubren lo construido en IT-00, IT-01 e IT-02 (tramo A). Las de extremo a extremo se ejecutan en el trabajo 10 de la CI (DIS-14); la ejecución citada es la ejecución 39036501600, sobre la rama </w:t>
      </w:r>
      <w:r>
        <w:rPr>
          <w:rFonts w:ascii="Consolas" w:cs="Consolas" w:eastAsia="Consolas" w:hAnsi="Consolas"/>
          <w:sz w:val="20"/>
          <w:szCs w:val="20"/>
        </w:rPr>
        <w:t xml:space="preserve">it-02/informes</w:t>
      </w:r>
      <w:r>
        <w:t xml:space="preserve">, que contiene el código de IT-02 y los escenarios de accesibilidad añadidos para el informe 2. IT-00 e IT-01 están integradas en </w:t>
      </w:r>
      <w:r>
        <w:rPr>
          <w:rFonts w:ascii="Consolas" w:cs="Consolas" w:eastAsia="Consolas" w:hAnsi="Consolas"/>
          <w:sz w:val="20"/>
          <w:szCs w:val="20"/>
        </w:rPr>
        <w:t xml:space="preserve">main</w:t>
      </w:r>
      <w:r>
        <w:t xml:space="preserve"> (PR #1 y #2). IT-02 (tramo A) está </w:t>
      </w:r>
      <w:r>
        <w:rPr>
          <w:b/>
          <w:bCs/>
        </w:rPr>
        <w:t xml:space="preserve">construida y verificada, pendiente de la revisión cruzada</w:t>
      </w:r>
      <w:r>
        <w:t xml:space="preserve"> (PR #3) para integrarse (DM-04, condiciones 5 y 6), y por eso se presenta como construida en rama y no como parte del incremento integrado.</w:t>
      </w:r>
    </w:p>
    <w:p>
      <w:pPr>
        <w:pStyle w:val="Heading2"/>
      </w:pPr>
      <w:bookmarkStart w:name="_Toc4" w:id="4"/>
      <w:r>
        <w:t xml:space="preserve">1.3 Insumos heredados de la serie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497"/>
        <w:gridCol w:w="4494"/>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Insumo</w:t>
            </w:r>
          </w:p>
        </w:tc>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Origen</w:t>
            </w:r>
          </w:p>
        </w:tc>
        <w:tc>
          <w:tcPr>
            <w:tcW w:type="dxa" w:w="449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Uso en las pruebas de sistema</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aceptación CT-REG-01, CT-REG-02, CT-ADM-03 y CT-SEG-04</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D2 §3</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Escenarios de extremo a extremo y de integración HTTP con el nombre del CT</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salida de IT-01 e IT-02</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§2.13</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Escenarios de la línea base y de la afiliación completa</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SYS-NFN-03, 08, 09, 10 y 12</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D2 §3</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Límite de 120 peticiones por minuto, carga, adaptación, peso y teclado</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MD-05: servicio de aplicación y trabajador como dos procesos del mismo artefacto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D5 §2.12.5</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Entorno de sistema con una imagen para la API y el trabajador, y nginx como red de distribución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PA-07: contrato antes que el código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§2.7.4</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Cada respuesta HTTP de la integración se valida contra </w:t>
            </w:r>
            <w:r>
              <w:rPr>
                <w:rFonts w:ascii="Consolas" w:cs="Consolas" w:eastAsia="Consolas" w:hAnsi="Consolas"/>
                <w:sz w:val="18"/>
                <w:szCs w:val="18"/>
              </w:rPr>
              <w:t xml:space="preserve">openapi.yaml</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DM-04: Definición de Terminado, condición 1</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§2.10</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criterio de aceptación se ejecuta con el método asignado y su resultado consta</w:t>
            </w:r>
          </w:p>
        </w:tc>
      </w:tr>
    </w:tbl>
    <w:p>
      <w:pPr>
        <w:pStyle w:val="Heading2"/>
      </w:pPr>
      <w:bookmarkStart w:name="_Toc5" w:id="5"/>
      <w:r>
        <w:t xml:space="preserve">1.4 Normas aplicables</w:t>
      </w:r>
      <w:bookmarkEnd w:id="5"/>
    </w:p>
    <w:p>
      <w:pPr>
        <w:pStyle w:val="ListParagraph"/>
        <w:numPr>
          <w:ilvl w:val="0"/>
          <w:numId w:val="2"/>
        </w:numPr>
        <w:spacing w:after="60"/>
        <w:jc w:val="left"/>
      </w:pPr>
      <w:r>
        <w:rPr>
          <w:b/>
          <w:bCs/>
        </w:rPr>
        <w:t xml:space="preserve">ISO/IEC/IEEE 29119-1:2022</w:t>
      </w:r>
      <w:r>
        <w:t xml:space="preserve">, conceptos; </w:t>
      </w:r>
      <w:r>
        <w:rPr>
          <w:b/>
          <w:bCs/>
        </w:rPr>
        <w:t xml:space="preserve">29119-2:2021</w:t>
      </w:r>
      <w:r>
        <w:t xml:space="preserve">, procesos; </w:t>
      </w:r>
      <w:r>
        <w:rPr>
          <w:b/>
          <w:bCs/>
        </w:rPr>
        <w:t xml:space="preserve">29119-3:2021</w:t>
      </w:r>
      <w:r>
        <w:t xml:space="preserve">, documentación: plan, especificación de diseño, casos y procedimientos, e informe de finalización.</w:t>
      </w:r>
    </w:p>
    <w:p>
      <w:pPr>
        <w:pStyle w:val="ListParagraph"/>
        <w:numPr>
          <w:ilvl w:val="0"/>
          <w:numId w:val="2"/>
        </w:numPr>
        <w:spacing w:after="60"/>
        <w:jc w:val="left"/>
      </w:pPr>
      <w:r>
        <w:rPr>
          <w:b/>
          <w:bCs/>
        </w:rPr>
        <w:t xml:space="preserve">ISO/IEC/IEEE 29148:2011</w:t>
      </w:r>
      <w:r>
        <w:t xml:space="preserve">, §5.2.5: cada requisito es verificable y su criterio de aceptación se convierte en caso de prueba.</w:t>
      </w:r>
    </w:p>
    <w:p>
      <w:pPr>
        <w:pStyle w:val="ListParagraph"/>
        <w:numPr>
          <w:ilvl w:val="0"/>
          <w:numId w:val="2"/>
        </w:numPr>
        <w:spacing w:after="60"/>
        <w:jc w:val="left"/>
      </w:pPr>
      <w:r>
        <w:rPr>
          <w:b/>
          <w:bCs/>
        </w:rPr>
        <w:t xml:space="preserve">ISO/IEC 27002:2022</w:t>
      </w:r>
      <w:r>
        <w:t xml:space="preserve">, control 8.31: el entorno de sistema usa secretos de un solo uso y se destruye al terminar.</w:t>
      </w:r>
    </w:p>
    <w:p>
      <w:pPr>
        <w:pStyle w:val="Heading1"/>
      </w:pPr>
      <w:bookmarkStart w:name="_Toc6" w:id="6"/>
      <w:r>
        <w:t xml:space="preserve">2. Desarrollo</w:t>
      </w:r>
      <w:bookmarkEnd w:id="6"/>
    </w:p>
    <w:p>
      <w:pPr>
        <w:pStyle w:val="Heading2"/>
      </w:pPr>
      <w:bookmarkStart w:name="_Toc7" w:id="7"/>
      <w:r>
        <w:t xml:space="preserve">2.1 Plan de prueba</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 del plan</w:t>
            </w:r>
          </w:p>
        </w:tc>
        <w:tc>
          <w:tcPr>
            <w:tcW w:type="dxa" w:w="730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Contenido</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Objetivo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Demostrar que los criterios de aceptación de D2 y los criterios de salida de las iteraciones se cumplen en el sistema completo, con la interfaz real y los procesos tal como se despliegan.</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Elementos de prueba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Imagen del artefacto (</w:t>
            </w:r>
            <w:r>
              <w:rPr>
                <w:rFonts w:ascii="Consolas" w:cs="Consolas" w:eastAsia="Consolas" w:hAnsi="Consolas"/>
                <w:sz w:val="18"/>
                <w:szCs w:val="18"/>
              </w:rPr>
              <w:t xml:space="preserve">Dockerfile</w:t>
            </w:r>
            <w:r>
              <w:rPr>
                <w:sz w:val="18"/>
                <w:szCs w:val="18"/>
              </w:rPr>
              <w:t xml:space="preserve">, etapa </w:t>
            </w:r>
            <w:r>
              <w:rPr>
                <w:rFonts w:ascii="Consolas" w:cs="Consolas" w:eastAsia="Consolas" w:hAnsi="Consolas"/>
                <w:sz w:val="18"/>
                <w:szCs w:val="18"/>
              </w:rPr>
              <w:t xml:space="preserve">artefacto</w:t>
            </w:r>
            <w:r>
              <w:rPr>
                <w:sz w:val="18"/>
                <w:szCs w:val="18"/>
              </w:rPr>
              <w:t xml:space="preserve">) ejecutada como API, trabajador, migraciones y siembra del Administrador; imagen web (</w:t>
            </w:r>
            <w:r>
              <w:rPr>
                <w:rFonts w:ascii="Consolas" w:cs="Consolas" w:eastAsia="Consolas" w:hAnsi="Consolas"/>
                <w:sz w:val="18"/>
                <w:szCs w:val="18"/>
              </w:rPr>
              <w:t xml:space="preserve">nginx:1.29-alpine</w:t>
            </w:r>
            <w:r>
              <w:rPr>
                <w:sz w:val="18"/>
                <w:szCs w:val="18"/>
              </w:rPr>
              <w:t xml:space="preserve">) con los activos de Vite; PostgreSQL 18.6.</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Entorno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docker-compose.sistema.yml</w:t>
            </w:r>
            <w:r>
              <w:rPr>
                <w:sz w:val="18"/>
                <w:szCs w:val="18"/>
              </w:rPr>
              <w:t xml:space="preserve">, levantado por </w:t>
            </w:r>
            <w:r>
              <w:rPr>
                <w:rFonts w:ascii="Consolas" w:cs="Consolas" w:eastAsia="Consolas" w:hAnsi="Consolas"/>
                <w:sz w:val="18"/>
                <w:szCs w:val="18"/>
              </w:rPr>
              <w:t xml:space="preserve">herramientas/sistema/ejecutar.sh</w:t>
            </w:r>
            <w:r>
              <w:rPr>
                <w:sz w:val="18"/>
                <w:szCs w:val="18"/>
              </w:rPr>
              <w:t xml:space="preserve"> con secretos aleatorios de un solo uso. Chromium sin interfaz (Playwright 1.64.1). En la CI, </w:t>
            </w:r>
            <w:r>
              <w:rPr>
                <w:rFonts w:ascii="Consolas" w:cs="Consolas" w:eastAsia="Consolas" w:hAnsi="Consolas"/>
                <w:sz w:val="18"/>
                <w:szCs w:val="18"/>
              </w:rPr>
              <w:t xml:space="preserve">ubuntu-24.04</w:t>
            </w:r>
            <w:r>
              <w:rPr>
                <w:sz w:val="18"/>
                <w:szCs w:val="18"/>
              </w:rPr>
              <w:t xml:space="preserve">.</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Enfoque</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Caja negra a través de la interfaz, con verificación del estado de la base en los criterios que exigen inspeccionarlo (estado de la cuenta, bitácora, bandeja de salida). Integración HTTP con supertest contra la composición real de la API.</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entrada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Las imágenes se construyen; las migraciones aplican; la API responde en </w:t>
            </w:r>
            <w:r>
              <w:rPr>
                <w:rFonts w:ascii="Consolas" w:cs="Consolas" w:eastAsia="Consolas" w:hAnsi="Consolas"/>
                <w:sz w:val="18"/>
                <w:szCs w:val="18"/>
              </w:rPr>
              <w:t xml:space="preserve">/api/v1/salud</w:t>
            </w:r>
            <w:r>
              <w:rPr>
                <w:sz w:val="18"/>
                <w:szCs w:val="18"/>
              </w:rPr>
              <w:t xml:space="preserve"> a través de nginx.</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salida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Todos los escenarios pasan en el trabajo 10 de la CI. Un fallo impide integrar (DM-04, condición 6).</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Riesgos</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Flaqueza por tiempos: se usan esperas por condición (</w:t>
            </w:r>
            <w:r>
              <w:rPr>
                <w:rFonts w:ascii="Consolas" w:cs="Consolas" w:eastAsia="Consolas" w:hAnsi="Consolas"/>
                <w:sz w:val="18"/>
                <w:szCs w:val="18"/>
              </w:rPr>
              <w:t xml:space="preserve">expect.poll</w:t>
            </w:r>
            <w:r>
              <w:rPr>
                <w:sz w:val="18"/>
                <w:szCs w:val="18"/>
              </w:rPr>
              <w:t xml:space="preserve">, </w:t>
            </w:r>
            <w:r>
              <w:rPr>
                <w:rFonts w:ascii="Consolas" w:cs="Consolas" w:eastAsia="Consolas" w:hAnsi="Consolas"/>
                <w:sz w:val="18"/>
                <w:szCs w:val="18"/>
              </w:rPr>
              <w:t xml:space="preserve">toBeVisible</w:t>
            </w:r>
            <w:r>
              <w:rPr>
                <w:sz w:val="18"/>
                <w:szCs w:val="18"/>
              </w:rPr>
              <w:t xml:space="preserve">) y nunca esperas fijas. Datos compartidos: cada escenario crea un RUC y un correo únicos.</w:t>
            </w:r>
          </w:p>
        </w:tc>
      </w:tr>
    </w:tbl>
    <w:p>
      <w:pPr>
        <w:pStyle w:val="Heading2"/>
      </w:pPr>
      <w:bookmarkStart w:name="_Toc8" w:id="8"/>
      <w:r>
        <w:t xml:space="preserve">2.2 Especificación del diseño de pruebas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872"/>
        <w:gridCol w:w="2433"/>
        <w:gridCol w:w="1686"/>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Condición</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Criterio de D2 o de D4</w:t>
            </w:r>
          </w:p>
        </w:tc>
        <w:tc>
          <w:tcPr>
            <w:tcW w:type="dxa" w:w="243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Técnica</w:t>
            </w:r>
          </w:p>
        </w:tc>
        <w:tc>
          <w:tcPr>
            <w:tcW w:type="dxa" w:w="16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Nivel</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 válido queda «Pendiente de validación»; RUC vacío rechazado con mensaje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Clases de equivalencia válidas e inválidas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PDF de 4 MB aceptado; 8 MB rechazado con mensaje; contenido que no es PDF ni JPG rechazado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CT-REG-02</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Valores límite alrededor de 5 MB; tipo por contenido frente a extensión</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Aprobar pasa a «Activa»; rechazar registra el motivo en la bitácora</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CT-ADM-03</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Transiciones de estado válidas e inválidas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Cada uno de los cuatro roles inicia sesión y ve su panel</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Partición por rol</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La decisión consta en la bitácora y no puede modificarse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 de salida de IT-02; SYS-FN-35</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Intento de UPDATE y DELETE con el rol de la aplicación</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Consentimiento obligatorio y registrado con marca temporal</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SYS-FN-36</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Clase inválida (sin aceptar) y verificación en la bitácora</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 e 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Evento persistido con su cambio de estado, publicado y entregado; el circuito abre ante el fallo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 de salida de IT-01</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Inyección de fallos en el proveedor simulado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Integración; sistema para la publicación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429 a partir de la petición 121 por IP y minuto, con dos instancias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SYS-NFN-03; ADR-08</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Valor límite 120/121</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Integración HTTP</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320 px sin desplazamiento horizontal; teclado; WCAG 2.1 AA</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SYS-NFN-09 y 12</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Inspección automatizada (axe-core) y navegación por teclado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Sistema</w:t>
            </w:r>
          </w:p>
        </w:tc>
      </w:tr>
    </w:tbl>
    <w:p>
      <w:pPr>
        <w:pStyle w:val="Heading2"/>
      </w:pPr>
      <w:bookmarkStart w:name="_Toc9" w:id="9"/>
      <w:r>
        <w:t xml:space="preserve">2.3 Procedimiento de prueba</w:t>
      </w:r>
      <w:bookmarkEnd w:id="9"/>
    </w:p>
    <w:p>
      <w:pPr>
        <w:pStyle w:val="ListParagraph"/>
        <w:numPr>
          <w:ilvl w:val="0"/>
          <w:numId w:val="2"/>
        </w:numPr>
        <w:spacing w:after="60"/>
        <w:jc w:val="left"/>
      </w:pPr>
      <w:r>
        <w:rPr>
          <w:b/>
          <w:bCs/>
        </w:rPr>
        <w:t xml:space="preserve">Pruebas de extremo a extremo.</w:t>
      </w:r>
      <w:r>
        <w:t xml:space="preserve"> Desde la raíz del repositorio: </w:t>
      </w:r>
      <w:r>
        <w:rPr>
          <w:rFonts w:ascii="Consolas" w:cs="Consolas" w:eastAsia="Consolas" w:hAnsi="Consolas"/>
          <w:sz w:val="20"/>
          <w:szCs w:val="20"/>
        </w:rPr>
        <w:t xml:space="preserve">bash herramientas/sistema/ejecutar.sh</w:t>
      </w:r>
      <w:r>
        <w:t xml:space="preserve">.</w:t>
      </w:r>
    </w:p>
    <w:p>
      <w:pPr>
        <w:pStyle w:val="ListParagraph"/>
        <w:numPr>
          <w:ilvl w:val="0"/>
          <w:numId w:val="2"/>
        </w:numPr>
        <w:spacing w:after="60"/>
        <w:jc w:val="left"/>
      </w:pPr>
      <w:r>
        <w:rPr>
          <w:b/>
          <w:bCs/>
        </w:rPr>
        <w:t xml:space="preserve">Qué hace el guion:</w:t>
      </w:r>
      <w:r>
        <w:t xml:space="preserve"> (1) genera claves y secretos aleatorios de un solo uso; (2) construye las imágenes y levanta PostgreSQL, migraciones, siembra, API, trabajador y web; (3) espera a que </w:t>
      </w:r>
      <w:r>
        <w:rPr>
          <w:rFonts w:ascii="Consolas" w:cs="Consolas" w:eastAsia="Consolas" w:hAnsi="Consolas"/>
          <w:sz w:val="20"/>
          <w:szCs w:val="20"/>
        </w:rPr>
        <w:t xml:space="preserve">/api/v1/salud</w:t>
      </w:r>
      <w:r>
        <w:t xml:space="preserve"> responda a través de nginx; (4) ejecuta Playwright; (5) guarda el registro de la API y del trabajador; (6) destruye el entorno con sus volúmenes.</w:t>
      </w:r>
    </w:p>
    <w:p>
      <w:pPr>
        <w:pStyle w:val="ListParagraph"/>
        <w:numPr>
          <w:ilvl w:val="0"/>
          <w:numId w:val="2"/>
        </w:numPr>
        <w:spacing w:after="60"/>
        <w:jc w:val="left"/>
      </w:pPr>
      <w:r>
        <w:rPr>
          <w:b/>
          <w:bCs/>
        </w:rPr>
        <w:t xml:space="preserve">Pruebas de integración HTTP.</w:t>
      </w:r>
      <w:r>
        <w:t xml:space="preserve"> </w:t>
      </w:r>
      <w:r>
        <w:rPr>
          <w:rFonts w:ascii="Consolas" w:cs="Consolas" w:eastAsia="Consolas" w:hAnsi="Consolas"/>
          <w:sz w:val="20"/>
          <w:szCs w:val="20"/>
        </w:rPr>
        <w:t xml:space="preserve">npm test -w @abasteceni/backend</w:t>
      </w:r>
      <w:r>
        <w:t xml:space="preserve"> levanta la composición real de la API sobre un PostgreSQL efímero por archivo y valida cada respuesta contra el contrato.</w:t>
      </w:r>
    </w:p>
    <w:p>
      <w:pPr>
        <w:pStyle w:val="Heading2"/>
      </w:pPr>
      <w:bookmarkStart w:name="_Toc10" w:id="10"/>
      <w:r>
        <w:t xml:space="preserve">2.4 Casos de prueba de extremo a extremo y resultados</w:t>
      </w:r>
      <w:bookmarkEnd w:id="10"/>
    </w:p>
    <w:p>
      <w:pPr>
        <w:spacing w:after="120" w:line="276"/>
        <w:jc w:val="both"/>
      </w:pPr>
      <w:r>
        <w:t xml:space="preserve">Casos ejecutados en la ejecución 39036501600 de la CI (trabajo 10), con sus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97"/>
        <w:gridCol w:w="4680"/>
        <w:gridCol w:w="1029"/>
        <w:gridCol w:w="1218"/>
      </w:tblGrid>
      <w:tr>
        <w:trPr>
          <w:tblHeader/>
        </w:trPr>
        <w:tc>
          <w:tcPr>
            <w:tcW w:type="dxa" w:w="9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ID</w:t>
            </w:r>
          </w:p>
        </w:tc>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Archivo</w:t>
            </w:r>
          </w:p>
        </w:tc>
        <w:tc>
          <w:tcPr>
            <w:tcW w:type="dxa" w:w="468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Escenario</w:t>
            </w:r>
          </w:p>
        </w:tc>
        <w:tc>
          <w:tcPr>
            <w:tcW w:type="dxa" w:w="102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Tiempo</w:t>
            </w:r>
          </w:p>
        </w:tc>
        <w:tc>
          <w:tcPr>
            <w:tcW w:type="dxa" w:w="121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Resultado</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CP-SIS-01</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WCAG 2.1 AA · análisis automático con axe-core de cada vista: la vista de inicio no tiene infracciones WCAG 2.1 A ni AA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0,69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CP-SIS-02</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WCAG 2.1 AA · análisis automático con axe-core de cada vista: la vista de registro no tiene infracciones WCAG 2.1 A ni AA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0,71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CP-SIS-03</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WCAG 2.1 AA · análisis automático con axe-core de cada vista: la vista de inicio de sesión no tiene infracciones WCAG 2.1 A ni AA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0,63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CP-SIS-04</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WCAG 2.1 AA · análisis automático con axe-core de cada vista: el panel del Administrador no tiene infracciones WCAG 2.1 A ni AA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0,80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CP-SIS-05</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WCAG 2.1 AA · análisis automático con axe-core de cada vista: el formulario de registro muestra sus errores sin infracciones</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0,79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CP-SIS-06</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SYS-NFN-12 · operación completa por teclado (WCAG 2.1.1 y 2.1.2): el registro se recorre con Tab hasta el botón de envío sin trampas de foco</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0,27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CP-SIS-07</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accesibilidad.spec.ts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SYS-NFN-12 · operación completa por teclado (WCAG 2.1.1 y 2.1.2): el inicio de sesión se completa solo con teclado</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0,38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CP-SIS-08</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afiliacion.spec.ts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CT-REG-02 · carga del registro legal desde la interfaz (SYS-FN-02): rechaza un archivo de 8 MB y uno que no es PDF ni JPG, con mensajes explicativos</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1,44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CP-SIS-09</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afiliacion.spec.ts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SYS-FN-36 · consentimiento en el registro: sin aceptar la declaración no se registra; al aceptarla, consta en la bitácora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0,51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CP-SIS-10</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afiliacion.spec.ts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CT-ADM-03 e IT-02 · afiliación de extremo a extremo (PM-01; SYS-FN-03, SYS-FN-35): la cuenta se registra con su documento, el Administrador la aprueba y la cuenta inicia sesión en su panel</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0,89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CP-SIS-11</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afiliacion.spec.ts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CT-ADM-03 e IT-02 · afiliación de extremo a extremo (PM-01; SYS-FN-03, SYS-FN-35): el rechazo registra el motivo, la decisión no puede modificarse y la cuenta no inicia sesión</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0,94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CP-SIS-12</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afiliacion.spec.ts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 · el panel mostrado corresponde al rol asignado (SYS-FN-04): Productor y Proveedor aprobados ven el panel de su rol; el Administrador, el suyo</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1,82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CP-SIS-13</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capturas.spec.ts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capturas del flujo de registro, validación y paneles (informe 2)</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1,45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CP-SIS-14</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 registro de una cuenta comercial de extremo a extremo (SYS-FN-01): con todos los campos válidos la cuenta queda «Pendiente de validación»</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0,45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CP-SIS-15</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 registro de una cuenta comercial de extremo a extremo (SYS-FN-01): con el RUC vacío rechaza el envío y muestra el mensaje de error del campo</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0,35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CP-SIS-16</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 registro de una cuenta comercial de extremo a extremo (SYS-FN-01): un RUC ya registrado muestra el aviso devuelto por la API</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0,65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CP-SIS-17</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 registro de una cuenta comercial de extremo a extremo (SYS-FN-01): SYS-NFN-09 · el formulario se opera a 320 px sin desplazamiento horizontal</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0,24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CP-SIS-18</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IT-01 · el evento CuentaRegistrada se publica de forma asíncrona (ADR-01, R-02): el trabajador publica el evento del registro dentro del umbral de 60 s</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1,33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CP-SIS-19</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sesion.spec.ts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 · inicio de sesión sin estado de extremo a extremo (SYS-FN-04, ADR-04): el Administrador inicia sesión, ve su rol, conserva la sesión al recargar y la cierra</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0,47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CP-SIS-20</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sesion.spec.ts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 · inicio de sesión sin estado de extremo a extremo (SYS-FN-04, ADR-04): una cuenta «Pendiente de validación» no inicia sesión (DIS-25)</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0,60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CP-SIS-21</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sesion.spec.ts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 · inicio de sesión sin estado de extremo a extremo (SYS-FN-04, ADR-04): una contraseña incorrecta recibe el mensaje genérico</w:t>
            </w:r>
          </w:p>
        </w:tc>
        <w:tc>
          <w:tcPr>
            <w:tcW w:type="dxa" w:w="10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0,31 s</w:t>
            </w:r>
          </w:p>
        </w:tc>
        <w:tc>
          <w:tcPr>
            <w:tcW w:type="dxa" w:w="12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bl>
    <w:p>
      <w:pPr>
        <w:pStyle w:val="Heading3"/>
      </w:pPr>
      <w:bookmarkStart w:name="_Toc11" w:id="11"/>
      <w:r>
        <w:t xml:space="preserve">Casos de integración HTTP</w:t>
      </w:r>
      <w:bookmarkEnd w:id="11"/>
    </w:p>
    <w:p>
      <w:pPr>
        <w:spacing w:after="120" w:line="276"/>
        <w:jc w:val="both"/>
      </w:pPr>
      <w:r>
        <w:t xml:space="preserve">La batería principal ejecutó 48 casos de integración HTTP contra PostgreSQL real en la ejecución 39033238576, todos en verde. Cada respuesta se valida contra </w:t>
      </w:r>
      <w:r>
        <w:rPr>
          <w:rFonts w:ascii="Consolas" w:cs="Consolas" w:eastAsia="Consolas" w:hAnsi="Consolas"/>
          <w:sz w:val="20"/>
          <w:szCs w:val="20"/>
        </w:rPr>
        <w:t xml:space="preserve">packages/contrato/openapi.yaml</w:t>
      </w:r>
      <w:r>
        <w:t xml:space="preserve"> (</w:t>
      </w:r>
      <w:r>
        <w:rPr>
          <w:rFonts w:ascii="Consolas" w:cs="Consolas" w:eastAsia="Consolas" w:hAnsi="Consolas"/>
          <w:sz w:val="20"/>
          <w:szCs w:val="20"/>
        </w:rPr>
        <w:t xml:space="preserve">test/soporte/contrato.ts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Archivo</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Casos</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linea-base.spec.ts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5</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17</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api-cuentas-sesiones.spec.ts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14</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repositorios-pg.spec.ts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5</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trabajador.spec.ts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esquemas-persistencia.spec.ts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w:t>
            </w:r>
          </w:p>
        </w:tc>
      </w:tr>
      <w:tr>
        <w:tc>
          <w:tcPr>
            <w:tcW w:type="dxa" w:w="74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salud.spec.ts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w:t>
            </w:r>
          </w:p>
        </w:tc>
      </w:tr>
    </w:tbl>
    <w:p>
      <w:pPr>
        <w:pStyle w:val="Heading2"/>
      </w:pPr>
      <w:bookmarkStart w:name="_Toc12" w:id="12"/>
      <w:r>
        <w:t xml:space="preserve">2.5 Trazabilidad de los criterios de aceptación</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3744"/>
        <w:gridCol w:w="1498"/>
      </w:tblGrid>
      <w:tr>
        <w:trPr>
          <w:tblHeader/>
        </w:trPr>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Criterio</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Método en D2</w:t>
            </w:r>
          </w:p>
        </w:tc>
        <w:tc>
          <w:tcPr>
            <w:tcW w:type="dxa" w:w="374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Escenarios que lo ejecutan</w:t>
            </w:r>
          </w:p>
        </w:tc>
        <w:tc>
          <w:tcPr>
            <w:tcW w:type="dxa" w:w="14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Resultado</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(SYS-FN-01)</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registro.spec.ts</w:t>
            </w:r>
            <w:r>
              <w:rPr>
                <w:sz w:val="18"/>
                <w:szCs w:val="18"/>
              </w:rPr>
              <w:t xml:space="preserve"> (3); </w:t>
            </w:r>
            <w:r>
              <w:rPr>
                <w:rFonts w:ascii="Consolas" w:cs="Consolas" w:eastAsia="Consolas" w:hAnsi="Consolas"/>
                <w:sz w:val="18"/>
                <w:szCs w:val="18"/>
              </w:rPr>
              <w:t xml:space="preserve">api-cuentas-sesiones.spec.ts</w:t>
            </w:r>
            <w:r>
              <w:rPr>
                <w:sz w:val="18"/>
                <w:szCs w:val="18"/>
              </w:rPr>
              <w:t xml:space="preserve">; </w:t>
            </w:r>
            <w:r>
              <w:rPr>
                <w:rFonts w:ascii="Consolas" w:cs="Consolas" w:eastAsia="Consolas" w:hAnsi="Consolas"/>
                <w:sz w:val="18"/>
                <w:szCs w:val="18"/>
              </w:rPr>
              <w:t xml:space="preserve">cuenta-comercial.spec.ts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CT-REG-02 (SYS-FN-02)</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r>
              <w:rPr>
                <w:sz w:val="18"/>
                <w:szCs w:val="18"/>
              </w:rPr>
              <w:t xml:space="preserve"> (sistema e integración)</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CT-ADM-03 (SYS-FN-03)</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r>
              <w:rPr>
                <w:sz w:val="18"/>
                <w:szCs w:val="18"/>
              </w:rPr>
              <w:t xml:space="preserve"> (sistema e integración)</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CT-SEG-04 (SYS-FN-04)</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sesion.spec.ts</w:t>
            </w:r>
            <w:r>
              <w:rPr>
                <w:sz w:val="18"/>
                <w:szCs w:val="18"/>
              </w:rPr>
              <w:t xml:space="preserve">; </w:t>
            </w:r>
            <w:r>
              <w:rPr>
                <w:rFonts w:ascii="Consolas" w:cs="Consolas" w:eastAsia="Consolas" w:hAnsi="Consolas"/>
                <w:sz w:val="18"/>
                <w:szCs w:val="18"/>
              </w:rPr>
              <w:t xml:space="preserve">afiliacion.spec.ts</w:t>
            </w:r>
            <w:r>
              <w:rPr>
                <w:sz w:val="18"/>
                <w:szCs w:val="18"/>
              </w:rPr>
              <w:t xml:space="preserve"> (cuatro roles)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SYS-FN-35</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Análisis de la tabla de auditoría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r>
              <w:rPr>
                <w:sz w:val="18"/>
                <w:szCs w:val="18"/>
              </w:rPr>
              <w:t xml:space="preserve">; suite </w:t>
            </w:r>
            <w:r>
              <w:rPr>
                <w:rFonts w:ascii="Consolas" w:cs="Consolas" w:eastAsia="Consolas" w:hAnsi="Consolas"/>
                <w:sz w:val="18"/>
                <w:szCs w:val="18"/>
              </w:rPr>
              <w:t xml:space="preserve">bd/</w:t>
            </w:r>
            <w:r>
              <w:rPr>
                <w:sz w:val="18"/>
                <w:szCs w:val="18"/>
              </w:rPr>
              <w:t xml:space="preserve"> (informe 4b)</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SYS-FN-36</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Inspección del formulario y del registro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r>
              <w:rPr>
                <w:sz w:val="18"/>
                <w:szCs w:val="18"/>
              </w:rPr>
              <w:t xml:space="preserve"> (consentimiento); captura de la pantalla 2 (informe 2)</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SYS-NFN-03</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Análisis con prueba de carga de 200 peticiones por minuto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api-cuentas-sesiones.spec.ts</w:t>
            </w:r>
            <w:r>
              <w:rPr>
                <w:sz w:val="18"/>
                <w:szCs w:val="18"/>
              </w:rPr>
              <w:t xml:space="preserve">: 120 peticiones pasan y la 121 recibe 429 con dos instancias. No se ejecutó la prueba de carga de 200</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 en el valor límite; carga pendiente</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SYS-NFN-08, 09, 10 y 12</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Análisis y demostración</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Lighthouse y </w:t>
            </w:r>
            <w:r>
              <w:rPr>
                <w:rFonts w:ascii="Consolas" w:cs="Consolas" w:eastAsia="Consolas" w:hAnsi="Consolas"/>
                <w:sz w:val="18"/>
                <w:szCs w:val="18"/>
              </w:rPr>
              <w:t xml:space="preserve">accesibilidad.spec.ts</w:t>
            </w:r>
            <w:r>
              <w:rPr>
                <w:sz w:val="18"/>
                <w:szCs w:val="18"/>
              </w:rPr>
              <w:t xml:space="preserve"> (informe 2); </w:t>
            </w:r>
            <w:r>
              <w:rPr>
                <w:rFonts w:ascii="Consolas" w:cs="Consolas" w:eastAsia="Consolas" w:hAnsi="Consolas"/>
                <w:sz w:val="18"/>
                <w:szCs w:val="18"/>
              </w:rPr>
              <w:t xml:space="preserve">registro.spec.ts</w:t>
            </w:r>
            <w:r>
              <w:rPr>
                <w:sz w:val="18"/>
                <w:szCs w:val="18"/>
              </w:rPr>
              <w:t xml:space="preserve"> a 320 px</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 de salida de IT-01</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§2.13</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linea-base.spec.ts</w:t>
            </w:r>
            <w:r>
              <w:rPr>
                <w:sz w:val="18"/>
                <w:szCs w:val="18"/>
              </w:rPr>
              <w:t xml:space="preserve"> (integración); </w:t>
            </w:r>
            <w:r>
              <w:rPr>
                <w:rFonts w:ascii="Consolas" w:cs="Consolas" w:eastAsia="Consolas" w:hAnsi="Consolas"/>
                <w:sz w:val="18"/>
                <w:szCs w:val="18"/>
              </w:rPr>
              <w:t xml:space="preserve">registro.spec.ts</w:t>
            </w:r>
            <w:r>
              <w:rPr>
                <w:sz w:val="18"/>
                <w:szCs w:val="18"/>
              </w:rPr>
              <w:t xml:space="preserve"> (publicación en el sistema)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 de salida de IT-02</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§2.13</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afiliacion.spec.ts</w:t>
            </w:r>
            <w:r>
              <w:rPr>
                <w:sz w:val="18"/>
                <w:szCs w:val="18"/>
              </w:rPr>
              <w:t xml:space="preserve"> (integración y sistema)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Pasa</w:t>
            </w:r>
          </w:p>
        </w:tc>
      </w:tr>
    </w:tbl>
    <w:p>
      <w:pPr>
        <w:pStyle w:val="Heading2"/>
      </w:pPr>
      <w:bookmarkStart w:name="_Toc13" w:id="13"/>
      <w:r>
        <w:t xml:space="preserve">2.6 Informe de finalización</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5991"/>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Medida</w:t>
            </w:r>
          </w:p>
        </w:tc>
        <w:tc>
          <w:tcPr>
            <w:tcW w:type="dxa" w:w="599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Valor</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Escenarios de extremo a extremo</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21 ejecutados · 21 pasan · 0 fallan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Casos de integración HTTP</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48 ejecutados · todos pasan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aceptación de D2 del alcance ejecutados</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CT-REG-01, CT-REG-02, CT-ADM-03, CT-SEG-04, SYS-FN-35 y SYS-FN-36: 6 de 6</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Retardo de publicación de eventos (MT-04)</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0,51 s (IT-01) y 0,08 s (IT-02) en la CI; umbral comprometido de 60 s (R-02)</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Ejecuciones de CI</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IT-01: 39023391840 (8 escenarios). IT-02: 39033238576 (13 escenarios). Con accesibilidad: ejecución 39036501600 (21 escenarios)</w:t>
            </w:r>
          </w:p>
        </w:tc>
      </w:tr>
    </w:tbl>
    <w:p>
      <w:pPr>
        <w:pStyle w:val="Heading3"/>
      </w:pPr>
      <w:bookmarkStart w:name="_Toc14" w:id="14"/>
      <w:r>
        <w:t xml:space="preserve">Defectos detectados por las pruebas y corregidos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2808"/>
        <w:gridCol w:w="3183"/>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Defecto</w:t>
            </w:r>
          </w:p>
        </w:tc>
        <w:tc>
          <w:tcPr>
            <w:tcW w:type="dxa" w:w="28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Cómo se detectó</w:t>
            </w:r>
          </w:p>
        </w:tc>
        <w:tc>
          <w:tcPr>
            <w:tcW w:type="dxa" w:w="31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Corrección</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La sonda </w:t>
            </w:r>
            <w:r>
              <w:rPr>
                <w:rFonts w:ascii="Consolas" w:cs="Consolas" w:eastAsia="Consolas" w:hAnsi="Consolas"/>
                <w:sz w:val="18"/>
                <w:szCs w:val="18"/>
              </w:rPr>
              <w:t xml:space="preserve">/api/v1/salud</w:t>
            </w:r>
            <w:r>
              <w:rPr>
                <w:sz w:val="18"/>
                <w:szCs w:val="18"/>
              </w:rPr>
              <w:t xml:space="preserve"> exigía credencial: el balanceador no habría podido usarla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Integración HTTP: 401 en la prueba de 429</w:t>
            </w:r>
          </w:p>
        </w:tc>
        <w:tc>
          <w:tcPr>
            <w:tcW w:type="dxa" w:w="31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Ruta marcada como pública, sujeta al límite de peticiones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GET /cuentas</w:t>
            </w:r>
            <w:r>
              <w:rPr>
                <w:sz w:val="18"/>
                <w:szCs w:val="18"/>
              </w:rPr>
              <w:t xml:space="preserve"> podía responder 400 sin que el contrato lo declarara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Validación de respuestas contra el contrato (PA-07)</w:t>
            </w:r>
          </w:p>
        </w:tc>
        <w:tc>
          <w:tcPr>
            <w:tcW w:type="dxa" w:w="31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Respuesta 400 añadida a </w:t>
            </w:r>
            <w:r>
              <w:rPr>
                <w:rFonts w:ascii="Consolas" w:cs="Consolas" w:eastAsia="Consolas" w:hAnsi="Consolas"/>
                <w:sz w:val="18"/>
                <w:szCs w:val="18"/>
              </w:rPr>
              <w:t xml:space="preserve">openapi.yaml</w:t>
            </w:r>
            <w:r>
              <w:rPr>
                <w:sz w:val="18"/>
                <w:szCs w:val="18"/>
              </w:rPr>
              <w:t xml:space="preserve"> y tipos regenerados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cliente web propagaba como error el cuerpo vacío de una respuesta sin JSON</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 del cliente HTTP</w:t>
            </w:r>
          </w:p>
        </w:tc>
        <w:tc>
          <w:tcPr>
            <w:tcW w:type="dxa" w:w="31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Detección del cuerpo vacío en </w:t>
            </w:r>
            <w:r>
              <w:rPr>
                <w:rFonts w:ascii="Consolas" w:cs="Consolas" w:eastAsia="Consolas" w:hAnsi="Consolas"/>
                <w:sz w:val="18"/>
                <w:szCs w:val="18"/>
              </w:rPr>
              <w:t xml:space="preserve">cliente-api-http.ts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adaptadores del almacén de documentos no estaban versionados</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Construcción de la imagen del entorno de sistema</w:t>
            </w:r>
          </w:p>
        </w:tc>
        <w:tc>
          <w:tcPr>
            <w:tcW w:type="dxa" w:w="31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Patrón de </w:t>
            </w:r>
            <w:r>
              <w:rPr>
                <w:rFonts w:ascii="Consolas" w:cs="Consolas" w:eastAsia="Consolas" w:hAnsi="Consolas"/>
                <w:sz w:val="18"/>
                <w:szCs w:val="18"/>
              </w:rPr>
              <w:t xml:space="preserve">.gitignore</w:t>
            </w:r>
            <w:r>
              <w:rPr>
                <w:sz w:val="18"/>
                <w:szCs w:val="18"/>
              </w:rPr>
              <w:t xml:space="preserve"> anclado al directorio de datos (</w:t>
            </w:r>
            <w:r>
              <w:rPr>
                <w:rFonts w:ascii="Consolas" w:cs="Consolas" w:eastAsia="Consolas" w:hAnsi="Consolas"/>
                <w:sz w:val="18"/>
                <w:szCs w:val="18"/>
              </w:rPr>
              <w:t xml:space="preserve">a25c7da</w:t>
            </w:r>
            <w:r>
              <w:rPr>
                <w:sz w:val="18"/>
                <w:szCs w:val="18"/>
              </w:rPr>
              <w:t xml:space="preserve">)</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Activos de la interfaz servidos sin comprimir (SYS-NFN-10)</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Medición con Lighthouse en el entorno de sistema</w:t>
            </w:r>
          </w:p>
        </w:tc>
        <w:tc>
          <w:tcPr>
            <w:tcW w:type="dxa" w:w="31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gzip en </w:t>
            </w:r>
            <w:r>
              <w:rPr>
                <w:rFonts w:ascii="Consolas" w:cs="Consolas" w:eastAsia="Consolas" w:hAnsi="Consolas"/>
                <w:sz w:val="18"/>
                <w:szCs w:val="18"/>
              </w:rPr>
              <w:t xml:space="preserve">nginx.conf</w:t>
            </w:r>
            <w:r>
              <w:rPr>
                <w:sz w:val="18"/>
                <w:szCs w:val="18"/>
              </w:rPr>
              <w:t xml:space="preserve">; la carga en 3G bajó de 4,88 s a 2,79 s</w:t>
            </w:r>
          </w:p>
        </w:tc>
      </w:tr>
    </w:tbl>
    <w:p>
      <w:pPr>
        <w:pStyle w:val="Heading2"/>
      </w:pPr>
      <w:bookmarkStart w:name="_Toc15" w:id="15"/>
      <w:r>
        <w:t xml:space="preserve">2.7 Lo construido y verificado frente a lo pendiente</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w:t>
            </w:r>
          </w:p>
        </w:tc>
        <w:tc>
          <w:tcPr>
            <w:tcW w:type="dxa" w:w="468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w:t>
            </w:r>
          </w:p>
        </w:tc>
      </w:tr>
      <w:t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Criterios de aceptación de SYS-FN-01 a 04, 35 y 36</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Verificados en sistema e integración; SYS-FN-01 y 04 de IT-01 integrados; los de IT-02, pendientes de la PR #3</w:t>
            </w:r>
          </w:p>
        </w:tc>
      </w:tr>
      <w:t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 de carga de 200 peticiones por minuto (SYS-NFN-03) y de 500 usuarios concurrentes (SYS-NFN-06)</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Pendientes: requieren el entorno de nube de ADR-09</w:t>
            </w:r>
          </w:p>
        </w:tc>
      </w:tr>
      <w:t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TLS 1.3 (SYS-NFN-02) y cifrado en reposo (SYS-NFN-01)</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Pendientes: los aporta la infraestructura de producción (ADR-09); el entorno de sistema local no termina TLS</w:t>
            </w:r>
          </w:p>
        </w:tc>
      </w:tr>
      <w:t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CT-SEG-05 a CT-SEG-08 (tramos B y C de IT-02)</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Pendientes: no construidos a la fecha de corte</w:t>
            </w:r>
          </w:p>
        </w:tc>
      </w:tr>
      <w:t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Notificaciones reales por WhatsApp Business API y correo</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Pendientes: en el alcance vigente se verifican con proveedores simulados</w:t>
            </w:r>
          </w:p>
        </w:tc>
      </w:tr>
    </w:tbl>
    <w:p>
      <w:pPr>
        <w:pStyle w:val="Heading1"/>
      </w:pPr>
      <w:bookmarkStart w:name="_Toc16" w:id="16"/>
      <w:r>
        <w:t xml:space="preserve">3. Conclusiones</w:t>
      </w:r>
      <w:bookmarkEnd w:id="16"/>
    </w:p>
    <w:p>
      <w:pPr>
        <w:spacing w:after="120" w:line="276"/>
        <w:jc w:val="both"/>
      </w:pPr>
      <w:r>
        <w:t xml:space="preserve">Los seis criterios de aceptación de D2 del alcance construido se ejecutaron con el método asignado y su resultado consta, como exige la condición 1 de la Definición de Terminado. También se ejecutaron, contra el sistema completo, los criterios de salida de IT-01 e IT-02. Las pruebas de sistema corren en cada cambio dentro de la CI, sobre la misma imagen que se desplegaría, con secretos de un solo uso y un entorno que se destruye al terminar.</w:t>
      </w:r>
    </w:p>
    <w:p>
      <w:pPr>
        <w:spacing w:after="120" w:line="276"/>
        <w:jc w:val="both"/>
      </w:pPr>
      <w:r>
        <w:t xml:space="preserve">Las pruebas cumplieron su función de control: detectaron y llevaron a corregir cinco defectos que no habrían aparecido en las pruebas unitarias. Entre ellos, una sonda de vitalidad inutilizable por el balanceador y activos sin comprimir que ponían la carga en 3G al borde del umbral. Quedan pendientes las pruebas que dependen de la infraestructura de producción (carga, TLS y cifrado en reposo) y las de los tramos B y C.</w:t>
      </w:r>
    </w:p>
    <w:p>
      <w:pPr>
        <w:pStyle w:val="Heading1"/>
      </w:pPr>
      <w:bookmarkStart w:name="_Toc17" w:id="17"/>
      <w:r>
        <w:t xml:space="preserve">4. Referencias normativas y bibliográficas</w:t>
      </w:r>
      <w:bookmarkEnd w:id="17"/>
    </w:p>
    <w:p>
      <w:pPr>
        <w:spacing w:after="120" w:line="276"/>
        <w:jc w:val="both"/>
      </w:pPr>
      <w:r>
        <w:t xml:space="preserve">[1] ISO/IEC/IEEE 29119-1:2022, 29119-2:2021 y 29119-3:2021. </w:t>
      </w:r>
      <w:r>
        <w:rPr>
          <w:i/>
          <w:iCs/>
        </w:rPr>
        <w:t xml:space="preserve">Software and systems engineering — Software testing</w:t>
      </w:r>
      <w:r>
        <w:t xml:space="preserve">, partes 1, 2 y 3.</w:t>
      </w:r>
    </w:p>
    <w:p>
      <w:pPr>
        <w:spacing w:after="120" w:line="276"/>
        <w:jc w:val="both"/>
      </w:pPr>
      <w:r>
        <w:t xml:space="preserve">[2] ISO/IEC/IEEE 29148:2011. </w:t>
      </w:r>
      <w:r>
        <w:rPr>
          <w:i/>
          <w:iCs/>
        </w:rPr>
        <w:t xml:space="preserve">Systems and software engineering — Life cycle processes — Requirements engineering</w:t>
      </w:r>
      <w:r>
        <w:t xml:space="preserve">.</w:t>
      </w:r>
    </w:p>
    <w:p>
      <w:pPr>
        <w:spacing w:after="120" w:line="276"/>
        <w:jc w:val="both"/>
      </w:pPr>
      <w:r>
        <w:t xml:space="preserve">[3] ISO/IEC 27002:2022, control 8.31.</w:t>
      </w:r>
    </w:p>
    <w:p>
      <w:pPr>
        <w:spacing w:after="120" w:line="276"/>
        <w:jc w:val="both"/>
      </w:pPr>
      <w:r>
        <w:t xml:space="preserve">[4] Microsoft. </w:t>
      </w:r>
      <w:r>
        <w:rPr>
          <w:i/>
          <w:iCs/>
        </w:rPr>
        <w:t xml:space="preserve">Playwright</w:t>
      </w:r>
      <w:r>
        <w:t xml:space="preserve"> 1.64.1. Documentación de pruebas y reportes JUnit.</w:t>
      </w:r>
    </w:p>
    <w:p>
      <w:pPr>
        <w:spacing w:after="120" w:line="276"/>
        <w:jc w:val="both"/>
      </w:pPr>
      <w:r>
        <w:t xml:space="preserve">[5] Serie AbasteceNi: D2 v1.1 (criterios de aceptación), D4 v1.1 (§2.13, DM-04), D5 v1.1 (MD-05) (</w:t>
      </w:r>
      <w:r>
        <w:rPr>
          <w:rFonts w:ascii="Consolas" w:cs="Consolas" w:eastAsia="Consolas" w:hAnsi="Consolas"/>
          <w:sz w:val="20"/>
          <w:szCs w:val="20"/>
        </w:rPr>
        <w:t xml:space="preserve">docs/serie/</w:t>
      </w:r>
      <w:r>
        <w:t xml:space="preserve">).</w:t>
      </w:r>
    </w:p>
    <w:p>
      <w:pPr>
        <w:pStyle w:val="Heading1"/>
      </w:pPr>
      <w:bookmarkStart w:name="_Toc18" w:id="18"/>
      <w:r>
        <w:t xml:space="preserve">5. Anexos</w:t>
      </w:r>
      <w:bookmarkEnd w:id="18"/>
    </w:p>
    <w:p>
      <w:pPr>
        <w:pStyle w:val="Heading2"/>
      </w:pPr>
      <w:bookmarkStart w:name="_Toc19" w:id="19"/>
      <w:r>
        <w:t xml:space="preserve">Anexo A — Reportes</w:t>
      </w:r>
      <w:bookmarkEnd w:id="19"/>
    </w:p>
    <w:p>
      <w:pPr>
        <w:pStyle w:val="ListParagraph"/>
        <w:numPr>
          <w:ilvl w:val="0"/>
          <w:numId w:val="2"/>
        </w:numPr>
        <w:spacing w:after="60"/>
        <w:jc w:val="left"/>
      </w:pPr>
      <w:r>
        <w:t xml:space="preserve">Escenarios de extremo a extremo: </w:t>
      </w:r>
      <w:r>
        <w:rPr>
          <w:rFonts w:ascii="Consolas" w:cs="Consolas" w:eastAsia="Consolas" w:hAnsi="Consolas"/>
          <w:sz w:val="20"/>
          <w:szCs w:val="20"/>
        </w:rPr>
        <w:t xml:space="preserve">docs/evidencia/pruebas/it-01/sistema/junit.xml</w:t>
      </w:r>
      <w:r>
        <w:t xml:space="preserve"> (8 casos), </w:t>
      </w:r>
      <w:r>
        <w:rPr>
          <w:rFonts w:ascii="Consolas" w:cs="Consolas" w:eastAsia="Consolas" w:hAnsi="Consolas"/>
          <w:sz w:val="20"/>
          <w:szCs w:val="20"/>
        </w:rPr>
        <w:t xml:space="preserve">docs/evidencia/pruebas/it-02/sistema/junit.xml</w:t>
      </w:r>
      <w:r>
        <w:t xml:space="preserve"> (13 casos) y </w:t>
      </w:r>
      <w:r>
        <w:rPr>
          <w:rFonts w:ascii="Consolas" w:cs="Consolas" w:eastAsia="Consolas" w:hAnsi="Consolas"/>
          <w:sz w:val="20"/>
          <w:szCs w:val="20"/>
        </w:rPr>
        <w:t xml:space="preserve">docs/evidencia/pruebas/it-02/experiencia/sistema-junit.xml</w:t>
      </w:r>
      <w:r>
        <w:t xml:space="preserve"> (21 casos, con accesibilidad y capturas).</w:t>
      </w:r>
    </w:p>
    <w:p>
      <w:pPr>
        <w:pStyle w:val="ListParagraph"/>
        <w:numPr>
          <w:ilvl w:val="0"/>
          <w:numId w:val="2"/>
        </w:numPr>
        <w:spacing w:after="60"/>
        <w:jc w:val="left"/>
      </w:pPr>
      <w:r>
        <w:t xml:space="preserve">Integración HTTP: </w:t>
      </w:r>
      <w:r>
        <w:rPr>
          <w:rFonts w:ascii="Consolas" w:cs="Consolas" w:eastAsia="Consolas" w:hAnsi="Consolas"/>
          <w:sz w:val="20"/>
          <w:szCs w:val="20"/>
        </w:rPr>
        <w:t xml:space="preserve">docs/evidencia/pruebas/it-02/backend/junit.xml</w:t>
      </w:r>
      <w:r>
        <w:t xml:space="preserve"> (156 casos de la batería principal, de los cuales 48 son de integración).</w:t>
      </w:r>
    </w:p>
    <w:p>
      <w:pPr>
        <w:pStyle w:val="ListParagraph"/>
        <w:numPr>
          <w:ilvl w:val="0"/>
          <w:numId w:val="2"/>
        </w:numPr>
        <w:spacing w:after="60"/>
        <w:jc w:val="left"/>
      </w:pPr>
      <w:r>
        <w:t xml:space="preserve">Registro de los servicios durante la prueba: </w:t>
      </w:r>
      <w:r>
        <w:rPr>
          <w:rFonts w:ascii="Consolas" w:cs="Consolas" w:eastAsia="Consolas" w:hAnsi="Consolas"/>
          <w:sz w:val="20"/>
          <w:szCs w:val="20"/>
        </w:rPr>
        <w:t xml:space="preserve">docs/evidencia/pruebas/it-02/sistema/servicios.log</w:t>
      </w:r>
      <w:r>
        <w:t xml:space="preserve">. Contiene solo método, ruta declarada, estado y duración, sin datos personales (V-03).</w:t>
      </w:r>
    </w:p>
    <w:sectPr>
      <w:headerReference w:type="default" r:id="rId6"/>
      <w:headerReference w:type="first" r:id="rId7"/>
      <w:footerReference w:type="default" r:id="rId8"/>
      <w:footerReference w:type="first" r:id="rId9"/>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AbasteceNi — Informe 4a: Pruebas de sistema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spacing w:after="120" w:before="240"/>
      <w:outlineLvl w:val="1"/>
    </w:pPr>
    <w:rPr>
      <w:rFonts w:ascii="Calibri Light" w:cs="Calibri Light" w:eastAsia="Calibri Light" w:hAnsi="Calibri Light"/>
      <w:color w:val="2E74B5"/>
      <w:sz w:val="26"/>
      <w:szCs w:val="26"/>
    </w:rPr>
  </w:style>
  <w:style w:type="paragraph" w:styleId="Heading3">
    <w:name w:val="Heading 3"/>
    <w:basedOn w:val="Normal"/>
    <w:next w:val="Normal"/>
    <w:qFormat/>
    <w:pPr>
      <w:spacing w:after="100" w:before="200"/>
      <w:outlineLvl w:val="2"/>
    </w:pPr>
    <w:rPr>
      <w:rFonts w:ascii="Calibri Light" w:cs="Calibri Light" w:eastAsia="Calibri Light" w:hAnsi="Calibri Light"/>
      <w:color w:val="1F4D7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sistema</dc:title>
  <dc:creator>Equipo AbasteceNi (U-01)</dc:creator>
  <dc:description>Informe 4a de la fase de desarrollo de AbasteceNi</dc:description>
  <cp:lastModifiedBy>Un-named</cp:lastModifiedBy>
  <cp:revision>1</cp:revision>
  <dcterms:created xsi:type="dcterms:W3CDTF">2026-10-17T13:33:29.789Z</dcterms:created>
  <dcterms:modified xsi:type="dcterms:W3CDTF">2026-10-17T13:33:29.789Z</dcterms:modified>
</cp:coreProperties>
</file>

<file path=docProps/custom.xml><?xml version="1.0" encoding="utf-8"?>
<Properties xmlns="http://schemas.openxmlformats.org/officeDocument/2006/custom-properties" xmlns:vt="http://schemas.openxmlformats.org/officeDocument/2006/docPropsVTypes"/>
</file>