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UNIVERSIDAD NACIONAL DE INGENIERÍA</w:t>
      </w:r>
    </w:p>
    <w:p>
      <w:pPr>
        <w:spacing w:after="80"/>
        <w:jc w:val="center"/>
      </w:pPr>
      <w:r>
        <w:rPr>
          <w:sz w:val="24"/>
          <w:szCs w:val="24"/>
        </w:rPr>
        <w:t xml:space="preserve">ÁREA DACTIC</w:t>
      </w:r>
    </w:p>
    <w:p>
      <w:pPr>
        <w:spacing w:after="80"/>
        <w:jc w:val="center"/>
      </w:pPr>
      <w:r>
        <w:rPr>
          <w:sz w:val="24"/>
          <w:szCs w:val="24"/>
        </w:rPr>
        <w:t xml:space="preserve">Programa Académico de Ingeniería en Computación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INGENIERÍA DE SOFTWARE I</w:t>
      </w:r>
    </w:p>
    <w:p>
      <w:pPr>
        <w:spacing w:after="160"/>
        <w:jc w:val="center"/>
      </w:pPr>
      <w:r>
        <w:rPr>
          <w:b/>
          <w:bCs/>
          <w:color w:val="2E74B5"/>
          <w:sz w:val="36"/>
          <w:szCs w:val="36"/>
        </w:rPr>
        <w:t xml:space="preserve">INFORME TÉCNICO: EXPERIENCIA DE USUARIO CONFORME A ISO 9241</w:t>
      </w:r>
    </w:p>
    <w:p>
      <w:pPr>
        <w:spacing w:after="160"/>
        <w:jc w:val="center"/>
      </w:pPr>
      <w:r>
        <w:rPr>
          <w:sz w:val="26"/>
          <w:szCs w:val="26"/>
        </w:rPr>
        <w:t xml:space="preserve">Flujo de afiliación, principios de diálogo, rendimiento y accesibilidad</w:t>
      </w:r>
    </w:p>
    <w:p>
      <w:pPr>
        <w:spacing w:after="80"/>
        <w:jc w:val="center"/>
      </w:pPr>
      <w:r>
        <w:rPr>
          <w:sz w:val="24"/>
          <w:szCs w:val="24"/>
        </w:rPr>
        <w:t xml:space="preserve">Plataforma Web B2B de Emparejamiento Comercial «AbasteceNi»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Empresa simulada AbasteceNi, S.A. — Informe 2 de la fase de desarrollo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Marco normativo rector</w:t>
      </w:r>
    </w:p>
    <w:p>
      <w:pPr>
        <w:spacing w:after="80"/>
        <w:jc w:val="center"/>
      </w:pPr>
      <w:r>
        <w:rPr>
          <w:sz w:val="20"/>
          <w:szCs w:val="20"/>
        </w:rPr>
        <w:t xml:space="preserve">ISO 9241-11:2018, ISO 9241-110:2020 e ISO 9241-210:2019 — usabilidad e interacción</w:t>
      </w:r>
    </w:p>
    <w:p>
      <w:pPr>
        <w:spacing w:after="80"/>
        <w:jc w:val="center"/>
      </w:pPr>
      <w:r>
        <w:rPr>
          <w:sz w:val="20"/>
          <w:szCs w:val="20"/>
        </w:rPr>
        <w:t xml:space="preserve">WCAG 2.1 nivel AA — accesibilidad · ISO/IEC 25062:2006 — formato CIF</w:t>
      </w:r>
    </w:p>
    <w:p>
      <w:pPr>
        <w:spacing w:after="80"/>
        <w:jc w:val="center"/>
      </w:pPr>
      <w:r>
        <w:rPr>
          <w:sz w:val="20"/>
          <w:szCs w:val="20"/>
        </w:rPr>
        <w:t xml:space="preserve">Serie AbasteceNi: D1 (RO-06), D2 (SYS-NFN-08 a 12), D3 (ADR-06)</w:t>
      </w:r>
    </w:p>
    <w:p>
      <w:pPr>
        <w:spacing w:after="480"/>
      </w:pP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Integrantes</w:t>
      </w:r>
    </w:p>
    <w:p>
      <w:pPr>
        <w:spacing w:after="80"/>
        <w:jc w:val="center"/>
      </w:pPr>
      <w:r>
        <w:rPr>
          <w:sz w:val="22"/>
          <w:szCs w:val="22"/>
        </w:rPr>
        <w:t xml:space="preserve">Edith Yasohara Roda Hernández — 2023-0752U</w:t>
      </w:r>
    </w:p>
    <w:p>
      <w:pPr>
        <w:spacing w:after="80"/>
        <w:jc w:val="center"/>
      </w:pPr>
      <w:r>
        <w:rPr>
          <w:sz w:val="22"/>
          <w:szCs w:val="22"/>
        </w:rPr>
        <w:t xml:space="preserve">Pedro José Miranda Gómez — 2022-0288U</w:t>
      </w:r>
    </w:p>
    <w:p>
      <w:pPr>
        <w:spacing w:after="0"/>
        <w:jc w:val="center"/>
      </w:pPr>
      <w:r>
        <w:rPr>
          <w:sz w:val="22"/>
          <w:szCs w:val="22"/>
        </w:rPr>
        <w:t xml:space="preserve">Grupo: 4S1-COM · Versión 1.0 · 17 de octubre de 2026</w:t>
      </w:r>
    </w:p>
    <w:p>
      <w:r>
        <w:br w:type="page"/>
      </w:r>
    </w:p>
    <w:p>
      <w:pPr>
        <w:spacing w:after="120"/>
      </w:pPr>
      <w:r>
        <w:rPr>
          <w:b/>
          <w:bCs/>
          <w:color w:val="2E74B5"/>
          <w:sz w:val="28"/>
          <w:szCs w:val="28"/>
        </w:rPr>
        <w:t xml:space="preserve">Tabla de contenido</w:t>
      </w: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Si el índice aparece vacío, haga clic derecho sobre él y elija «Actualizar campo».</w:t>
      </w:r>
    </w:p>
    <w:sdt>
      <w:sdtPr>
        <w:alias w:val="Tabla de 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1.1 Propósito del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1.2 Alcance y estado de integración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1.3 Insumos heredados de la serie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1.4 Normas aplicables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2. Desarrollo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2.1 Contexto de uso (ISO 9241-11)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2.2 Proceso de diseño centrado en el ser humano (ISO 9241-210)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2.3 Contraste con los principios de ISO 9241-110, pantalla por pantalla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0">
            <w:r>
              <w:t xml:space="preserve">Pantalla 1 — Vista inicial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1">
            <w:r>
              <w:t xml:space="preserve">Pantallas 2 a 4 — Formulario de registro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2">
            <w:r>
              <w:t xml:space="preserve">Pantallas 5 y 6 — Confirmación e inicio de sesión de una cuenta pendiente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3">
            <w:r>
              <w:t xml:space="preserve">Pantallas 7 a 9 — Paneles por rol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60" w:leader="dot"/>
            </w:tabs>
            <w:ind w:left="440"/>
          </w:pPr>
          <w:hyperlink w:history="1" w:anchor="_Toc14">
            <w:r>
              <w:t xml:space="preserve">Pantallas 10 a 12 — Recuperación de la contraseña (SYS-FN-05)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2.4 Rendimiento, adaptación y peso de la vista inicial (SYS-NFN-08, 09 y 10)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2.5 Accesibilidad (WCAG 2.1 AA; SYS-NFN-12)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2.6 Informe de usabilidad en formato CIF (ISO/IEC 25062)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2.7 Lo construido y verificado frente a lo pendiente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9">
            <w:r>
              <w:t xml:space="preserve">3. Conclusiones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4. Referencias normativas y bibliográficas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5. Anexos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Anexo A — Mediciones sin compresión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Anexo B — Reproducción de las mediciones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Introducción</w:t>
      </w:r>
      <w:bookmarkEnd w:id="1"/>
    </w:p>
    <w:p>
      <w:pPr>
        <w:pStyle w:val="Heading2"/>
      </w:pPr>
      <w:bookmarkStart w:name="_Toc2" w:id="2"/>
      <w:r>
        <w:t xml:space="preserve">1.1 Propósito del documento</w:t>
      </w:r>
      <w:bookmarkEnd w:id="2"/>
    </w:p>
    <w:p>
      <w:pPr>
        <w:spacing w:after="120" w:line="276"/>
        <w:jc w:val="both"/>
      </w:pPr>
      <w:r>
        <w:t xml:space="preserve">Este informe evalúa la experiencia de usuario de la interfaz construida de AbasteceNi conforme a la serie ISO 9241. Contrasta, pantalla por pantalla, el flujo de afiliación de IT-02 con los siete principios de diálogo de ISO 9241-110:2020. Mide la vista inicial con Lighthouse y la accesibilidad de todas las vistas con axe-core, frente a los requisitos de rendimiento, adaptación, peso y accesibilidad del documento 2 (SYS-NFN-08, 09, 10 y 12). La presentación de los resultados sigue la estructura del formato común de la industria de ISO/IEC 25062:2006, con una salvedad: no se realizaron sesiones con participantes, y el informe lo declara en lugar de simularlo.</w:t>
      </w:r>
    </w:p>
    <w:p>
      <w:pPr>
        <w:pStyle w:val="Heading2"/>
      </w:pPr>
      <w:bookmarkStart w:name="_Toc3" w:id="3"/>
      <w:r>
        <w:t xml:space="preserve">1.2 Alcance y estado de integración</w:t>
      </w:r>
      <w:bookmarkEnd w:id="3"/>
    </w:p>
    <w:p>
      <w:pPr>
        <w:spacing w:after="120" w:line="276"/>
        <w:jc w:val="both"/>
      </w:pPr>
      <w:r>
        <w:t xml:space="preserve">La interfaz evaluada es la capa 1 (ADR-06) de la rama </w:t>
      </w:r>
      <w:r>
        <w:rPr>
          <w:rFonts w:ascii="Consolas" w:cs="Consolas" w:eastAsia="Consolas" w:hAnsi="Consolas"/>
          <w:sz w:val="20"/>
          <w:szCs w:val="20"/>
        </w:rPr>
        <w:t xml:space="preserve">it-02/afiliacion</w:t>
      </w:r>
      <w:r>
        <w:t xml:space="preserve">. Su CI de cierre (ejecución 39033238576) terminó con 10 de 10 trabajos en verde. Las mediciones de este informe se tomaron después, sobre la rama </w:t>
      </w:r>
      <w:r>
        <w:rPr>
          <w:rFonts w:ascii="Consolas" w:cs="Consolas" w:eastAsia="Consolas" w:hAnsi="Consolas"/>
          <w:sz w:val="20"/>
          <w:szCs w:val="20"/>
        </w:rPr>
        <w:t xml:space="preserve">it-02/informes</w:t>
      </w:r>
      <w:r>
        <w:t xml:space="preserve">, en el entorno de sistema de Docker Compose. Las pantallas de recuperación de la contraseña (SYS-FN-05), de la rama </w:t>
      </w:r>
      <w:r>
        <w:rPr>
          <w:rFonts w:ascii="Consolas" w:cs="Consolas" w:eastAsia="Consolas" w:hAnsi="Consolas"/>
          <w:sz w:val="20"/>
          <w:szCs w:val="20"/>
        </w:rPr>
        <w:t xml:space="preserve">it-02/recuperacion</w:t>
      </w:r>
      <w:r>
        <w:t xml:space="preserve">, se evalúan en el §2.3 con el mismo método, y el análisis de accesibilidad del §2.5 se repitió el 19 de octubre para incluirlas. IT-00, IT-01 e IT-02 (tramo A) están integradas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(PR #1, #2 y #3), con la batería en verde. Del tramo B, SYS-FN-07 también está integrado (PR #6). SYS-FN-05, que completa el tramo B, y SYS-FN-08, del tramo C, están construidos y verificados (ejecución 39339908565, 10/10 en verde), pendientes de la revisión cruzada y de la integración (PR #8).</w:t>
      </w:r>
    </w:p>
    <w:p>
      <w:pPr>
        <w:pStyle w:val="Heading2"/>
      </w:pPr>
      <w:bookmarkStart w:name="_Toc4" w:id="4"/>
      <w:r>
        <w:t xml:space="preserve">1.3 Insumos heredados de la serie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1123"/>
        <w:gridCol w:w="4306"/>
      </w:tblGrid>
      <w:tr>
        <w:trPr>
          <w:tblHeader/>
        </w:trP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Insumo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Consecuencia para la experiencia de usuario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RO-06: operación territorial sobre redes celulares degradadas y teléfonos de gama media; alfabetización digital baja en parte del público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D1 §2.12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Diseño mobile-first desde 320 px, peso reducido, ayuda en cada campo y mensajes que dicen qué corregir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Escenarios A y B del concepto operacional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§2.6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Usuarios reales del contexto de uso: farmacia de El Viejo, finquero de Estelí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SYS-NFN-08: carga &lt; 2,5 s en 4G/LTE y &lt; 5,0 s en 3G, en tres mediciones consecutivas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Medición con Lighthouse en perfiles 4G y 3G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SYS-NFN-09: desde 320 px, sin desplazamiento horizontal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 de sistema a 320 px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SYS-NFN-10: activos comprimidos y minificados, ≤ 2,5 MB en la vista inicial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Peso total medido por Lighthouse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SYS-NFN-11: ayuda contextual en los formularios críticos y tutoriales en video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Ayuda en cada campo del registro; los tutoriales quedan pendientes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SYS-NFN-12: operación completa por teclado (WCAG 2.1 criterios 2.1.1 y 2.1.2), prioridad «Podría»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automatizadas de teclado y análisis con axe-core</w:t>
            </w:r>
          </w:p>
        </w:tc>
      </w:tr>
      <w:tr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ADR-06: interfaz cliente desacoplada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D3 §2.7.2</w:t>
            </w:r>
          </w:p>
        </w:tc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React con Vite; el cliente HTTP se genera desde el contrato</w:t>
            </w:r>
          </w:p>
        </w:tc>
      </w:tr>
    </w:tbl>
    <w:p>
      <w:pPr>
        <w:pStyle w:val="Heading2"/>
      </w:pPr>
      <w:bookmarkStart w:name="_Toc5" w:id="5"/>
      <w:r>
        <w:t xml:space="preserve">1.4 Normas aplicables</w:t>
      </w:r>
      <w:bookmarkEnd w:id="5"/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 9241-11:2018.</w:t>
      </w:r>
      <w:r>
        <w:t xml:space="preserve"> Define la usabilidad como el grado en que usuarios especificados logran objetivos especificados con eficacia, eficiencia y satisfacción en un contexto de uso especificado. Organiza el §2.1.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 9241-110:2020.</w:t>
      </w:r>
      <w:r>
        <w:t xml:space="preserve"> Siete principios de interacción: adecuación a las tareas del usuario, autodescripción, conformidad con las expectativas del usuario, facilidad de aprendizaje, controlabilidad, robustez frente a errores de uso y compromiso del usuario. Organiza el §2.3.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 9241-210:2019.</w:t>
      </w:r>
      <w:r>
        <w:t xml:space="preserve"> Diseño centrado en el ser humano: comprender el contexto de uso, especificar requisitos, producir soluciones de diseño y evaluarlas. Organiza el §2.2.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WCAG 2.1 nivel AA</w:t>
      </w:r>
      <w:r>
        <w:t xml:space="preserve"> (W3C), verificada con axe-core 4.11 a través de </w:t>
      </w:r>
      <w:r>
        <w:rPr>
          <w:rFonts w:ascii="Consolas" w:cs="Consolas" w:eastAsia="Consolas" w:hAnsi="Consolas"/>
          <w:sz w:val="20"/>
          <w:szCs w:val="20"/>
        </w:rPr>
        <w:t xml:space="preserve">@axe-core/playwright</w:t>
      </w:r>
      <w:r>
        <w:t xml:space="preserve"> 4.14.0. Organiza el §2.5.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ISO/IEC 25062:2006.</w:t>
      </w:r>
      <w:r>
        <w:t xml:space="preserve"> Formato común de la industria (CIF) para informes de pruebas de usabilidad. Organiza el §2.6.</w:t>
      </w:r>
    </w:p>
    <w:p>
      <w:pPr>
        <w:pStyle w:val="Heading1"/>
      </w:pPr>
      <w:bookmarkStart w:name="_Toc6" w:id="6"/>
      <w:r>
        <w:t xml:space="preserve">2. Desarrollo</w:t>
      </w:r>
      <w:bookmarkEnd w:id="6"/>
    </w:p>
    <w:p>
      <w:pPr>
        <w:pStyle w:val="Heading2"/>
      </w:pPr>
      <w:bookmarkStart w:name="_Toc7" w:id="7"/>
      <w:r>
        <w:t xml:space="preserve">2.1 Contexto de uso (ISO 9241-11)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Descripción en AbasteceNi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Compradores minoristas (farmacias, ferreterías, pulperías), proveedores mayoristas, productores agrícolas y el Administrador de la plataforma (D2 §2.2). Parte del público tiene alfabetización digital baja (RO-06).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Objetivos evaluados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Afiliarse: registrar la cuenta comercial con su documento legal y su consentimiento (SYS-FN-01, 02 y 36). Validar solicitudes como Administrador (SYS-FN-03). Iniciar sesión y llegar al panel del propio rol (SYS-FN-04).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Tareas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Completar el formulario de nueve campos, adjuntar el documento, aceptar el consentimiento y enviar; corregir los errores señalados; revisar y decidir una solicitud; iniciar y cerrar sesión.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Teléfono de gama media con navegador móvil. Se evaluó a 360 × 740 y a 320 px de ancho, con la CPU ralentizada ×4 en Lighthouse.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Entorno físico y técnico</w:t>
            </w:r>
          </w:p>
        </w:tc>
        <w:tc>
          <w:tcPr>
            <w:tcW w:type="dxa" w:w="7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Comercios de Chinandega, El Viejo y Estelí con redes celulares 3G y 4G degradadas (D2 §2.6; RO-06).</w:t>
            </w:r>
          </w:p>
        </w:tc>
      </w:tr>
    </w:tbl>
    <w:p>
      <w:pPr>
        <w:pStyle w:val="Heading2"/>
      </w:pPr>
      <w:bookmarkStart w:name="_Toc8" w:id="8"/>
      <w:r>
        <w:t xml:space="preserve">2.2 Proceso de diseño centrado en el ser humano (ISO 9241-210)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4305"/>
        <w:gridCol w:w="2622"/>
      </w:tblGrid>
      <w:tr>
        <w:trPr>
          <w:tblHeader/>
        </w:trP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Actividad de ISO 9241-210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Cómo se realizó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Comprender y especificar el contexto de uso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Observación contextual y entrevistas en comercios de Chinandega y El Viejo, y escenarios de uso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§2.4.1, §2.4.2 y §2.6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Especificar los requisitos de usuario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Requisitos SYS-NFN-08 a 12 con umbrales medibles (Planguage), más las reglas aprobadas de textos y paneles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D2 §3; DIS-26, DIS-28 y DIS-31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Producir soluciones de diseño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Formulario armado por composición de campos con ayuda contextual (AS-07), paneles por rol y mensajes en un catálogo único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apps/web/src/componentes/campos-registro.ts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apps/backend/src/aplicacion/transversal/mensajes.ts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Evaluar el diseño frente a los requisitos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Inspección por principios (§2.3), mediciones automatizadas (§2.4 y §2.5) y pruebas de sistema. La evaluación con usuarios está pendiente (§2.6).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e2e/pruebas/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docs/evidencia/pruebas/it-02/experiencia/</w:t>
            </w:r>
          </w:p>
        </w:tc>
      </w:tr>
    </w:tbl>
    <w:p>
      <w:pPr>
        <w:pStyle w:val="Heading2"/>
      </w:pPr>
      <w:bookmarkStart w:name="_Toc9" w:id="9"/>
      <w:r>
        <w:t xml:space="preserve">2.3 Contraste con los principios de ISO 9241-110, pantalla por pantalla</w:t>
      </w:r>
      <w:bookmarkEnd w:id="9"/>
    </w:p>
    <w:p>
      <w:pPr>
        <w:spacing w:after="120" w:line="276"/>
        <w:jc w:val="both"/>
      </w:pPr>
      <w:r>
        <w:t xml:space="preserve">Las capturas de las figuras 1 a 4 se tomaron con una prueba de sistema (</w:t>
      </w:r>
      <w:r>
        <w:rPr>
          <w:rFonts w:ascii="Consolas" w:cs="Consolas" w:eastAsia="Consolas" w:hAnsi="Consolas"/>
          <w:sz w:val="20"/>
          <w:szCs w:val="20"/>
        </w:rPr>
        <w:t xml:space="preserve">e2e/pruebas/capturas.spec.ts</w:t>
      </w:r>
      <w:r>
        <w:t xml:space="preserve">) a 360 × 740 píxeles, sobre la aplicación real levantada con Docker Compose.</w:t>
      </w:r>
    </w:p>
    <w:p>
      <w:pPr>
        <w:jc w:val="center"/>
      </w:pPr>
      <w:r>
        <w:drawing>
          <wp:inline distT="0" distB="0" distL="0" distR="0">
            <wp:extent cx="57150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1. Pantallas 1 a 3: vista inicial, formulario de registro vacío y formulario enviado sin datos.</w:t>
      </w:r>
    </w:p>
    <w:p>
      <w:pPr>
        <w:jc w:val="center"/>
      </w:pPr>
      <w:r>
        <w:drawing>
          <wp:inline distT="0" distB="0" distL="0" distR="0">
            <wp:extent cx="5715000" cy="4257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2. Pantallas 4 a 6: RUC escrito con guiones, registro confirmado e inicio de sesión de una cuenta pendiente.</w:t>
      </w:r>
    </w:p>
    <w:p>
      <w:pPr>
        <w:jc w:val="center"/>
      </w:pPr>
      <w:r>
        <w:drawing>
          <wp:inline distT="0" distB="0" distL="0" distR="0">
            <wp:extent cx="5715000" cy="4229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3. Pantallas 7 a 9: panel del Administrador con el rechazo en curso, solicitud aprobada y panel del Comprador.</w:t>
      </w:r>
    </w:p>
    <w:p>
      <w:pPr>
        <w:jc w:val="center"/>
      </w:pPr>
      <w:r>
        <w:drawing>
          <wp:inline distT="0" distB="0" distL="0" distR="0">
            <wp:extent cx="5715000" cy="3800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4. Pantallas 10 a 12: aviso tras solicitar el enlace de recuperación, contraseña nueva enviada sin datos y enlace vencido o ya usado (SYS-FN-05).</w:t>
      </w:r>
    </w:p>
    <w:p>
      <w:pPr>
        <w:pStyle w:val="Heading3"/>
      </w:pPr>
      <w:bookmarkStart w:name="_Toc10" w:id="10"/>
      <w:r>
        <w:t xml:space="preserve">Pantalla 1 — Vista inicial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616"/>
        <w:gridCol w:w="1498"/>
      </w:tblGrid>
      <w:tr>
        <w:trPr>
          <w:tblHeader/>
        </w:trP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Autodescripción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Nombre de la plataforma, su propósito en una línea y el estado del servicio visible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Conformidad con las expectativas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Navegación fija con tres destinos en lenguaje del usuario: Inicio, Registrar cuenta, Iniciar sesión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Compromiso del usuario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vista no explica todavía el valor de consolidar la demanda (O-StRS-02); depende de funciones de M3, fuera del alcance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Mejora pendiente</w:t>
            </w:r>
          </w:p>
        </w:tc>
      </w:tr>
    </w:tbl>
    <w:p>
      <w:pPr>
        <w:pStyle w:val="Heading3"/>
      </w:pPr>
      <w:bookmarkStart w:name="_Toc11" w:id="11"/>
      <w:r>
        <w:t xml:space="preserve">Pantallas 2 a 4 — Formulario de registro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616"/>
        <w:gridCol w:w="1498"/>
      </w:tblGrid>
      <w:tr>
        <w:trPr>
          <w:tblHeader/>
        </w:trP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Adecuación a la tarea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Solo se piden los datos de SYS-FN-01 y los aprobados en DIS-16, 17 y 19; el documento y el consentimiento van en el mismo envío (DIS-29), sin pasos extra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Autodescripción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Cada campo dice qué se espera: el RUC indica su formato y el teléfono, el código de país y su uso para los avisos por WhatsApp (SYS-NFN-11)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frente a errores de uso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errores se señalan en el propio campo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aria-invalid</w:t>
            </w:r>
            <w:r>
              <w:rPr>
                <w:sz w:val="18"/>
                <w:szCs w:val="18"/>
              </w:rPr>
              <w:t xml:space="preserve">, borde rojo y texto), dicen cómo corregir y no borran lo escrito. El servidor repite la validación y su respuesta se coloca en el mismo campo (PA-05).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frente a errores de uso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 RUC escrito con guiones se rechaza (pantalla 4). La regla aprobada (DIS-21) exige «sin guiones», pero el sistema podría tolerarlos y normalizarlos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Mejora propuesta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y autodescripción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Hallazgo: con errores, el formulario no mostraba un resumen arriba ni llevaba el foco al primer campo inválido, y en un teléfono había que desplazarse para encontrarlos. </w:t>
            </w:r>
            <w:r>
              <w:rPr>
                <w:sz w:val="18"/>
                <w:szCs w:val="18"/>
              </w:rPr>
              <w:t xml:space="preserve">Corregido durante la evaluación</w:t>
            </w:r>
            <w:r>
              <w:rPr>
                <w:sz w:val="18"/>
                <w:szCs w:val="18"/>
              </w:rPr>
              <w:t xml:space="preserve"> (commit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5273441</w:t>
            </w:r>
            <w:r>
              <w:rPr>
                <w:sz w:val="18"/>
                <w:szCs w:val="18"/>
              </w:rPr>
              <w:t xml:space="preserve">, integrado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con la PR #6, fusión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2bd1b3e</w:t>
            </w:r>
            <w:r>
              <w:rPr>
                <w:sz w:val="18"/>
                <w:szCs w:val="18"/>
              </w:rPr>
              <w:t xml:space="preserve">): aviso «Revise los datos marcados.» arriba y foco en el primer campo con error, que anuncia su mensaje (WCAG 3.3.1). La pantalla 3 de la figura 1 ya muestra el aviso; la anterior se conserva como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03-registro-errores-sin-aviso.png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Conformidad con las expectativas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selector de archivo muestra «Choose File»: es el control nativo del navegador de pruebas, configurado en inglés. En un navegador en español aparece en español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Controlabilidad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usuario decide el orden, puede volver a cualquier campo y nada se envía hasta que lo pide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3"/>
      </w:pPr>
      <w:bookmarkStart w:name="_Toc12" w:id="12"/>
      <w:r>
        <w:t xml:space="preserve">Pantallas 5 y 6 — Confirmación e inicio de sesión de una cuenta pendiente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616"/>
        <w:gridCol w:w="1498"/>
      </w:tblGrid>
      <w:tr>
        <w:trPr>
          <w:tblHeader/>
        </w:trP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Autodescripción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confirmación dice en qué estado quedó la cuenta («Pendiente de validación») y qué sigue: el aviso al validarse (DIS-30)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Conformidad con las expectativas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Una cuenta pendiente que intenta entrar recibe «Su cuenta está pendiente de validación.» (DIS-25), no un error genérico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frente a errores de uso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Una contraseña incorrecta recibe un mensaje que no revela si el correo existe, como exige la seguridad, y no bloquea al usuario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3"/>
      </w:pPr>
      <w:bookmarkStart w:name="_Toc13" w:id="13"/>
      <w:r>
        <w:t xml:space="preserve">Pantallas 7 a 9 — Paneles por rol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616"/>
        <w:gridCol w:w="1498"/>
      </w:tblGrid>
      <w:tr>
        <w:trPr>
          <w:tblHeader/>
        </w:trP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Adecuación a la tarea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panel del Administrador muestra solo las solicitudes pendientes, con los datos para decidir y el acceso al documento (PM-01, actividad 4)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Controlabilidad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Rechazar pide el motivo antes de confirmar; aprobar actúa de inmediato y lo confirma con un mensaje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frente a errores de uso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Aprobar no pide confirmación y no puede deshacerse: la máquina de estados no admite una segunda decisión (AS-01). Una confirmación evitaría aprobaciones por error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Mejora propuesta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Facilidad de aprendizaje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Cada rol ve un panel con su nombre (CT-SEG-04); los paneles de las cuentas comerciales anuncian que sus funciones llegan después (DIS-31)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3"/>
      </w:pPr>
      <w:bookmarkStart w:name="_Toc14" w:id="14"/>
      <w:r>
        <w:t xml:space="preserve">Pantallas 10 a 12 — Recuperación de la contraseña (SYS-FN-05)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5616"/>
        <w:gridCol w:w="1498"/>
      </w:tblGrid>
      <w:tr>
        <w:trPr>
          <w:tblHeader/>
        </w:trP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Valoración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Conformidad con las expectativas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 llega desde «¿Olvidó su contraseña?», debajo del formulario de inicio de sesión, donde el usuario lo busca; el aviso dice qué ocurrirá y que el enlace vence en 15 minutos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Adecuación a la tarea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Solo se pide el correo y, después, la contraseña nueva; el secreto viaja en el enlace y el usuario no tiene que copiar ningún código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Autodescripción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Las etiquetas y ayudas son las de DIS-39: «El correo con el que registró la cuenta.» y, para la contraseña nueva, la misma ayuda del registro (12 a 128 caracteres)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Autodescripción frente a seguridad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aviso no confirma si el correo está registrado (DIS-36), para no revelar qué cuentas existen. Quien escriba mal su correo no lo sabrá y esperará un enlace que no llega. Es un compromiso deliberado a favor de la seguridad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Compromiso aceptado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Robustez frente a errores de uso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contraseña se valida en el navegador y en el servidor, con el foco en el campo (pantalla 11); un error de escritura no gasta el enlace (DIS-36). Un enlace vencido o usado explica qué pasó y ofrece «Solicitar un enlace nuevo» (pantalla 12)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Controlabilidad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Tras restablecer, la interfaz ofrece «Iniciar sesión» en lugar de iniciarla sola: el usuario comprueba su contraseña nueva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Facilidad de aprendizaje</w:t>
            </w:r>
          </w:p>
        </w:tc>
        <w:tc>
          <w:tcPr>
            <w:tcW w:type="dxa" w:w="5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Usa los mismos componentes, avisos y validadores que el registro (AS-07)</w:t>
            </w:r>
          </w:p>
        </w:tc>
        <w:tc>
          <w:tcPr>
            <w:tcW w:type="dxa" w:w="14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120" w:line="276"/>
        <w:jc w:val="both"/>
      </w:pPr>
      <w:r>
        <w:t xml:space="preserve">Con SYS-FN-08, el dispositivo cuya sesión desplazó un tercer inicio de sesión no cierra la sesión en silencio. Al volver a la aplicación ve el aviso «Su sesión se cerró porque la cuenta inició sesión en otro dispositivo.» (DIS-37), que explica la causa y da la pista de un posible acceso ajeno (conformidad con las expectativas; lo verifica </w:t>
      </w:r>
      <w:r>
        <w:rPr>
          <w:rFonts w:ascii="Consolas" w:cs="Consolas" w:eastAsia="Consolas" w:hAnsi="Consolas"/>
          <w:sz w:val="20"/>
          <w:szCs w:val="20"/>
        </w:rPr>
        <w:t xml:space="preserve">e2e/pruebas/sesion.spec.ts</w:t>
      </w:r>
      <w:r>
        <w:t xml:space="preserve">).</w:t>
      </w:r>
    </w:p>
    <w:p>
      <w:pPr>
        <w:pStyle w:val="Heading2"/>
      </w:pPr>
      <w:bookmarkStart w:name="_Toc15" w:id="15"/>
      <w:r>
        <w:t xml:space="preserve">2.4 Rendimiento, adaptación y peso de la vista inicial (SYS-NFN-08, 09 y 10)</w:t>
      </w:r>
      <w:bookmarkEnd w:id="15"/>
    </w:p>
    <w:p>
      <w:pPr>
        <w:spacing w:after="120" w:line="276"/>
        <w:jc w:val="both"/>
      </w:pPr>
      <w:r>
        <w:t xml:space="preserve">Se midió la vista inicial con Lighthouse 13.5.0 (</w:t>
      </w:r>
      <w:r>
        <w:rPr>
          <w:rFonts w:ascii="Consolas" w:cs="Consolas" w:eastAsia="Consolas" w:hAnsi="Consolas"/>
          <w:sz w:val="20"/>
          <w:szCs w:val="20"/>
        </w:rPr>
        <w:t xml:space="preserve">herramientas/sistema/medir-experiencia.mjs</w:t>
      </w:r>
      <w:r>
        <w:t xml:space="preserve">): perfil móvil, simulación de red y CPU ralentizada ×4. Hubo tres mediciones consecutivas por perfil, como pide el criterio de SYS-NFN-08. El perfil 4G usa la red «4G lento» de Lighthouse (150 ms de latencia y 1,6 Mb/s), más exigente que los 100 ms del requisito. El perfil 3G usa «3G regular» (300 ms y 700 kb/s). Como instante de «carga completada» se toma el despliegue del elemento de contenido más grande (LCP), la métrica de carga que percibe el usuario.</w:t>
      </w:r>
    </w:p>
    <w:p>
      <w:pPr>
        <w:spacing w:after="120" w:line="276"/>
        <w:jc w:val="both"/>
      </w:pPr>
      <w:r>
        <w:t xml:space="preserve">La primera medición destapó una brecha con SYS-NFN-10: los activos estaban minificados pero el servidor del entorno de sistema no los comprimía. Se activó gzip en </w:t>
      </w:r>
      <w:r>
        <w:rPr>
          <w:rFonts w:ascii="Consolas" w:cs="Consolas" w:eastAsia="Consolas" w:hAnsi="Consolas"/>
          <w:sz w:val="20"/>
          <w:szCs w:val="20"/>
        </w:rPr>
        <w:t xml:space="preserve">herramientas/sistema/nginx.conf</w:t>
      </w:r>
      <w:r>
        <w:t xml:space="preserve"> (en producción comprime la red de distribución de contenido, ADR-06) y se repitió la medición. Las dos series se conservan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842"/>
        <w:gridCol w:w="936"/>
        <w:gridCol w:w="1123"/>
        <w:gridCol w:w="1123"/>
        <w:gridCol w:w="1029"/>
        <w:gridCol w:w="1123"/>
        <w:gridCol w:w="1216"/>
        <w:gridCol w:w="1126"/>
      </w:tblGrid>
      <w:tr>
        <w:trPr>
          <w:tblHeader/>
        </w:trP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Medición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FCP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LCP (carga)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Speed Index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Peso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1,41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1,43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1,43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1,43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2,78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2,79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2,79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2,79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77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Con compresión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docs/evidencia/pruebas/it-02/experiencia/lighthouse-resumen.json</w:t>
      </w:r>
      <w:r>
        <w:t xml:space="preserve">): la carga más lenta fue de 1,43 s en 4G (umbral 2,5 s) y de 2,79 s en 3G (umbral 5,0 s), y el peso de la vista inicial, de 77 KB (umbral 2,5 MB). </w:t>
      </w:r>
      <w:r>
        <w:rPr>
          <w:b/>
          <w:bCs/>
        </w:rPr>
        <w:t xml:space="preserve">Sin compresión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lighthouse-resumen-sin-compresion.json</w:t>
      </w:r>
      <w:r>
        <w:t xml:space="preserve">) la carga en 3G llegaba a 4,88 s, apenas por debajo del umbral, con un peso de 240 KB.</w:t>
      </w:r>
    </w:p>
    <w:p>
      <w:pPr>
        <w:spacing w:after="120" w:line="276"/>
        <w:jc w:val="both"/>
      </w:pPr>
      <w:r>
        <w:rPr>
          <w:b/>
          <w:bCs/>
        </w:rPr>
        <w:t xml:space="preserve">SYS-NFN-09</w:t>
      </w:r>
      <w:r>
        <w:t xml:space="preserve"> lo verifica </w:t>
      </w:r>
      <w:r>
        <w:rPr>
          <w:rFonts w:ascii="Consolas" w:cs="Consolas" w:eastAsia="Consolas" w:hAnsi="Consolas"/>
          <w:sz w:val="20"/>
          <w:szCs w:val="20"/>
        </w:rPr>
        <w:t xml:space="preserve">e2e/pruebas/registro.spec.ts</w:t>
      </w:r>
      <w:r>
        <w:t xml:space="preserve"> («SYS-NFN-09 · el formulario se opera a 320 px sin desplazamiento horizontal»): el ancho del documento no supera el de la ventana y todos los controles caben a lo ancho.</w:t>
      </w:r>
    </w:p>
    <w:p>
      <w:pPr>
        <w:pStyle w:val="Heading2"/>
      </w:pPr>
      <w:bookmarkStart w:name="_Toc16" w:id="16"/>
      <w:r>
        <w:t xml:space="preserve">2.5 Accesibilidad (WCAG 2.1 AA; SYS-NFN-12)</w:t>
      </w:r>
      <w:bookmarkEnd w:id="16"/>
    </w:p>
    <w:p>
      <w:pPr>
        <w:spacing w:after="12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e2e/pruebas/accesibilidad.spec.ts</w:t>
      </w:r>
      <w:r>
        <w:t xml:space="preserve"> analiza con axe-core cada vista con las reglas WCAG 2.0 y 2.1 de niveles A y AA, y comprueba la operación por teclado.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Vista analizada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Infracciones WCAG A y AA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Reglas superadas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Inicio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Recuperación de la contraseña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Restablecimiento de la contraseña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Panel del Administrador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Registro con errores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Restablecimiento con enlace vencido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Criterio 2.1.1 (teclado):</w:t>
      </w:r>
      <w:r>
        <w:t xml:space="preserve"> el registro se recorre con Tab por los nueve campos, el archivo, el consentimiento y el botón de envío; el inicio de sesión se completa solo con teclado y Enter.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Criterio 2.1.2 (sin trampa de foco):</w:t>
      </w:r>
      <w:r>
        <w:t xml:space="preserve"> Shift+Tab devuelve el foco desde el botón de envío a la casilla de consentimiento.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Foco visible:</w:t>
      </w:r>
      <w:r>
        <w:t xml:space="preserve"> contorno de 3 px de color ámbar en todos los controles (</w:t>
      </w:r>
      <w:r>
        <w:rPr>
          <w:rFonts w:ascii="Consolas" w:cs="Consolas" w:eastAsia="Consolas" w:hAnsi="Consolas"/>
          <w:sz w:val="20"/>
          <w:szCs w:val="20"/>
        </w:rPr>
        <w:t xml:space="preserve">apps/web/src/estilos.css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Puntuación de accesibilidad de Lighthouse:</w:t>
      </w:r>
      <w:r>
        <w:t xml:space="preserve"> 100 en las seis mediciones.</w:t>
      </w:r>
    </w:p>
    <w:p>
      <w:pPr>
        <w:spacing w:after="120" w:line="276"/>
        <w:jc w:val="both"/>
      </w:pPr>
      <w:r>
        <w:t xml:space="preserve">El análisis automático no cubre todos los criterios de WCAG. La comprensión de los textos por personas con alfabetización digital baja (RO-06) requiere evaluación con usuarios (§2.6).</w:t>
      </w:r>
    </w:p>
    <w:p>
      <w:pPr>
        <w:pStyle w:val="Heading2"/>
      </w:pPr>
      <w:bookmarkStart w:name="_Toc17" w:id="17"/>
      <w:r>
        <w:t xml:space="preserve">2.6 Informe de usabilidad en formato CIF (ISO/IEC 25062)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6927"/>
      </w:tblGrid>
      <w:tr>
        <w:trPr>
          <w:tblHeader/>
        </w:trP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Sección del CIF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Contenido para AbasteceNi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Resumen ejecutivo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interfaz de afiliación cumple los umbrales medibles de rendimiento, peso, adaptación y accesibilidad automatizada (SYS-NFN-08 a 10 y 12). La inspección por principios de ISO 9241-110 identificó cuatro mejoras: una corregida durante la evaluación (el aviso de errores del formulario), una pendiente que depende de M3 y dos propuestas que requieren modificar reglas aprobadas. No se han realizado sesiones con participantes.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Introducción: producto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Capa 1 de AbasteceNi: registro de cuenta comercial, inicio de sesión, paneles por rol y recuperación de la contraseña (IT-01 e IT-02).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Introducción: objetivos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Verificar los umbrales de D2 y la conformidad con ISO 9241-110 del flujo de afiliación (PM-01).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Método: participantes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realizado.</w:t>
            </w:r>
            <w:r>
              <w:rPr>
                <w:sz w:val="18"/>
                <w:szCs w:val="18"/>
              </w:rPr>
              <w:t xml:space="preserve"> No hubo participantes del público objetivo en esta fase. Diseño previsto: cinco comerciantes de Chinandega y El Viejo, al menos dos con alfabetización digital baja (RO-06), reclutados por U-03.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Método: tareas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T1: registrar la cuenta con su documento. T2: corregir un error señalado. T3: iniciar sesión tras la aprobación. T4 (Administrador): revisar y decidir una solicitud. T5: recuperar el acceso con el enlace recibido por correo.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Método: entorno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Teléfono de gama media sobre red celular de la zona; en esta evaluación se simuló con Lighthouse (CPU ×4, 4G y 3G) y Playwright a 360 y 320 px.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Métricas previstas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Eficacia: tasa de tareas completadas sin ayuda. Eficiencia: tiempo por tarea y número de errores. Satisfacción: cuestionario SUS.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Resultados obtenidos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de los §2.3 a §2.5: inspección por principios, rendimiento, peso, adaptación y accesibilidad automatizada.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Resultados pendientes</w:t>
            </w:r>
          </w:p>
        </w:tc>
        <w:tc>
          <w:tcPr>
            <w:tcW w:type="dxa" w:w="6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Eficacia, eficiencia y satisfacción medidas con participantes.</w:t>
            </w:r>
          </w:p>
        </w:tc>
      </w:tr>
    </w:tbl>
    <w:p>
      <w:pPr>
        <w:pStyle w:val="Heading2"/>
      </w:pPr>
      <w:bookmarkStart w:name="_Toc18" w:id="18"/>
      <w:r>
        <w:t xml:space="preserve">2.7 Lo construido y verificado frente a lo pendiente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433"/>
        <w:gridCol w:w="3183"/>
      </w:tblGrid>
      <w:tr>
        <w:trPr>
          <w:tblHeader/>
        </w:trP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SYS-NFN-08: carga en 4G y 3G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Verificado en el entorno de sistema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Tres mediciones por perfil, todas bajo el umbral (§2.4)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SYS-NFN-09: 320 px sin desplazamiento horizontal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Verificado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 de sistema a 320 px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SYS-NFN-10: peso ≤ 2,5 MB, comprimido y minificado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Verificado; la compresión se corrigió durante la medición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Lighthouse;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nginx.conf</w:t>
            </w:r>
            <w:r>
              <w:rPr>
                <w:sz w:val="18"/>
                <w:szCs w:val="18"/>
              </w:rPr>
              <w:t xml:space="preserve"> con gzip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SYS-NFN-11: ayuda contextual en el registro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Construida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Ayuda en los campos críticos del registro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SYS-NFN-11: tutoriales en video de hasta 3 minutos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construidos en el alcance vigente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SYS-NFN-12: teclado y WCAG 2.1 AA (automatizado)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Verificado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8 de 8 vistas sin infracciones, incluidas las de recuperación; pruebas de teclado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Pantallas de recuperación (SYS-FN-05)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Evaluadas por principios y con axe-core; PR #8, pendiente de la revisión cruzada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§2.3, pantallas 10 a 12; §2.5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Resumen de errores al inicio del formulario y foco en el primer error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Corregida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5273441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§2.3, pantalla 3;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PaginaRegistro.test.tsx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RUC con guiones normalizado y confirmación al aprobar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Mejoras propuestas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§2.3; exigen modificar DIS-21 y DIS-26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Evaluación con participantes (ISO/IEC 25062)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Diseño en el §2.6</w:t>
            </w:r>
          </w:p>
        </w:tc>
      </w:tr>
      <w:tr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Integración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</w:p>
        </w:tc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IT-00, IT-01, IT-02 (tramo A) y la corrección del formulario integradas; las pantallas de recuperación, pendientes de la PR #8</w:t>
            </w:r>
          </w:p>
        </w:tc>
        <w:tc>
          <w:tcPr>
            <w:tcW w:type="dxa" w:w="31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 #1, #2, #3 y #6</w:t>
            </w:r>
          </w:p>
        </w:tc>
      </w:tr>
    </w:tbl>
    <w:p>
      <w:pPr>
        <w:pStyle w:val="Heading1"/>
      </w:pPr>
      <w:bookmarkStart w:name="_Toc19" w:id="19"/>
      <w:r>
        <w:t xml:space="preserve">3. Conclusiones</w:t>
      </w:r>
      <w:bookmarkEnd w:id="19"/>
    </w:p>
    <w:p>
      <w:pPr>
        <w:spacing w:after="120" w:line="276"/>
        <w:jc w:val="both"/>
      </w:pPr>
      <w:r>
        <w:t xml:space="preserve">La interfaz de afiliación cumple los umbrales cuantitativos de la serie en el contexto de uso más exigente que la serie declara: teléfono de gama media y red 3G. Con la compresión activada, la carga más lenta fue de 2,79 s en 3G y de 1,43 s en 4G, con un peso de 77 KB, una décima parte del presupuesto de 2,5 MB. El análisis con axe-core no encontró infracciones WCAG 2.1 A ni AA en las 8 vistas analizadas, incluidas las de recuperación de la contraseña, y la operación por teclado se verificó de forma automática.</w:t>
      </w:r>
    </w:p>
    <w:p>
      <w:pPr>
        <w:spacing w:after="120" w:line="276"/>
        <w:jc w:val="both"/>
      </w:pPr>
      <w:r>
        <w:t xml:space="preserve">La medición cumplió también su función de control: reveló que los activos no se servían comprimidos, en contra de SYS-NFN-10, y la corrección redujo la carga en 3G de forma apreciable. La inspección por principios de ISO 9241-110 identificó mejoras concretas: el resumen de errores, la tolerancia a los guiones del RUC y la confirmación al aprobar. La primera se corrigió durante la propia evaluación. Las dos últimas requieren modificar reglas aprobadas por el equipo y no se implementan sin esa decisión. Las pantallas de recuperación cumplen los principios con un compromiso deliberado: el aviso no confirma si el correo existe, porque la seguridad lo exige (DIS-36).</w:t>
      </w:r>
    </w:p>
    <w:p>
      <w:pPr>
        <w:spacing w:after="120" w:line="276"/>
        <w:jc w:val="both"/>
      </w:pPr>
      <w:r>
        <w:t xml:space="preserve">La evaluación con participantes del público objetivo sigue pendiente y es la que puede confirmar o refutar la adecuación de los textos para personas con alfabetización digital baja (RO-06). El formato CIF de ISO/IEC 25062 queda preparado para registrarla.</w:t>
      </w:r>
    </w:p>
    <w:p>
      <w:pPr>
        <w:pStyle w:val="Heading1"/>
      </w:pPr>
      <w:bookmarkStart w:name="_Toc20" w:id="20"/>
      <w:r>
        <w:t xml:space="preserve">4. Referencias normativas y bibliográficas</w:t>
      </w:r>
      <w:bookmarkEnd w:id="20"/>
    </w:p>
    <w:p>
      <w:pPr>
        <w:spacing w:after="120" w:line="276"/>
        <w:jc w:val="both"/>
      </w:pPr>
      <w:r>
        <w:t xml:space="preserve">[1] ISO 9241-11:2018. </w:t>
      </w:r>
      <w:r>
        <w:rPr>
          <w:i/>
          <w:iCs/>
        </w:rPr>
        <w:t xml:space="preserve">Ergonomics of human-system interaction — Part 11: Usability: Definitions and concepts</w:t>
      </w:r>
      <w:r>
        <w:t xml:space="preserve">. ISO, 2018.</w:t>
      </w:r>
    </w:p>
    <w:p>
      <w:pPr>
        <w:spacing w:after="120" w:line="276"/>
        <w:jc w:val="both"/>
      </w:pPr>
      <w:r>
        <w:t xml:space="preserve">[2] ISO 9241-110:2020. </w:t>
      </w:r>
      <w:r>
        <w:rPr>
          <w:i/>
          <w:iCs/>
        </w:rPr>
        <w:t xml:space="preserve">Ergonomics of human-system interaction — Part 110: Interaction principles</w:t>
      </w:r>
      <w:r>
        <w:t xml:space="preserve">. ISO, 2020.</w:t>
      </w:r>
    </w:p>
    <w:p>
      <w:pPr>
        <w:spacing w:after="120" w:line="276"/>
        <w:jc w:val="both"/>
      </w:pPr>
      <w:r>
        <w:t xml:space="preserve">[3] ISO 9241-210:2019. </w:t>
      </w:r>
      <w:r>
        <w:rPr>
          <w:i/>
          <w:iCs/>
        </w:rPr>
        <w:t xml:space="preserve">Ergonomics of human-system interaction — Part 210: Human-centred design for interactive systems</w:t>
      </w:r>
      <w:r>
        <w:t xml:space="preserve">. ISO, 2019.</w:t>
      </w:r>
    </w:p>
    <w:p>
      <w:pPr>
        <w:spacing w:after="120" w:line="276"/>
        <w:jc w:val="both"/>
      </w:pPr>
      <w:r>
        <w:t xml:space="preserve">[4] ISO/IEC 25062:2006. </w:t>
      </w:r>
      <w:r>
        <w:rPr>
          <w:i/>
          <w:iCs/>
        </w:rPr>
        <w:t xml:space="preserve">Software engineering — Software product Quality Requirements and Evaluation (SQuaRE) — Common Industry Format (CIF) for usability test reports</w:t>
      </w:r>
      <w:r>
        <w:t xml:space="preserve">. ISO, 2006.</w:t>
      </w:r>
    </w:p>
    <w:p>
      <w:pPr>
        <w:spacing w:after="120" w:line="276"/>
        <w:jc w:val="both"/>
      </w:pPr>
      <w:r>
        <w:t xml:space="preserve">[5] W3C. </w:t>
      </w:r>
      <w:r>
        <w:rPr>
          <w:i/>
          <w:iCs/>
        </w:rPr>
        <w:t xml:space="preserve">Web Content Accessibility Guidelines (WCAG) 2.1</w:t>
      </w:r>
      <w:r>
        <w:t xml:space="preserve">. Recomendación del W3C, 2018.</w:t>
      </w:r>
    </w:p>
    <w:p>
      <w:pPr>
        <w:spacing w:after="120" w:line="276"/>
        <w:jc w:val="both"/>
      </w:pPr>
      <w:r>
        <w:t xml:space="preserve">[6] Google. </w:t>
      </w:r>
      <w:r>
        <w:rPr>
          <w:i/>
          <w:iCs/>
        </w:rPr>
        <w:t xml:space="preserve">Lighthouse</w:t>
      </w:r>
      <w:r>
        <w:t xml:space="preserve"> 13.5.0, documentación de métricas (FCP, LCP, Speed Index) y de simulación de red.</w:t>
      </w:r>
    </w:p>
    <w:p>
      <w:pPr>
        <w:spacing w:after="120" w:line="276"/>
        <w:jc w:val="both"/>
      </w:pPr>
      <w:r>
        <w:t xml:space="preserve">[7] Deque Systems. </w:t>
      </w:r>
      <w:r>
        <w:rPr>
          <w:i/>
          <w:iCs/>
        </w:rPr>
        <w:t xml:space="preserve">axe-core</w:t>
      </w:r>
      <w:r>
        <w:t xml:space="preserve"> y </w:t>
      </w:r>
      <w:r>
        <w:rPr>
          <w:i/>
          <w:iCs/>
        </w:rPr>
        <w:t xml:space="preserve">@axe-core/playwright</w:t>
      </w:r>
      <w:r>
        <w:t xml:space="preserve"> 4.14.0.</w:t>
      </w:r>
    </w:p>
    <w:p>
      <w:pPr>
        <w:spacing w:after="120" w:line="276"/>
        <w:jc w:val="both"/>
      </w:pPr>
      <w:r>
        <w:t xml:space="preserve">[8] Brooke, J. «SUS: A quick and dirty usability scale». En </w:t>
      </w:r>
      <w:r>
        <w:rPr>
          <w:i/>
          <w:iCs/>
        </w:rPr>
        <w:t xml:space="preserve">Usability Evaluation in Industry</w:t>
      </w:r>
      <w:r>
        <w:t xml:space="preserve">. Taylor &amp; Francis, 1996.</w:t>
      </w:r>
    </w:p>
    <w:p>
      <w:pPr>
        <w:spacing w:after="120" w:line="276"/>
        <w:jc w:val="both"/>
      </w:pPr>
      <w:r>
        <w:t xml:space="preserve">[9] Serie AbasteceNi: D1 v2.1 (RO-06), D2 v1.1 (SYS-NFN-08 a 12; §2.6), D3 v1.1 (ADR-06), D4 v1.1 (§2.15) (</w:t>
      </w:r>
      <w:r>
        <w:rPr>
          <w:rFonts w:ascii="Consolas" w:cs="Consolas" w:eastAsia="Consolas" w:hAnsi="Consolas"/>
          <w:sz w:val="20"/>
          <w:szCs w:val="20"/>
        </w:rPr>
        <w:t xml:space="preserve">docs/serie/</w:t>
      </w:r>
      <w:r>
        <w:t xml:space="preserve">).</w:t>
      </w:r>
    </w:p>
    <w:p>
      <w:pPr>
        <w:pStyle w:val="Heading1"/>
      </w:pPr>
      <w:bookmarkStart w:name="_Toc21" w:id="21"/>
      <w:r>
        <w:t xml:space="preserve">5. Anexos</w:t>
      </w:r>
      <w:bookmarkEnd w:id="21"/>
    </w:p>
    <w:p>
      <w:pPr>
        <w:pStyle w:val="Heading2"/>
      </w:pPr>
      <w:bookmarkStart w:name="_Toc22" w:id="22"/>
      <w:r>
        <w:t xml:space="preserve">Anexo A — Mediciones sin compresión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842"/>
        <w:gridCol w:w="936"/>
        <w:gridCol w:w="1123"/>
        <w:gridCol w:w="1123"/>
        <w:gridCol w:w="1029"/>
        <w:gridCol w:w="1123"/>
        <w:gridCol w:w="1216"/>
        <w:gridCol w:w="1126"/>
      </w:tblGrid>
      <w:tr>
        <w:trPr>
          <w:tblHeader/>
        </w:trP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Medición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FCP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LCP (carga)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Speed Index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Peso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2,17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2,17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2,17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2,16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2,16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2,16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2,18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4,57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4,87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4,57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4,88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4,58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3G</w:t>
            </w:r>
          </w:p>
        </w:tc>
        <w:tc>
          <w:tcPr>
            <w:tcW w:type="dxa" w:w="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4,88 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4,58 s</w:t>
            </w:r>
          </w:p>
        </w:tc>
        <w:tc>
          <w:tcPr>
            <w:tcW w:type="dxa" w:w="1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240 KB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2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2"/>
      </w:pPr>
      <w:bookmarkStart w:name="_Toc23" w:id="23"/>
      <w:r>
        <w:t xml:space="preserve">Anexo B — Reproducción de las mediciones</w:t>
      </w:r>
      <w:bookmarkEnd w:id="23"/>
    </w:p>
    <w:p>
      <w:pPr>
        <w:spacing w:after="120" w:line="276"/>
        <w:jc w:val="both"/>
      </w:pPr>
      <w:r>
        <w:t xml:space="preserve">Desde la raíz del repositorio, con Docker en marcha: </w:t>
      </w:r>
      <w:r>
        <w:rPr>
          <w:rFonts w:ascii="Consolas" w:cs="Consolas" w:eastAsia="Consolas" w:hAnsi="Consolas"/>
          <w:sz w:val="20"/>
          <w:szCs w:val="20"/>
        </w:rPr>
        <w:t xml:space="preserve">MEDIR_EXPERIENCIA=1 bash herramientas/sistema/ejecutar.sh</w:t>
      </w:r>
      <w:r>
        <w:t xml:space="preserve">. El guion levanta el entorno de sistema con secretos de un solo uso, ejecuta todos los escenarios de Playwright (29 al 19 de octubre, incluidos los de accesibilidad y las capturas) y las seis mediciones de Lighthouse, y deja los resultados en 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docs/evidencia/pruebas/experiencia/</w:t>
      </w:r>
      <w:r>
        <w:t xml:space="preserve">. Las series citadas en este informe están versionadas en 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docs/evidencia/pruebas/it-02/experiencia/</w:t>
      </w:r>
      <w:r>
        <w:t xml:space="preserve">; el análisis de axe que incluye las pantallas de recuperación, en </w:t>
      </w:r>
      <w:r>
        <w:rPr>
          <w:rFonts w:ascii="Consolas" w:cs="Consolas" w:eastAsia="Consolas" w:hAnsi="Consolas"/>
          <w:sz w:val="20"/>
          <w:szCs w:val="20"/>
        </w:rPr>
        <w:t xml:space="preserve">docs/evidencia/pruebas/it-02/tramo-bc/experiencia/</w:t>
      </w:r>
      <w:r>
        <w:t xml:space="preserve">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AbasteceNi — Informe 2: ISO 9241: experiencia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 Light" w:cs="Calibri Light" w:eastAsia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color w:val="1F4D7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d3589809c89bc31429f21e6d08a2fae43fc8277.png"/><Relationship Id="rId12" Type="http://schemas.openxmlformats.org/officeDocument/2006/relationships/image" Target="media/5ae17fa02347caf8d0b74760605c01876d802076.png"/><Relationship Id="rId13" Type="http://schemas.openxmlformats.org/officeDocument/2006/relationships/image" Target="media/d31c026114260eb4f258a04ae960e971e6276bea.png"/><Relationship Id="rId14" Type="http://schemas.openxmlformats.org/officeDocument/2006/relationships/image" Target="media/abf54113a7574c8aa6ac6c2c44c0841da1e4cfc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9241: experiencia de usuario</dc:title>
  <dc:creator>Equipo AbasteceNi (U-01)</dc:creator>
  <dc:description>Informe 2 de la fase de desarrollo de AbasteceNi</dc:description>
  <cp:lastModifiedBy>Un-named</cp:lastModifiedBy>
  <cp:revision>1</cp:revision>
  <dcterms:created xsi:type="dcterms:W3CDTF">2026-10-20T02:24:12.261Z</dcterms:created>
  <dcterms:modified xsi:type="dcterms:W3CDTF">2026-10-20T02:24:12.261Z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