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UNIVERSIDAD NACIONAL DE INGENIERÍA</w:t>
      </w:r>
    </w:p>
    <w:p>
      <w:pPr>
        <w:spacing w:after="80"/>
        <w:jc w:val="center"/>
      </w:pPr>
      <w:r>
        <w:rPr>
          <w:sz w:val="24"/>
          <w:szCs w:val="24"/>
        </w:rPr>
        <w:t xml:space="preserve">ÁREA DACTIC</w:t>
      </w:r>
    </w:p>
    <w:p>
      <w:pPr>
        <w:spacing w:after="80"/>
        <w:jc w:val="center"/>
      </w:pPr>
      <w:r>
        <w:rPr>
          <w:sz w:val="24"/>
          <w:szCs w:val="24"/>
        </w:rPr>
        <w:t xml:space="preserve">Programa Académico de Ingeniería en Computación</w:t>
      </w:r>
    </w:p>
    <w:p>
      <w:pPr>
        <w:spacing w:after="600"/>
        <w:jc w:val="center"/>
      </w:pPr>
      <w:r>
        <w:rPr>
          <w:b/>
          <w:bCs/>
          <w:sz w:val="24"/>
          <w:szCs w:val="24"/>
        </w:rPr>
        <w:t xml:space="preserve">INGENIERÍA DE SOFTWARE I</w:t>
      </w:r>
    </w:p>
    <w:p>
      <w:pPr>
        <w:spacing w:after="160"/>
        <w:jc w:val="center"/>
      </w:pPr>
      <w:r>
        <w:rPr>
          <w:b/>
          <w:bCs/>
          <w:color w:val="2E74B5"/>
          <w:sz w:val="36"/>
          <w:szCs w:val="36"/>
        </w:rPr>
        <w:t xml:space="preserve">INFORME TÉCNICO: PROGRAMACIÓN SEGURA</w:t>
      </w:r>
    </w:p>
    <w:p>
      <w:pPr>
        <w:spacing w:after="160"/>
        <w:jc w:val="center"/>
      </w:pPr>
      <w:r>
        <w:rPr>
          <w:sz w:val="26"/>
          <w:szCs w:val="26"/>
        </w:rPr>
        <w:t xml:space="preserve">Controles de ISO/IEC 27002 en el código, análisis estático y pruebas de seguridad</w:t>
      </w:r>
    </w:p>
    <w:p>
      <w:pPr>
        <w:spacing w:after="80"/>
        <w:jc w:val="center"/>
      </w:pPr>
      <w:r>
        <w:rPr>
          <w:sz w:val="24"/>
          <w:szCs w:val="24"/>
        </w:rPr>
        <w:t xml:space="preserve">Plataforma Web B2B de Emparejamiento Comercial «AbasteceNi»</w:t>
      </w:r>
    </w:p>
    <w:p>
      <w:pPr>
        <w:spacing w:after="480"/>
        <w:jc w:val="center"/>
      </w:pPr>
      <w:r>
        <w:rPr>
          <w:i/>
          <w:iCs/>
          <w:sz w:val="22"/>
          <w:szCs w:val="22"/>
        </w:rPr>
        <w:t xml:space="preserve">Empresa simulada AbasteceNi, S.A. — Informe 3 de la fase de desarrollo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Marco normativo rector</w:t>
      </w:r>
    </w:p>
    <w:p>
      <w:pPr>
        <w:spacing w:after="80"/>
        <w:jc w:val="center"/>
      </w:pPr>
      <w:r>
        <w:rPr>
          <w:sz w:val="20"/>
          <w:szCs w:val="20"/>
        </w:rPr>
        <w:t xml:space="preserve">ISO/IEC 27001:2022 Anexo A e ISO/IEC 27002:2022 — controles de seguridad de la información</w:t>
      </w:r>
    </w:p>
    <w:p>
      <w:pPr>
        <w:spacing w:after="80"/>
        <w:jc w:val="center"/>
      </w:pPr>
      <w:r>
        <w:rPr>
          <w:sz w:val="20"/>
          <w:szCs w:val="20"/>
        </w:rPr>
        <w:t xml:space="preserve">OWASP ASVS 4.0.3 — lista de verificación técnica · Ley No. 787 de Nicaragua</w:t>
      </w:r>
    </w:p>
    <w:p>
      <w:pPr>
        <w:spacing w:after="80"/>
        <w:jc w:val="center"/>
      </w:pPr>
      <w:r>
        <w:rPr>
          <w:sz w:val="20"/>
          <w:szCs w:val="20"/>
        </w:rPr>
        <w:t xml:space="preserve">Serie AbasteceNi: D3 (V-03, PA-05, PA-06, ADR-04, ADR-05), ADR-08, D2 (SYS-FN-04 a 08, 35, 36; SYS-NFN-01 a 03)</w:t>
      </w:r>
    </w:p>
    <w:p>
      <w:pPr>
        <w:spacing w:after="480"/>
      </w:pP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Integrantes</w:t>
      </w:r>
    </w:p>
    <w:p>
      <w:pPr>
        <w:spacing w:after="80"/>
        <w:jc w:val="center"/>
      </w:pPr>
      <w:r>
        <w:rPr>
          <w:sz w:val="22"/>
          <w:szCs w:val="22"/>
        </w:rPr>
        <w:t xml:space="preserve">Edith Yasohara Roda Hernández — 2023-0752U</w:t>
      </w:r>
    </w:p>
    <w:p>
      <w:pPr>
        <w:spacing w:after="80"/>
        <w:jc w:val="center"/>
      </w:pPr>
      <w:r>
        <w:rPr>
          <w:sz w:val="22"/>
          <w:szCs w:val="22"/>
        </w:rPr>
        <w:t xml:space="preserve">Pedro José Miranda Gómez — 2022-0288U</w:t>
      </w:r>
    </w:p>
    <w:p>
      <w:pPr>
        <w:spacing w:after="0"/>
        <w:jc w:val="center"/>
      </w:pPr>
      <w:r>
        <w:rPr>
          <w:sz w:val="22"/>
          <w:szCs w:val="22"/>
        </w:rPr>
        <w:t xml:space="preserve">Grupo: 4S1-COM · Versión 1.0 · 17 de octubre de 2026</w:t>
      </w:r>
    </w:p>
    <w:p>
      <w:r>
        <w:br w:type="page"/>
      </w:r>
    </w:p>
    <w:p>
      <w:pPr>
        <w:spacing w:after="120"/>
      </w:pPr>
      <w:r>
        <w:rPr>
          <w:b/>
          <w:bCs/>
          <w:color w:val="2E74B5"/>
          <w:sz w:val="28"/>
          <w:szCs w:val="28"/>
        </w:rPr>
        <w:t xml:space="preserve">Tabla de contenido</w:t>
      </w:r>
    </w:p>
    <w:p>
      <w:pPr>
        <w:spacing w:after="120" w:line="276"/>
        <w:jc w:val="both"/>
      </w:pPr>
      <w:r>
        <w:rPr>
          <w:i/>
          <w:iCs/>
          <w:color w:val="595959"/>
          <w:sz w:val="18"/>
          <w:szCs w:val="18"/>
        </w:rPr>
        <w:t xml:space="preserve">Si el índice aparece vacío, haga clic derecho sobre él y elija «Actualizar campo».</w:t>
      </w:r>
    </w:p>
    <w:sdt>
      <w:sdtPr>
        <w:alias w:val="Tabla de contenido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Introducción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">
            <w:r>
              <w:t xml:space="preserve">1.1 Propósito del documento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">
            <w:r>
              <w:t xml:space="preserve">1.2 Alcance y estado de integración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">
            <w:r>
              <w:t xml:space="preserve">1.3 Insumos heredados de la serie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1.4 Normas aplicables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">
            <w:r>
              <w:t xml:space="preserve">2. Desarrollo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">
            <w:r>
              <w:t xml:space="preserve">2.1 Controles de ISO/IEC 27002:2022 y su realización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">
            <w:r>
              <w:t xml:space="preserve">2.2 Autenticación y gestión de sesiones (8.5, 8.24; ASVS V2 y V3)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2.3 Control de acceso (ASVS V4; PA-05)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0">
            <w:r>
              <w:t xml:space="preserve">2.4 Validación de entradas y codificación segura (8.28; ASVS V5 y V12)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2.5 Protección de datos personales (5.34; Ley No. 787; V-03)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2">
            <w:r>
              <w:t xml:space="preserve">2.6 Registro de eventos y auditoría (8.15; PA-06, ADR-05)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3">
            <w:r>
              <w:t xml:space="preserve">2.7 Límite de peticiones (SYS-NFN-03; ADR-08)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2.8 Gestión de vulnerabilidades técnicas (8.8)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2.9 Configuración y secretos (8.9)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6">
            <w:r>
              <w:t xml:space="preserve">2.10 Análisis estático de seguridad con CodeQL (8.29)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7">
            <w:r>
              <w:t xml:space="preserve">2.11 Pruebas de seguridad (8.29) y requisitos de seguridad (8.26)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8">
            <w:r>
              <w:t xml:space="preserve">2.12 Lista de verificación OWASP ASVS 4.0.3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2.13 Lo construido y verificado frente a lo pendiente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0">
            <w:r>
              <w:t xml:space="preserve">3. Conclusiones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1">
            <w:r>
              <w:t xml:space="preserve">4. Referencias normativas y bibliográficas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2">
            <w:r>
              <w:t xml:space="preserve">5. Anexos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3">
            <w:r>
              <w:t xml:space="preserve">Anexo A — Ejecuciones de CI con los trabajos de seguridad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1. Introducción</w:t>
      </w:r>
      <w:bookmarkEnd w:id="1"/>
    </w:p>
    <w:p>
      <w:pPr>
        <w:pStyle w:val="Heading2"/>
      </w:pPr>
      <w:bookmarkStart w:name="_Toc2" w:id="2"/>
      <w:r>
        <w:t xml:space="preserve">1.1 Propósito del documento</w:t>
      </w:r>
      <w:bookmarkEnd w:id="2"/>
    </w:p>
    <w:p>
      <w:pPr>
        <w:spacing w:after="120" w:line="276"/>
        <w:jc w:val="both"/>
      </w:pPr>
      <w:r>
        <w:t xml:space="preserve">Este informe muestra cómo el código construido de AbasteceNi realiza los controles de seguridad de ISO/IEC 27001:2022 (Anexo A), desarrollados en ISO/IEC 27002:2022, con OWASP ASVS 4.0.3 como lista de verificación técnica y la Ley No. 787 de Protección de Datos Personales de Nicaragua como marco legal. Para cada control se indica la práctica en el repositorio, el archivo y la línea donde se realiza, la prueba que la verifica y su estado. Los resultados del análisis estático (CodeQL) y de la auditoría de dependencias (</w:t>
      </w:r>
      <w:r>
        <w:rPr>
          <w:rFonts w:ascii="Consolas" w:cs="Consolas" w:eastAsia="Consolas" w:hAnsi="Consolas"/>
          <w:sz w:val="20"/>
          <w:szCs w:val="20"/>
        </w:rPr>
        <w:t xml:space="preserve">npm audit</w:t>
      </w:r>
      <w:r>
        <w:t xml:space="preserve">) se informan con sus cifras reales, incluido el único hallazgo de gravedad alta y su tratamiento.</w:t>
      </w:r>
    </w:p>
    <w:p>
      <w:pPr>
        <w:pStyle w:val="Heading2"/>
      </w:pPr>
      <w:bookmarkStart w:name="_Toc3" w:id="3"/>
      <w:r>
        <w:t xml:space="preserve">1.2 Alcance y estado de integración</w:t>
      </w:r>
      <w:bookmarkEnd w:id="3"/>
    </w:p>
    <w:p>
      <w:pPr>
        <w:spacing w:after="120" w:line="276"/>
        <w:jc w:val="both"/>
      </w:pPr>
      <w:r>
        <w:t xml:space="preserve">El alcance es el código de IT-00, IT-01 e IT-02 (tramo A): registro de cuentas, carga del registro legal, inicio de sesión sin estado, validación administrativa, bitácora inmutable y consentimiento. IT-00 e IT-01 están integradas en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(PR #1 y #2). IT-02 (tramo A) está </w:t>
      </w:r>
      <w:r>
        <w:rPr>
          <w:b/>
          <w:bCs/>
        </w:rPr>
        <w:t xml:space="preserve">construida y verificada, pendiente de la revisión cruzada</w:t>
      </w:r>
      <w:r>
        <w:t xml:space="preserve"> (PR #3) para integrarse (DM-04, condiciones 5 y 6), y por eso se presenta como construida en rama y no como parte del incremento integrado. Los requisitos de seguridad de los tramos B y C (SYS-FN-05 a 08) y los que dependen de la infraestructura de producción (SYS-NFN-01 y 02) se declaran como pendientes.</w:t>
      </w:r>
    </w:p>
    <w:p>
      <w:pPr>
        <w:pStyle w:val="Heading2"/>
      </w:pPr>
      <w:bookmarkStart w:name="_Toc4" w:id="4"/>
      <w:r>
        <w:t xml:space="preserve">1.3 Insumos heredados de la serie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1684"/>
        <w:gridCol w:w="3745"/>
      </w:tblGrid>
      <w:tr>
        <w:trPr>
          <w:tblHeader/>
        </w:trP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Insumo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Origen</w:t>
            </w:r>
          </w:p>
        </w:tc>
        <w:tc>
          <w:tcPr>
            <w:tcW w:type="dxa" w:w="37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Consecuencia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V-03: matriz de clasificación de datos y de control de acceso por rol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D3 §2.9.3</w:t>
            </w:r>
          </w:p>
        </w:tc>
        <w:tc>
          <w:tcPr>
            <w:tcW w:type="dxa" w:w="37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Credenciales «Secreto»; identificación comercial «Confidencial — dato personal»; bitácora «Crítico — inmutable»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PA-05: la seguridad se aplica en la frontera y se verifica en el dominio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D3 §2.7.4</w:t>
            </w:r>
          </w:p>
        </w:tc>
        <w:tc>
          <w:tcPr>
            <w:tcW w:type="dxa" w:w="37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Validación declarativa en la capa 2 e invariantes en el dominio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PA-06 y ADR-05: auditoría de solo adición, verificable en el gestor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37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Privilegios revocados a nivel de PostgreSQL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ADR-04: autenticación sin estado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D3 §2.7.2</w:t>
            </w:r>
          </w:p>
        </w:tc>
        <w:tc>
          <w:tcPr>
            <w:tcW w:type="dxa" w:w="37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Credencial de acceso firmada de vida corta y credencial de renovación revocable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ADR-08: límite de peticiones en dos niveles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Registro de decisiones</w:t>
            </w:r>
          </w:p>
        </w:tc>
        <w:tc>
          <w:tcPr>
            <w:tcW w:type="dxa" w:w="37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Guard de la capa 2 con el contador en PostgreSQL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RO-04: segregación de funciones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D1 §2.12</w:t>
            </w:r>
          </w:p>
        </w:tc>
        <w:tc>
          <w:tcPr>
            <w:tcW w:type="dxa" w:w="37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Rol Administrador sin registro público (DIS-24); protección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sz w:val="18"/>
                <w:szCs w:val="18"/>
              </w:rPr>
              <w:t xml:space="preserve"> y revisión cruzada (DM-05)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SYS-FN-04 a 08, SYS-FN-35 y 36, SYS-NFN-01 a 03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D2 §3</w:t>
            </w:r>
          </w:p>
        </w:tc>
        <w:tc>
          <w:tcPr>
            <w:tcW w:type="dxa" w:w="37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Requisitos de seguridad, auditoría y privacidad</w:t>
            </w:r>
          </w:p>
        </w:tc>
      </w:tr>
    </w:tbl>
    <w:p>
      <w:pPr>
        <w:pStyle w:val="Heading2"/>
      </w:pPr>
      <w:bookmarkStart w:name="_Toc5" w:id="5"/>
      <w:r>
        <w:t xml:space="preserve">1.4 Normas aplicables</w:t>
      </w:r>
      <w:bookmarkEnd w:id="5"/>
    </w:p>
    <rootKey>w:p</rootKey>
    <rootKey>w:p</rootKey>
    <rootKey>w:p</rootKey>
    <w:p>
      <w:pPr>
        <w:pStyle w:val="Heading1"/>
      </w:pPr>
      <w:bookmarkStart w:name="_Toc6" w:id="6"/>
      <w:r>
        <w:t xml:space="preserve">2. Desarrollo</w:t>
      </w:r>
      <w:bookmarkEnd w:id="6"/>
    </w:p>
    <w:p>
      <w:pPr>
        <w:pStyle w:val="Heading2"/>
      </w:pPr>
      <w:bookmarkStart w:name="_Toc7" w:id="7"/>
      <w:r>
        <w:t xml:space="preserve">2.1 Controles de ISO/IEC 27002:2022 y su realización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744"/>
        <w:gridCol w:w="1684"/>
        <w:gridCol w:w="1873"/>
      </w:tblGrid>
      <w:tr>
        <w:trPr>
          <w:tblHeader/>
        </w:trP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Práctica en el repositorio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5.34 Privacidad y protección de datos personales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Consentimiento obligatorio con texto aprobado y asiento de bitácora (SYS-FN-36, DIS-28); datos de V-03 fuera de las trazas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§2.5;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afiliacion.spec.ts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Construido; cifrado en reposo y supresión pendientes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8.4 Acceso al código fuente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sz w:val="18"/>
                <w:szCs w:val="18"/>
              </w:rPr>
              <w:t xml:space="preserve"> protegida: PR obligatorio, sin push directo ni forzado, también para administradores; 9 trabajos de CI obligatorios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Configuración de GitHub (DIS-11)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8.5 Autenticación segura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argon2id, credencial de acceso de 15 minutos, renovación rotada y revocable (ADR-04, DIS-06)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§2.2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Construido; bloqueo por intentos (SYS-FN-07) pendiente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8.8 Gestión de vulnerabilidades técnicas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Archivo de bloqueo,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audit --audit-level=high</w:t>
            </w:r>
            <w:r>
              <w:rPr>
                <w:sz w:val="18"/>
                <w:szCs w:val="18"/>
              </w:rPr>
              <w:t xml:space="preserve"> en cada cambio, scripts de instalación de terceros denegados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§2.8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8.9 Gestión de la configuración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Secretos solo en variables de entorno;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.env.example</w:t>
            </w:r>
            <w:r>
              <w:rPr>
                <w:sz w:val="18"/>
                <w:szCs w:val="18"/>
              </w:rPr>
              <w:t xml:space="preserve"> sin valores; el arranque falla si falta un secreto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§2.9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8.15 Registro de eventos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Bitácora inmutable en M9 con usuario, acción, marca temporal e IP (SYS-FN-35, ADR-05)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§2.6; informe 4b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Construido; retención de 90 días y 7 años pendiente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8.24 Uso de criptografía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argon2id, HMAC-SHA256 para la credencial de acceso, SHA-256 para la huella de la renovación, 256 bits aleatorios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§2.2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Construido; TLS 1.3 y AES-256 en reposo dependen de producción (ADR-09)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8.25 Ciclo de vida de desarrollo seguro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Definición de Terminado (DM-04), revisión cruzada (DM-05), CI con verificación de dependencias (DM-06)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Informe 6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8.26 Requisitos de seguridad de la aplicación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SYS-FN-04 a 08 y SYS-NFN-01 a 03 con criterio de aceptación verificable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§2.11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SYS-FN-04 y SYS-NFN-03 verificados; resto pendiente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8.27 Principios de arquitectura segura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PA-05 (frontera y dominio) y PA-06 (solo adición), con reglas de dependencia que la CI hace cumplir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§2.3 y §2.4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8.28 Codificación segura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Consultas parametrizadas, validación declarativa y de dominio, tipo de archivo por contenido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§2.4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8.29 Pruebas de seguridad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Pruebas 401, 403 y 429 (AS-03), de la bitácora, de las credenciales y de la carga de archivos; CodeQL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security-extended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§2.7 y §2.10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8.31 Separación de entornos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Base de prueba efímera con Testcontainers; entorno de sistema con secretos de un solo uso que se destruye al terminar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Informes 4a y 4b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8.32 Gestión de cambios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Ramas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it-0n/*</w:t>
            </w:r>
            <w:r>
              <w:rPr>
                <w:sz w:val="18"/>
                <w:szCs w:val="18"/>
              </w:rPr>
              <w:t xml:space="preserve">, commits convencionales con referencias, solicitudes de integración revisadas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Informe 6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Activo</w:t>
            </w:r>
          </w:p>
        </w:tc>
      </w:tr>
    </w:tbl>
    <w:p>
      <w:pPr>
        <w:pStyle w:val="Heading2"/>
      </w:pPr>
      <w:bookmarkStart w:name="_Toc8" w:id="8"/>
      <w:r>
        <w:t xml:space="preserve">2.2 Autenticación y gestión de sesiones (8.5, 8.24; ASVS V2 y V3)</w:t>
      </w:r>
      <w:bookmarkEnd w:id="8"/>
    </w:p>
    <rootKey>w:p</rootKey>
    <rootKey>w:p</rootKey>
    <rootKey>w:p</rootKey>
    <rootKey>w:p</rootKey>
    <rootKey>w:p</rootKey>
    <rootKey>w:p</rootKey>
    <rootKey>w:p</rootKey>
    <w:p>
      <w:pPr>
        <w:pStyle w:val="Heading2"/>
      </w:pPr>
      <w:bookmarkStart w:name="_Toc9" w:id="9"/>
      <w:r>
        <w:t xml:space="preserve">2.3 Control de acceso (ASVS V4; PA-05)</w:t>
      </w:r>
      <w:bookmarkEnd w:id="9"/>
    </w:p>
    <rootKey>w:p</rootKey>
    <rootKey>w:p</rootKey>
    <rootKey>w:p</rootKey>
    <rootKey>w:p</rootKey>
    <w:p>
      <w:pPr>
        <w:pStyle w:val="Heading2"/>
      </w:pPr>
      <w:bookmarkStart w:name="_Toc10" w:id="10"/>
      <w:r>
        <w:t xml:space="preserve">2.4 Validación de entradas y codificación segura (8.28; ASVS V5 y V12)</w:t>
      </w:r>
      <w:bookmarkEnd w:id="10"/>
    </w:p>
    <rootKey>w:p</rootKey>
    <rootKey>w:p</rootKey>
    <rootKey>w:p</rootKey>
    <rootKey>w:p</rootKey>
    <rootKey>w:p</rootKey>
    <w:p>
      <w:pPr>
        <w:pStyle w:val="Heading2"/>
      </w:pPr>
      <w:bookmarkStart w:name="_Toc11" w:id="11"/>
      <w:r>
        <w:t xml:space="preserve">2.5 Protección de datos personales (5.34; Ley No. 787; V-03)</w:t>
      </w:r>
      <w:bookmarkEnd w:id="11"/>
    </w:p>
    <rootKey>w:p</rootKey>
    <rootKey>w:p</rootKey>
    <rootKey>w:p</rootKey>
    <rootKey>w:p</rootKey>
    <w:p>
      <w:pPr>
        <w:pStyle w:val="Heading2"/>
      </w:pPr>
      <w:bookmarkStart w:name="_Toc12" w:id="12"/>
      <w:r>
        <w:t xml:space="preserve">2.6 Registro de eventos y auditoría (8.15; PA-06, ADR-05)</w:t>
      </w:r>
      <w:bookmarkEnd w:id="12"/>
    </w:p>
    <w:p>
      <w:pPr>
        <w:spacing w:after="120" w:line="276"/>
        <w:jc w:val="both"/>
      </w:pPr>
      <w:r>
        <w:t xml:space="preserve">La bitácora de M9 registra la creación de la cuenta, la aceptación del consentimiento, la carga del registro legal y la decisión del Administrador, con usuario, acción, recurso, detalle, IP de origen y marca temporal (SYS-FN-35). La IP es la del cliente tras el balanceador (</w:t>
      </w:r>
      <w:r>
        <w:rPr>
          <w:rFonts w:ascii="Consolas" w:cs="Consolas" w:eastAsia="Consolas" w:hAnsi="Consolas"/>
          <w:sz w:val="20"/>
          <w:szCs w:val="20"/>
        </w:rPr>
        <w:t xml:space="preserve">trust proxy</w:t>
      </w:r>
      <w:r>
        <w:t xml:space="preserve">). El rol de la aplicación solo puede insertar y leer: UPDATE, DELETE y TRUNCATE están revocados en el gestor. Lo prueba la suite de base de datos con el error 42501 de PostgreSQL, y lo repite la prueba de sistema contra el entorno completo (informes 4a y 4b).</w:t>
      </w:r>
    </w:p>
    <w:p>
      <w:pPr>
        <w:pStyle w:val="Heading2"/>
      </w:pPr>
      <w:bookmarkStart w:name="_Toc13" w:id="13"/>
      <w:r>
        <w:t xml:space="preserve">2.7 Límite de peticiones (SYS-NFN-03; ADR-08)</w:t>
      </w:r>
      <w:bookmarkEnd w:id="13"/>
    </w:p>
    <w:p>
      <w:pPr>
        <w:spacing w:after="120" w:line="276"/>
        <w:jc w:val="both"/>
      </w:pPr>
      <w:r>
        <w:t xml:space="preserve">El guard de la capa 2 cuenta las peticiones por IP y ventana de un minuto en </w:t>
      </w:r>
      <w:r>
        <w:rPr>
          <w:rFonts w:ascii="Consolas" w:cs="Consolas" w:eastAsia="Consolas" w:hAnsi="Consolas"/>
          <w:sz w:val="20"/>
          <w:szCs w:val="20"/>
        </w:rPr>
        <w:t xml:space="preserve">plataforma.contador_peticiones</w:t>
      </w:r>
      <w:r>
        <w:t xml:space="preserve">, con una sola sentencia atómica (</w:t>
      </w:r>
      <w:r>
        <w:rPr>
          <w:rFonts w:ascii="Consolas" w:cs="Consolas" w:eastAsia="Consolas" w:hAnsi="Consolas"/>
          <w:sz w:val="20"/>
          <w:szCs w:val="20"/>
        </w:rPr>
        <w:t xml:space="preserve">INSERT … ON CONFLICT DO UPDATE … RETURNING</w:t>
      </w:r>
      <w:r>
        <w:t xml:space="preserve">). Responde 429 con </w:t>
      </w:r>
      <w:r>
        <w:rPr>
          <w:rFonts w:ascii="Consolas" w:cs="Consolas" w:eastAsia="Consolas" w:hAnsi="Consolas"/>
          <w:sz w:val="20"/>
          <w:szCs w:val="20"/>
        </w:rPr>
        <w:t xml:space="preserve">Retry-After</w:t>
      </w:r>
      <w:r>
        <w:t xml:space="preserve"> a partir de la petición 121 (</w:t>
      </w:r>
      <w:r>
        <w:rPr>
          <w:rFonts w:ascii="Consolas" w:cs="Consolas" w:eastAsia="Consolas" w:hAnsi="Consolas"/>
          <w:sz w:val="20"/>
          <w:szCs w:val="20"/>
        </w:rPr>
        <w:t xml:space="preserve">apps/backend/src/aplicacion/transversal/limite-peticiones.guard.ts:26</w:t>
      </w:r>
      <w:r>
        <w:t xml:space="preserve">). El guard se evalúa antes que la autenticación, de modo que también limita las peticiones anónimas. La prueba de integración usa dos instancias de la API sobre la misma base: las 120 primeras peticiones, repartidas entre ambas, pasan y la 121 recibe 429 en las dos. El contador no vive en la memoria del proceso (PA-04). En producción, el balanceador aplica el primer nivel del límite (ADR-08, ADR-09).</w:t>
      </w:r>
    </w:p>
    <w:p>
      <w:pPr>
        <w:pStyle w:val="Heading2"/>
      </w:pPr>
      <w:bookmarkStart w:name="_Toc14" w:id="14"/>
      <w:r>
        <w:t xml:space="preserve">2.8 Gestión de vulnerabilidades técnicas (8.8)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059"/>
        <w:gridCol w:w="4681"/>
      </w:tblGrid>
      <w:tr>
        <w:trPr>
          <w:tblHeader/>
        </w:trP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Tratamiento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audit --audit-level=high</w:t>
            </w:r>
            <w:r>
              <w:rPr>
                <w:sz w:val="18"/>
                <w:szCs w:val="18"/>
              </w:rPr>
              <w:t xml:space="preserve"> (trabajo 8, en cada cambio)</w:t>
            </w:r>
          </w:p>
        </w:tc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 críticas · 0 altas · 24 moderadas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Las 24 moderadas están en herramientas de desarrollo: esbuild ≤ 0.24.2 (GHSA-67mh-4wv8-2f99, servidor de desarrollo que el proyecto no usa), arrastrado por drizzle-kit, y sprintf-js ≤ 1.1.3 (GHSA-hp3w-g68c-fv3c), arrastrado por Jest. Ninguna llega al artefacto de producción ni afecta al núcleo de ADR-07, que solo se revisa ante una vulnerabilidad alta o crítica sin corrección.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Archivo de bloqueo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package-lock.json</w:t>
            </w:r>
          </w:p>
        </w:tc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Versiones exactas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--save-exact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 CI instala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ci</w:t>
            </w:r>
            <w:r>
              <w:rPr>
                <w:sz w:val="18"/>
                <w:szCs w:val="18"/>
              </w:rPr>
              <w:t xml:space="preserve">; las versiones se registran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iteraciones.md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Scripts de instalación de terceros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allowScripts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7 paquetes con scripts, todos denegados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Funcionan con binarios precompilados; se reduce la superficie de ataque de la cadena de suministro.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Escaneo de secretos de GitHub con protección de push</w:t>
            </w:r>
          </w:p>
        </w:tc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Activado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Impide subir credenciales reconocibles al repositorio.</w:t>
            </w:r>
          </w:p>
        </w:tc>
      </w:tr>
    </w:tbl>
    <w:p>
      <w:pPr>
        <w:pStyle w:val="Heading2"/>
      </w:pPr>
      <w:bookmarkStart w:name="_Toc15" w:id="15"/>
      <w:r>
        <w:t xml:space="preserve">2.9 Configuración y secretos (8.9)</w:t>
      </w:r>
      <w:bookmarkEnd w:id="15"/>
    </w:p>
    <rootKey>w:p</rootKey>
    <rootKey>w:p</rootKey>
    <rootKey>w:p</rootKey>
    <w:p>
      <w:pPr>
        <w:pStyle w:val="Heading2"/>
      </w:pPr>
      <w:bookmarkStart w:name="_Toc16" w:id="16"/>
      <w:r>
        <w:t xml:space="preserve">2.10 Análisis estático de seguridad con CodeQL (8.29)</w:t>
      </w:r>
      <w:bookmarkEnd w:id="16"/>
    </w:p>
    <w:p>
      <w:pPr>
        <w:spacing w:after="120" w:line="276"/>
        <w:jc w:val="both"/>
      </w:pPr>
      <w:r>
        <w:t xml:space="preserve">El trabajo 9 de la CI ejecuta CodeQL 2.27.2 para </w:t>
      </w:r>
      <w:r>
        <w:rPr>
          <w:rFonts w:ascii="Consolas" w:cs="Consolas" w:eastAsia="Consolas" w:hAnsi="Consolas"/>
          <w:sz w:val="20"/>
          <w:szCs w:val="20"/>
        </w:rPr>
        <w:t xml:space="preserve">javascript-typescript</w:t>
      </w:r>
      <w:r>
        <w:t xml:space="preserve"> con el conjunto </w:t>
      </w:r>
      <w:r>
        <w:rPr>
          <w:rFonts w:ascii="Consolas" w:cs="Consolas" w:eastAsia="Consolas" w:hAnsi="Consolas"/>
          <w:sz w:val="20"/>
          <w:szCs w:val="20"/>
        </w:rPr>
        <w:t xml:space="preserve">security-extended</w:t>
      </w:r>
      <w:r>
        <w:t xml:space="preserve"> (103 reglas) en cada cambio. Los fixtures de la prueba negativa se excluyen porque contienen accesos prohibidos a propósito.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872"/>
        <w:gridCol w:w="1497"/>
        <w:gridCol w:w="3556"/>
        <w:gridCol w:w="1687"/>
      </w:tblGrid>
      <w:tr>
        <w:trPr>
          <w:tblHeader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Alerta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Regla y gravedad</w:t>
            </w:r>
          </w:p>
        </w:tc>
        <w:tc>
          <w:tcPr>
            <w:tcW w:type="dxa" w:w="14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Ubicación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Análisis</w:t>
            </w:r>
          </w:p>
        </w:tc>
        <w:tc>
          <w:tcPr>
            <w:tcW w:type="dxa" w:w="16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Tratamiento</w:t>
            </w:r>
          </w:p>
        </w:tc>
      </w:tr>
      <w:t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#1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js/clear-text-storage-of-sensitive-data</w:t>
            </w:r>
            <w:r>
              <w:rPr>
                <w:sz w:val="18"/>
                <w:szCs w:val="18"/>
              </w:rPr>
              <w:t xml:space="preserve">, alta</w:t>
            </w:r>
          </w:p>
        </w:tc>
        <w:tc>
          <w:tcPr>
            <w:tcW w:type="dxa" w:w="14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sesiones.controller.ts:63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 credencial de renovación se envía al navegador en una cookie sin cifrar. Es una decisión deliberada (ADR-04): esa credencial debe residir en el cliente, y cifrarla no reduciría el riesgo porque seguiría siendo una credencial al portador. Está protegida con HttpOnly, Secure, SameSite=Strict, ruta restringida, vida de 7 días, rotación en cada uso y revocación; el servidor solo guarda su huella.</w:t>
            </w:r>
          </w:p>
        </w:tc>
        <w:tc>
          <w:tcPr>
            <w:tcW w:type="dxa" w:w="16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Descartada como «Won't fix» por el titular del repositorio, con la justificación registrada en DIS-33</w:t>
            </w:r>
          </w:p>
        </w:tc>
      </w:tr>
    </w:tbl>
    <w:p>
      <w:pPr>
        <w:spacing w:after="120" w:line="276"/>
        <w:jc w:val="both"/>
      </w:pPr>
      <w:r>
        <w:rPr>
          <w:b/>
          <w:bCs/>
        </w:rPr>
        <w:t xml:space="preserve">Riesgo residual de la alerta #1:</w:t>
      </w:r>
      <w:r>
        <w:t xml:space="preserve"> la bandera </w:t>
      </w:r>
      <w:r>
        <w:rPr>
          <w:rFonts w:ascii="Consolas" w:cs="Consolas" w:eastAsia="Consolas" w:hAnsi="Consolas"/>
          <w:sz w:val="20"/>
          <w:szCs w:val="20"/>
        </w:rPr>
        <w:t xml:space="preserve">COOKIE_SEGURA=false</w:t>
      </w:r>
      <w:r>
        <w:t xml:space="preserve"> desactiva el atributo </w:t>
      </w:r>
      <w:r>
        <w:rPr>
          <w:rFonts w:ascii="Consolas" w:cs="Consolas" w:eastAsia="Consolas" w:hAnsi="Consolas"/>
          <w:sz w:val="20"/>
          <w:szCs w:val="20"/>
        </w:rPr>
        <w:t xml:space="preserve">Secure</w:t>
      </w:r>
      <w:r>
        <w:t xml:space="preserve">. Solo se usa en el entorno de sistema local, que no termina TLS. En producción el valor por defecto es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  <w:r>
        <w:t xml:space="preserve"> y TLS 1.3 lo aporta el borde (SYS-NFN-02, ADR-09).</w:t>
      </w:r>
    </w:p>
    <w:p>
      <w:pPr>
        <w:pStyle w:val="Heading2"/>
      </w:pPr>
      <w:bookmarkStart w:name="_Toc17" w:id="17"/>
      <w:r>
        <w:t xml:space="preserve">2.11 Pruebas de seguridad (8.29) y requisitos de seguridad (8.26)</w:t>
      </w:r>
      <w:bookmarkEnd w:id="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5"/>
        <w:gridCol w:w="3744"/>
        <w:gridCol w:w="1311"/>
      </w:tblGrid>
      <w:tr>
        <w:trPr>
          <w:tblHeader/>
        </w:trPr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Prueba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 sin credencial y con credencial alterada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test/integracion/api-cuentas-sesiones.spec.ts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 por rol en listado, validación y documento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api-cuentas-sesiones.spec.ts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afiliacion.spec.ts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429 a partir de la petición 121, con dos instancias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api-cuentas-sesiones.spec.ts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Credencial alterada, vencida, con algoritmo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  <w:r>
              <w:rPr>
                <w:sz w:val="18"/>
                <w:szCs w:val="18"/>
              </w:rPr>
              <w:t xml:space="preserve">, otro secreto o rol ajeno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test/unitarias/infraestructura/seguridad.spec.ts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Rotación, reutilización, vencimiento y revocación de la renovación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servicio-seguridad.spec.ts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api-cuentas-sesiones.spec.ts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Cookie HttpOnly, SameSite=Strict, ruta y vida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api-cuentas-sesiones.spec.ts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e2e/pruebas/sesion.spec.ts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Mensaje idéntico para correo inexistente y contraseña incorrecta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api-cuentas-sesiones.spec.ts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UPDATE, DELETE y TRUNCATE de la bitácora fallan (42501)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test/bd/bitacora.spec.ts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e2e/pruebas/afiliacion.spec.ts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Privilegios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abasteceni_app</w:t>
            </w:r>
            <w:r>
              <w:rPr>
                <w:sz w:val="18"/>
                <w:szCs w:val="18"/>
              </w:rPr>
              <w:t xml:space="preserve"> exactamente los declarados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test/bd/linea-base.spec.ts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Tipo de archivo por contenido, tope de 5 MB y claves contra recorrido de rutas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afiliacion.spec.ts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almacen-documentos.spec.ts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Cabeceras de seguridad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nosniff</w:t>
            </w:r>
            <w:r>
              <w:rPr>
                <w:sz w:val="18"/>
                <w:szCs w:val="18"/>
              </w:rPr>
              <w:t xml:space="preserve">, sin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X-Powered-By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test/integracion/salud.spec.ts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  <w:tr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 traza no contiene datos personales de la URL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test/unitarias/aplicacion/transversal.spec.ts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Pasa</w:t>
            </w:r>
          </w:p>
        </w:tc>
      </w:tr>
    </w:tbl>
    <w:p>
      <w:pPr>
        <w:spacing w:after="120" w:line="276"/>
        <w:jc w:val="both"/>
      </w:pPr>
      <w:r>
        <w:t xml:space="preserve">Las cabeceras HTTP las establece helmet 8.3.0 con su configuración por defecto (</w:t>
      </w:r>
      <w:r>
        <w:rPr>
          <w:rFonts w:ascii="Consolas" w:cs="Consolas" w:eastAsia="Consolas" w:hAnsi="Consolas"/>
          <w:sz w:val="20"/>
          <w:szCs w:val="20"/>
        </w:rPr>
        <w:t xml:space="preserve">apps/backend/src/composicion/configurar-api.ts:18</w:t>
      </w:r>
      <w:r>
        <w:t xml:space="preserve">): política de seguridad de contenido, HSTS, </w:t>
      </w:r>
      <w:r>
        <w:rPr>
          <w:rFonts w:ascii="Consolas" w:cs="Consolas" w:eastAsia="Consolas" w:hAnsi="Consolas"/>
          <w:sz w:val="20"/>
          <w:szCs w:val="20"/>
        </w:rPr>
        <w:t xml:space="preserve">X-Content-Type-Options: nosniff</w:t>
      </w:r>
      <w:r>
        <w:t xml:space="preserve"> y protección contra el encuadre. CORS se restringe al origen del cliente web, con credenciales (línea 19; ASVS V14.5.3).</w:t>
      </w:r>
    </w:p>
    <w:p>
      <w:pPr>
        <w:pStyle w:val="Heading2"/>
      </w:pPr>
      <w:bookmarkStart w:name="_Toc18" w:id="18"/>
      <w:r>
        <w:t xml:space="preserve">2.12 Lista de verificación OWASP ASVS 4.0.3</w:t>
      </w:r>
      <w:bookmarkEnd w:id="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4305"/>
        <w:gridCol w:w="3371"/>
      </w:tblGrid>
      <w:tr>
        <w:trPr>
          <w:tblHeader/>
        </w:trP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Capítulo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Requisitos atendidos</w:t>
            </w:r>
          </w:p>
        </w:tc>
        <w:tc>
          <w:tcPr>
            <w:tcW w:type="dxa" w:w="3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Pendientes</w:t>
            </w:r>
          </w:p>
        </w:tc>
      </w:tr>
      <w:t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V2 Autenticación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V2.1.1, V2.1.2 (longitud), V2.4.1 (argon2id)</w:t>
            </w:r>
          </w:p>
        </w:tc>
        <w:tc>
          <w:tcPr>
            <w:tcW w:type="dxa" w:w="3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V2.2.1 (bloqueo, SYS-FN-07), V2.5 (recuperación, SYS-FN-05), V2.8 (TOTP, SYS-FN-06)</w:t>
            </w:r>
          </w:p>
        </w:tc>
      </w:tr>
      <w:t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V3 Gestión de sesiones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V3.4.1, V3.4.2, V3.4.3, V3.4.5 (atributos de la cookie); V3.5.3 (credencial firmada); revocación de la renovación al cerrar sesión</w:t>
            </w:r>
          </w:p>
        </w:tc>
        <w:tc>
          <w:tcPr>
            <w:tcW w:type="dxa" w:w="3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Revocación inmediata de la credencial de acceso: vive como máximo 15 minutos (ADR-04)</w:t>
            </w:r>
          </w:p>
        </w:tc>
      </w:tr>
      <w:t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V4 Control de acceso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V4.1.1, V4.1.3, V4.1.5 (denegación por defecto, mínimo privilegio, control en el servidor)</w:t>
            </w:r>
          </w:p>
        </w:tc>
        <w:tc>
          <w:tcPr>
            <w:tcW w:type="dxa" w:w="3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V5 Validación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V5.1.3 (validación positiva), V5.3.4 (consultas parametrizadas)</w:t>
            </w:r>
          </w:p>
        </w:tc>
        <w:tc>
          <w:tcPr>
            <w:tcW w:type="dxa" w:w="3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V7 Registros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V7.1.1, V7.1.2 (sin credenciales ni datos sensibles en las trazas)</w:t>
            </w:r>
          </w:p>
        </w:tc>
        <w:tc>
          <w:tcPr>
            <w:tcW w:type="dxa" w:w="3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Retención y archivo de la bitácora (SYS-NFN-04)</w:t>
            </w:r>
          </w:p>
        </w:tc>
      </w:tr>
      <w:t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V12 Archivos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V12.1.1 (tamaño), V12.2.1 (tipo por contenido), V12.3.1 (sin nombre del usuario en la ruta), V12.4.1 (fuera de la raíz web)</w:t>
            </w:r>
          </w:p>
        </w:tc>
        <w:tc>
          <w:tcPr>
            <w:tcW w:type="dxa" w:w="3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Análisis antimalware de los documentos</w:t>
            </w:r>
          </w:p>
        </w:tc>
      </w:tr>
      <w:t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V14 Configuración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V14.2.1 (dependencias auditadas), V14.4 (cabeceras de helmet), V14.5.3 (CORS restringido)</w:t>
            </w:r>
          </w:p>
        </w:tc>
        <w:tc>
          <w:tcPr>
            <w:tcW w:type="dxa" w:w="3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TLS 1.3 y HSTS efectivo en el borde de producción (SYS-NFN-02)</w:t>
            </w:r>
          </w:p>
        </w:tc>
      </w:tr>
    </w:tbl>
    <w:p>
      <w:pPr>
        <w:pStyle w:val="Heading2"/>
      </w:pPr>
      <w:bookmarkStart w:name="_Toc19" w:id="19"/>
      <w:r>
        <w:t xml:space="preserve">2.13 Lo construido y verificado frente a lo pendiente</w:t>
      </w:r>
      <w:bookmarkEnd w:id="1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1"/>
        <w:gridCol w:w="4119"/>
      </w:tblGrid>
      <w:tr>
        <w:trPr>
          <w:tblHeader/>
        </w:trPr>
        <w:tc>
          <w:tcPr>
            <w:tcW w:type="dxa" w:w="5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5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Autenticación sin estado, control de acceso, límite de peticiones, validación, carga segura, bitácora inmutable, consentimiento, secretos, CodeQL y auditoría de dependencias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Construido y verificado; lo de IT-01 integrado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sz w:val="18"/>
                <w:szCs w:val="18"/>
              </w:rPr>
              <w:t xml:space="preserve">, lo de IT-02 pendiente de la revisión cruzada (PR #3)</w:t>
            </w:r>
          </w:p>
        </w:tc>
      </w:tr>
      <w:tr>
        <w:tc>
          <w:tcPr>
            <w:tcW w:type="dxa" w:w="5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SYS-FN-05, 06, 07 y 08 (recuperación, TOTP, bloqueo, límite de dispositivos)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Pendiente: tramos B y C de IT-02, no construidos a la fecha de corte</w:t>
            </w:r>
          </w:p>
        </w:tc>
      </w:tr>
      <w:tr>
        <w:tc>
          <w:tcPr>
            <w:tcW w:type="dxa" w:w="5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SYS-NFN-01 (AES-256 en reposo) y SYS-NFN-02 (TLS 1.3)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Pendiente: servicios gestionados de producción (ADR-09, informe 5)</w:t>
            </w:r>
          </w:p>
        </w:tc>
      </w:tr>
      <w:tr>
        <w:tc>
          <w:tcPr>
            <w:tcW w:type="dxa" w:w="5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SYS-NFN-04 (retención de la bitácora) y SYS-FN-37 (supresión)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Pendiente: IT-09</w:t>
            </w:r>
          </w:p>
        </w:tc>
      </w:tr>
      <w:tr>
        <w:tc>
          <w:tcPr>
            <w:tcW w:type="dxa" w:w="5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Análisis antimalware de los documentos cargados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Propuesta: no lo exige ningún documento de la serie; se registraría como regla nueva</w:t>
            </w:r>
          </w:p>
        </w:tc>
      </w:tr>
    </w:tbl>
    <w:p>
      <w:pPr>
        <w:pStyle w:val="Heading1"/>
      </w:pPr>
      <w:bookmarkStart w:name="_Toc20" w:id="20"/>
      <w:r>
        <w:t xml:space="preserve">3. Conclusiones</w:t>
      </w:r>
      <w:bookmarkEnd w:id="20"/>
    </w:p>
    <w:p>
      <w:pPr>
        <w:spacing w:after="120" w:line="276"/>
        <w:jc w:val="both"/>
      </w:pPr>
      <w:r>
        <w:t xml:space="preserve">Los controles de ISO/IEC 27002:2022 de la tabla de CLAUDE.md §9 tienen, en el código construido, una práctica concreta y una prueba automatizada que la verifica en cada cambio. Las propiedades críticas no dependen solo del código de la aplicación: la inmutabilidad de la bitácora la hace cumplir PostgreSQL, el límite de peticiones se comparte entre instancias en la base de datos y la protección de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impide integrar sin la CI en verde.</w:t>
      </w:r>
    </w:p>
    <w:p>
      <w:pPr>
        <w:spacing w:after="120" w:line="276"/>
        <w:jc w:val="both"/>
      </w:pPr>
      <w:r>
        <w:t xml:space="preserve">El análisis estático encontró una alerta de gravedad alta. Se analizó y se descartó con justificación documentada, porque corresponde a una decisión de arquitectura cuyas protecciones están implementadas y probadas. La auditoría de dependencias no tiene hallazgos altos ni críticos. Los requisitos de seguridad pendientes están identificados: bloqueo por intentos, recuperación, segundo factor y límite de dispositivos (tramos B y C), y los que dependen de la infraestructura de producción.</w:t>
      </w:r>
    </w:p>
    <w:p>
      <w:pPr>
        <w:pStyle w:val="Heading1"/>
      </w:pPr>
      <w:bookmarkStart w:name="_Toc21" w:id="21"/>
      <w:r>
        <w:t xml:space="preserve">4. Referencias normativas y bibliográficas</w:t>
      </w:r>
      <w:bookmarkEnd w:id="21"/>
    </w:p>
    <w:p>
      <w:pPr>
        <w:spacing w:after="120" w:line="276"/>
        <w:jc w:val="both"/>
      </w:pPr>
      <w:r>
        <w:t xml:space="preserve">[1] ISO/IEC 27001:2022. </w:t>
      </w:r>
      <w:r>
        <w:rPr>
          <w:i/>
          <w:iCs/>
        </w:rPr>
        <w:t xml:space="preserve">Information security, cybersecurity and privacy protection — Information security management systems — Requirements</w:t>
      </w:r>
      <w:r>
        <w:t xml:space="preserve">, Anexo A.</w:t>
      </w:r>
    </w:p>
    <w:p>
      <w:pPr>
        <w:spacing w:after="120" w:line="276"/>
        <w:jc w:val="both"/>
      </w:pPr>
      <w:r>
        <w:t xml:space="preserve">[2] ISO/IEC 27002:2022. </w:t>
      </w:r>
      <w:r>
        <w:rPr>
          <w:i/>
          <w:iCs/>
        </w:rPr>
        <w:t xml:space="preserve">Information security, cybersecurity and privacy protection — Information security controls</w:t>
      </w:r>
      <w:r>
        <w:t xml:space="preserve">.</w:t>
      </w:r>
    </w:p>
    <w:p>
      <w:pPr>
        <w:spacing w:after="120" w:line="276"/>
        <w:jc w:val="both"/>
      </w:pPr>
      <w:r>
        <w:t xml:space="preserve">[3] OWASP Foundation. </w:t>
      </w:r>
      <w:r>
        <w:rPr>
          <w:i/>
          <w:iCs/>
        </w:rPr>
        <w:t xml:space="preserve">Application Security Verification Standard</w:t>
      </w:r>
      <w:r>
        <w:t xml:space="preserve"> 4.0.3, 2021.</w:t>
      </w:r>
    </w:p>
    <w:p>
      <w:pPr>
        <w:spacing w:after="120" w:line="276"/>
        <w:jc w:val="both"/>
      </w:pPr>
      <w:r>
        <w:t xml:space="preserve">[4] OWASP Foundation. </w:t>
      </w:r>
      <w:r>
        <w:rPr>
          <w:i/>
          <w:iCs/>
        </w:rPr>
        <w:t xml:space="preserve">Password Storage Cheat Sheet</w:t>
      </w:r>
      <w:r>
        <w:t xml:space="preserve"> y </w:t>
      </w:r>
      <w:r>
        <w:rPr>
          <w:i/>
          <w:iCs/>
        </w:rPr>
        <w:t xml:space="preserve">Session Management Cheat Sheet</w:t>
      </w:r>
      <w:r>
        <w:t xml:space="preserve">.</w:t>
      </w:r>
    </w:p>
    <w:p>
      <w:pPr>
        <w:spacing w:after="120" w:line="276"/>
        <w:jc w:val="both"/>
      </w:pPr>
      <w:r>
        <w:t xml:space="preserve">[5] Ley No. 787, Ley de Protección de Datos Personales. Asamblea Nacional de Nicaragua, 2012.</w:t>
      </w:r>
    </w:p>
    <w:p>
      <w:pPr>
        <w:spacing w:after="120" w:line="276"/>
        <w:jc w:val="both"/>
      </w:pPr>
      <w:r>
        <w:t xml:space="preserve">[6] GitHub. </w:t>
      </w:r>
      <w:r>
        <w:rPr>
          <w:i/>
          <w:iCs/>
        </w:rPr>
        <w:t xml:space="preserve">CodeQL</w:t>
      </w:r>
      <w:r>
        <w:t xml:space="preserve"> 2.27.2, conjunto de consultas </w:t>
      </w:r>
      <w:r>
        <w:rPr>
          <w:rFonts w:ascii="Consolas" w:cs="Consolas" w:eastAsia="Consolas" w:hAnsi="Consolas"/>
          <w:sz w:val="20"/>
          <w:szCs w:val="20"/>
        </w:rPr>
        <w:t xml:space="preserve">security-extended</w:t>
      </w:r>
      <w:r>
        <w:t xml:space="preserve"> para JavaScript y TypeScript.</w:t>
      </w:r>
    </w:p>
    <w:p>
      <w:pPr>
        <w:spacing w:after="120" w:line="276"/>
        <w:jc w:val="both"/>
      </w:pPr>
      <w:r>
        <w:t xml:space="preserve">[7] Serie AbasteceNi: D1 v2.1 (RO-04), D2 v1.1, D3 v1.1 (V-03, PA-05, PA-06, ADR-04, ADR-05), registro de decisiones (ADR-08, ADR-09), </w:t>
      </w:r>
      <w:r>
        <w:rPr>
          <w:rFonts w:ascii="Consolas" w:cs="Consolas" w:eastAsia="Consolas" w:hAnsi="Consolas"/>
          <w:sz w:val="20"/>
          <w:szCs w:val="20"/>
        </w:rPr>
        <w:t xml:space="preserve">docs/evidencia/discrepancias.md</w:t>
      </w:r>
      <w:r>
        <w:t xml:space="preserve"> (DIS-06, 22, 24, 25, 28, 33).</w:t>
      </w:r>
    </w:p>
    <w:p>
      <w:pPr>
        <w:pStyle w:val="Heading1"/>
      </w:pPr>
      <w:bookmarkStart w:name="_Toc22" w:id="22"/>
      <w:r>
        <w:t xml:space="preserve">5. Anexos</w:t>
      </w:r>
      <w:bookmarkEnd w:id="22"/>
    </w:p>
    <w:p>
      <w:pPr>
        <w:pStyle w:val="Heading2"/>
      </w:pPr>
      <w:bookmarkStart w:name="_Toc23" w:id="23"/>
      <w:r>
        <w:t xml:space="preserve">Anexo A — Ejecuciones de CI con los trabajos de seguridad</w:t>
      </w:r>
      <w:bookmarkEnd w:id="2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620"/>
        <w:gridCol w:w="2340"/>
        <w:gridCol w:w="2341"/>
      </w:tblGrid>
      <w:tr>
        <w:trPr>
          <w:tblHeader/>
        </w:trP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Ejecución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Rama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CodeQL (trabajo 9)</w:t>
            </w:r>
          </w:p>
        </w:tc>
        <w:tc>
          <w:tcPr>
            <w:tcW w:type="dxa" w:w="23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npm audit (trabajo 8)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39020586251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it-00/entorno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 verde</w:t>
            </w:r>
          </w:p>
        </w:tc>
        <w:tc>
          <w:tcPr>
            <w:tcW w:type="dxa" w:w="23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 verde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39023391840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it-01/linea-base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 verde</w:t>
            </w:r>
          </w:p>
        </w:tc>
        <w:tc>
          <w:tcPr>
            <w:tcW w:type="dxa" w:w="23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 verde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39033238576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it-02/afiliacion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 verde</w:t>
            </w:r>
          </w:p>
        </w:tc>
        <w:tc>
          <w:tcPr>
            <w:tcW w:type="dxa" w:w="23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 verde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39036501600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it-02/informes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 verde</w:t>
            </w:r>
          </w:p>
        </w:tc>
        <w:tc>
          <w:tcPr>
            <w:tcW w:type="dxa" w:w="23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 verde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AbasteceNi — Informe 3: Programación segura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 Light" w:cs="Calibri Light" w:eastAsia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color w:val="1F4D7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segura</dc:title>
  <dc:creator>Equipo AbasteceNi (U-01)</dc:creator>
  <dc:description>Informe 3 de la fase de desarrollo de AbasteceNi</dc:description>
  <cp:lastModifiedBy>Un-named</cp:lastModifiedBy>
  <cp:revision>1</cp:revision>
  <dcterms:created xsi:type="dcterms:W3CDTF">2026-10-17T13:30:16.633Z</dcterms:created>
  <dcterms:modified xsi:type="dcterms:W3CDTF">2026-10-17T13:30:16.634Z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