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(tramo A) del documento 4 (D4 §2.13). Conforme a la Definición de Terminado (DM-04, condiciones 5 y 6), un elemento solo forma parte del incremento cuando la revisión cruzada consta como favorable y está integrado en la rama principal con la batería en verde. IT-00 e IT-01 están integradas en </w:t>
      </w:r>
      <w:r>
        <w:rPr>
          <w:rFonts w:ascii="Consolas" w:cs="Consolas" w:eastAsia="Consolas" w:hAnsi="Consolas"/>
          <w:sz w:val="20"/>
          <w:szCs w:val="20"/>
        </w:rPr>
        <w:t xml:space="preserve">main</w:t>
      </w:r>
      <w:r>
        <w:t xml:space="preserve"> (PR #1 y #2). IT-02 (tramo A) está </w:t>
      </w:r>
      <w:r>
        <w:rPr>
          <w:b/>
          <w:bCs/>
        </w:rPr>
        <w:t xml:space="preserve">construida y verificada, pendiente de la revisión cruzada</w:t>
      </w:r>
      <w:r>
        <w:t xml:space="preserve"> (PR #3) para integrarse (DM-04, condiciones 5 y 6), y por eso se presenta como construida en rama y no como parte del incremento integrado.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Construida y verificada; pendiente de la revisión cruzada (DM-05) para integrarse</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85787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it-02/afiliacion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composicion/api.module.ts:85-90</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trabajador.module.ts:80</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registrándolos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Lo verifica </w:t>
      </w:r>
      <w:r>
        <w:rPr>
          <w:rFonts w:ascii="Consolas" w:cs="Consolas" w:eastAsia="Consolas" w:hAnsi="Consolas"/>
          <w:sz w:val="20"/>
          <w:szCs w:val="20"/>
        </w:rPr>
        <w:t xml:space="preserve">test/componentes/CampoFormulario.test.tsx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composicion/api.module.ts:28-94</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w:p>
      <w:pPr>
        <w:pStyle w:val="ListParagraph"/>
        <w:numPr>
          <w:ilvl w:val="0"/>
          <w:numId w:val="2"/>
        </w:numPr>
        <w:spacing w:after="60"/>
        <w:jc w:val="left"/>
      </w:pPr>
      <w:r>
        <w:rPr>
          <w:b/>
          <w:bCs/>
        </w:rPr>
        <w:t xml:space="preserve">Un puerto de persistencia por módulo:</w:t>
      </w:r>
      <w:r>
        <w:t xml:space="preserve"> </w:t>
      </w:r>
      <w:r>
        <w:rPr>
          <w:rFonts w:ascii="Consolas" w:cs="Consolas" w:eastAsia="Consolas" w:hAnsi="Consolas"/>
          <w:sz w:val="20"/>
          <w:szCs w:val="20"/>
        </w:rPr>
        <w:t xml:space="preserve">PuertoRepositorioUsuarios</w:t>
      </w:r>
      <w:r>
        <w:t xml:space="preserve"> (M1) y </w:t>
      </w:r>
      <w:r>
        <w:rPr>
          <w:rFonts w:ascii="Consolas" w:cs="Consolas" w:eastAsia="Consolas" w:hAnsi="Consolas"/>
          <w:sz w:val="20"/>
          <w:szCs w:val="20"/>
        </w:rPr>
        <w:t xml:space="preserve">PuertoRepositorioSeguridad</w:t>
      </w:r>
      <w:r>
        <w:t xml:space="preserve"> (M2), en lugar de uno por agregado.</w:t>
      </w:r>
    </w:p>
    <w:p>
      <w:pPr>
        <w:pStyle w:val="ListParagraph"/>
        <w:numPr>
          <w:ilvl w:val="0"/>
          <w:numId w:val="2"/>
        </w:numPr>
        <w:spacing w:after="60"/>
        <w:jc w:val="left"/>
      </w:pPr>
      <w:r>
        <w:rPr>
          <w:b/>
          <w:bCs/>
        </w:rPr>
        <w:t xml:space="preserve">Un servicio por módulo:</w:t>
      </w:r>
      <w:r>
        <w:t xml:space="preserve"> </w:t>
      </w:r>
      <w:r>
        <w:rPr>
          <w:rFonts w:ascii="Consolas" w:cs="Consolas" w:eastAsia="Consolas" w:hAnsi="Consolas"/>
          <w:sz w:val="20"/>
          <w:szCs w:val="20"/>
        </w:rPr>
        <w:t xml:space="preserve">ServicioUsuarios</w:t>
      </w:r>
      <w:r>
        <w:t xml:space="preserve"> y </w:t>
      </w:r>
      <w:r>
        <w:rPr>
          <w:rFonts w:ascii="Consolas" w:cs="Consolas" w:eastAsia="Consolas" w:hAnsi="Consolas"/>
          <w:sz w:val="20"/>
          <w:szCs w:val="20"/>
        </w:rPr>
        <w:t xml:space="preserve">ServicioSeguridad</w:t>
      </w:r>
      <w:r>
        <w:t xml:space="preserve">, en lugar de una clase por caso de uso.</w:t>
      </w:r>
    </w:p>
    <w:p>
      <w:pPr>
        <w:pStyle w:val="ListParagraph"/>
        <w:numPr>
          <w:ilvl w:val="0"/>
          <w:numId w:val="2"/>
        </w:numPr>
        <w:spacing w:after="60"/>
        <w:jc w:val="left"/>
      </w:pPr>
      <w:r>
        <w:rPr>
          <w:b/>
          <w:bCs/>
        </w:rPr>
        <w:t xml:space="preserve">Sin mapeador separado:</w:t>
      </w:r>
      <w:r>
        <w:t xml:space="preserve"> el repositorio reconstruye la entidad desde la fila (</w:t>
      </w:r>
      <w:r>
        <w:rPr>
          <w:rFonts w:ascii="Consolas" w:cs="Consolas" w:eastAsia="Consolas" w:hAnsi="Consolas"/>
          <w:sz w:val="20"/>
          <w:szCs w:val="20"/>
        </w:rPr>
        <w:t xml:space="preserve">CuentaComercial.reconstruir</w:t>
      </w:r>
      <w:r>
        <w:t xml:space="preserve"> en </w:t>
      </w:r>
      <w:r>
        <w:rPr>
          <w:rFonts w:ascii="Consolas" w:cs="Consolas" w:eastAsia="Consolas" w:hAnsi="Consolas"/>
          <w:sz w:val="20"/>
          <w:szCs w:val="20"/>
        </w:rPr>
        <w:t xml:space="preserve">repositorio-usuarios-pg.ts</w:t>
      </w:r>
      <w:r>
        <w:t xml:space="preserve">).</w:t>
      </w:r>
    </w:p>
    <w:p>
      <w:pPr>
        <w:pStyle w:val="ListParagraph"/>
        <w:numPr>
          <w:ilvl w:val="0"/>
          <w:numId w:val="2"/>
        </w:numPr>
        <w:spacing w:after="60"/>
        <w:jc w:val="left"/>
      </w:pPr>
      <w:r>
        <w:rPr>
          <w:b/>
          <w:bCs/>
        </w:rPr>
        <w:t xml:space="preserve">Los puertos transversales se mantienen siempre:</w:t>
      </w:r>
      <w:r>
        <w:t xml:space="preserve"> notificación, bandeja, bitácora y almacén. Las reglas </w:t>
      </w:r>
      <w:r>
        <w:rPr>
          <w:rFonts w:ascii="Consolas" w:cs="Consolas" w:eastAsia="Consolas" w:hAnsi="Consolas"/>
          <w:sz w:val="20"/>
          <w:szCs w:val="20"/>
        </w:rPr>
        <w:t xml:space="preserve">pa-01</w:t>
      </w:r>
      <w:r>
        <w:t xml:space="preserve"> y </w:t>
      </w:r>
      <w:r>
        <w:rPr>
          <w:rFonts w:ascii="Consolas" w:cs="Consolas" w:eastAsia="Consolas" w:hAnsi="Consolas"/>
          <w:sz w:val="20"/>
          <w:szCs w:val="20"/>
        </w:rPr>
        <w:t xml:space="preserve">v-01</w:t>
      </w:r>
      <w:r>
        <w:t xml:space="preserve"> no admiten excepción en ningún módulo.</w:t>
      </w:r>
    </w:p>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revisión cruzada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integrado; IT-02 pendiente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Los elementos de IT-02 están construidos y su verificación está en verde en la CI de su rama, pero </w:t>
      </w:r>
      <w:r>
        <w:rPr>
          <w:b/>
          <w:bCs/>
        </w:rPr>
        <w:t xml:space="preserve">no se presentan como parte del incremento</w:t>
      </w:r>
      <w:r>
        <w:t xml:space="preserve"> hasta que la revisión cruzada de DM-05 conste como favorable y se integren en </w:t>
      </w:r>
      <w:r>
        <w:rPr>
          <w:rFonts w:ascii="Consolas" w:cs="Consolas" w:eastAsia="Consolas" w:hAnsi="Consolas"/>
          <w:sz w:val="20"/>
          <w:szCs w:val="20"/>
        </w:rPr>
        <w:t xml:space="preserve">main</w:t>
      </w:r>
      <w:r>
        <w:t xml:space="preserve">, conforme a las condiciones 5 y 6 de DM-04.</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99,67 %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36a1cfb8dd325cf347bc1bbe05bb22fac4d1e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2026-10-17T13:33:29.307Z</dcterms:created>
  <dcterms:modified xsi:type="dcterms:W3CDTF">2026-10-17T13:33:29.307Z</dcterms:modified>
</cp:coreProperties>
</file>

<file path=docProps/custom.xml><?xml version="1.0" encoding="utf-8"?>
<Properties xmlns="http://schemas.openxmlformats.org/officeDocument/2006/custom-properties" xmlns:vt="http://schemas.openxmlformats.org/officeDocument/2006/docPropsVTypes"/>
</file>