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IT-00 e IT-01 están integradas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(PR #1 y #2). IT-02 (tramo A) está </w:t>
      </w:r>
      <w:r>
        <w:rPr>
          <w:b/>
          <w:bCs/>
        </w:rPr>
        <w:t xml:space="preserve">construida y verificada, pendiente de la revisión cruzada</w:t>
      </w:r>
      <w:r>
        <w:t xml:space="preserve"> (PR #3) para integrarse (DM-04, condiciones 5 y 6), y por eso se presenta como construida en rama y no como parte del incremento integrado.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9241-11:2018.</w:t>
      </w:r>
      <w:r>
        <w:t xml:space="preserve"> Define la usabilidad como el grado en que usuarios especificados logran objetivos especificados con eficacia, eficiencia y satisfacción en un contexto de uso especificado. Organiza el §2.1.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9241-110:2020.</w:t>
      </w:r>
      <w:r>
        <w:t xml:space="preserve"> Siete principios de interacción: adecuación a las tareas del usuario, autodescripción, conformidad con las expectativas del usuario, facilidad de aprendizaje, controlabilidad, robustez frente a errores de uso y compromiso del usuario. Organiza el §2.3.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9241-210:2019.</w:t>
      </w:r>
      <w:r>
        <w:t xml:space="preserve"> Diseño centrado en el ser humano: comprender el contexto de uso, especificar requisitos, producir soluciones de diseño y evaluarlas. Organiza el §2.2.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WCAG 2.1 nivel AA</w:t>
      </w:r>
      <w:r>
        <w:t xml:space="preserve"> (W3C), verificada con axe-core 4.11 a través de </w:t>
      </w:r>
      <w:r>
        <w:rPr>
          <w:rFonts w:ascii="Consolas" w:cs="Consolas" w:eastAsia="Consolas" w:hAnsi="Consolas"/>
          <w:sz w:val="20"/>
          <w:szCs w:val="20"/>
        </w:rPr>
        <w:t xml:space="preserve">@axe-core/playwright</w:t>
      </w:r>
      <w:r>
        <w:t xml:space="preserve"> 4.14.0. Organiza el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25062:2006.</w:t>
      </w:r>
      <w:r>
        <w:t xml:space="preserve"> Formato común de la industria (CIF) para informes de pruebas de usabilidad. Organiza el §2.6.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3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 errores, el formulario no muestra un resumen arriba ni lleva el foco al primer campo inválido. En un teléfono (pantalla 3) hay que desplazarse para encontrarlos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14" w:id="14"/>
      <w:r>
        <w:t xml:space="preserve">2.4 Rendimiento, adaptación y peso de la vista inicial (SYS-NFN-08, 09 y 10)</w:t>
      </w:r>
      <w:bookmarkEnd w:id="14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5" w:id="15"/>
      <w:r>
        <w:t xml:space="preserve">2.5 Accesibilidad (WCAG 2.1 AA; SYS-NFN-12)</w:t>
      </w:r>
      <w:bookmarkEnd w:id="15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2.1.1 (teclado):</w:t>
      </w:r>
      <w:r>
        <w:t xml:space="preserve"> el registro se recorre con Tab por los nueve campos, el archivo, el consentimiento y el botón de envío; el inicio de sesión se completa solo con teclado y Enter.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2.1.2 (sin trampa de foco):</w:t>
      </w:r>
      <w:r>
        <w:t xml:space="preserve"> Shift+Tab devuelve el foco desde el botón de envío a la casilla de consentimiento.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Foco visible:</w:t>
      </w:r>
      <w:r>
        <w:t xml:space="preserve"> contorno de 3 px de color ámbar en todos los controles (</w:t>
      </w:r>
      <w:r>
        <w:rPr>
          <w:rFonts w:ascii="Consolas" w:cs="Consolas" w:eastAsia="Consolas" w:hAnsi="Consolas"/>
          <w:sz w:val="20"/>
          <w:szCs w:val="20"/>
        </w:rPr>
        <w:t xml:space="preserve">apps/web/src/estilos.css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Puntuación de accesibilidad de Lighthouse:</w:t>
      </w:r>
      <w:r>
        <w:t xml:space="preserve"> 100 en las seis mediciones.</w:t>
      </w:r>
    </w:p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6" w:id="16"/>
      <w:r>
        <w:t xml:space="preserve">2.6 Informe de usabilidad en formato CIF (ISO/IEC 25062)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dos mejoras pendientes y dos propuestas.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 y paneles por rol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7" w:id="17"/>
      <w:r>
        <w:t xml:space="preserve">2.7 Lo construido y verificado frente a lo pendiente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infracciones en cinco vistas;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 e IT-01 integradas; IT-02 pendiente de la revisión cruzada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#1, #2 y #3</w:t>
            </w:r>
          </w:p>
        </w:tc>
      </w:tr>
    </w:tbl>
    <w:p>
      <w:pPr>
        <w:pStyle w:val="Heading1"/>
      </w:pPr>
      <w:bookmarkStart w:name="_Toc18" w:id="18"/>
      <w:r>
        <w:t xml:space="preserve">3. Conclusiones</w:t>
      </w:r>
      <w:bookmarkEnd w:id="18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Las dos últimas requieren modificar reglas aprobadas por el equipo y no se implementan sin esa decisión.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19" w:id="19"/>
      <w:r>
        <w:t xml:space="preserve">4. Referencias normativas y bibliográficas</w:t>
      </w:r>
      <w:bookmarkEnd w:id="19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0" w:id="20"/>
      <w:r>
        <w:t xml:space="preserve">5. Anexos</w:t>
      </w:r>
      <w:bookmarkEnd w:id="20"/>
    </w:p>
    <w:p>
      <w:pPr>
        <w:pStyle w:val="Heading2"/>
      </w:pPr>
      <w:bookmarkStart w:name="_Toc21" w:id="21"/>
      <w:r>
        <w:t xml:space="preserve">Anexo A — Mediciones sin compresión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2" w:id="22"/>
      <w:r>
        <w:t xml:space="preserve">Anexo B — Reproducción de las mediciones</w:t>
      </w:r>
      <w:bookmarkEnd w:id="22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los 21 escenarios de Playwright (incluidos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c3b7523c6c7af1b57deaba3691e4fe9eae45cf9.png"/><Relationship Id="rId12" Type="http://schemas.openxmlformats.org/officeDocument/2006/relationships/image" Target="media/420a9bd0513197b92a5b8da9e705d5fb8bef421a.png"/><Relationship Id="rId13" Type="http://schemas.openxmlformats.org/officeDocument/2006/relationships/image" Target="media/65a4ff54f9c78e82f035247c19bc518f1a0a2f2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2026-10-17T13:33:29.493Z</dcterms:created>
  <dcterms:modified xsi:type="dcterms:W3CDTF">2026-10-17T13:33:29.494Z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