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913755" cy="6271895"/>
                <wp:effectExtent l="0" t="0" r="11430" b="15240"/>
                <wp:wrapNone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000" cy="627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stroked="t" style="position:absolute;margin-left:0pt;margin-top:15.85pt;width:465.55pt;height:493.75pt;mso-wrap-style:none;v-text-anchor:middle;mso-position-horizontal:left;mso-position-horizontal-relative:margin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695325</wp:posOffset>
                </wp:positionH>
                <wp:positionV relativeFrom="paragraph">
                  <wp:posOffset>87630</wp:posOffset>
                </wp:positionV>
                <wp:extent cx="4397375" cy="1204595"/>
                <wp:effectExtent l="0" t="0" r="22860" b="15240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680" cy="120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População Finita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com alvo de inferência g(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stroked="t" style="position:absolute;margin-left:54.75pt;margin-top:6.9pt;width:346.15pt;height:94.7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População Finita</w:t>
                      </w:r>
                    </w:p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com alvo de inferência g(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1358265</wp:posOffset>
                </wp:positionH>
                <wp:positionV relativeFrom="paragraph">
                  <wp:posOffset>3113405</wp:posOffset>
                </wp:positionV>
                <wp:extent cx="4389755" cy="1334135"/>
                <wp:effectExtent l="0" t="0" r="11430" b="19050"/>
                <wp:wrapNone/>
                <wp:docPr id="4" name="E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33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Amostrais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...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4" stroked="t" style="position:absolute;margin-left:106.95pt;margin-top:245.15pt;width:345.55pt;height:104.9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Amostrais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...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146685</wp:posOffset>
                </wp:positionH>
                <wp:positionV relativeFrom="paragraph">
                  <wp:posOffset>1165860</wp:posOffset>
                </wp:positionV>
                <wp:extent cx="2599055" cy="1075055"/>
                <wp:effectExtent l="0" t="0" r="11430" b="11430"/>
                <wp:wrapNone/>
                <wp:docPr id="6" name="Fluxograma: Processo Alternativ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80" cy="10746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Plano Amostral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p(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uxograma: Processo Alternativo 5" stroked="t" style="position:absolute;margin-left:11.55pt;margin-top:91.8pt;width:204.55pt;height:84.55pt;mso-wrap-style:square;v-text-anchor:middle" type="shapetype_176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Plano Amostral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p(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s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1776730</wp:posOffset>
                </wp:positionH>
                <wp:positionV relativeFrom="paragraph">
                  <wp:posOffset>167640</wp:posOffset>
                </wp:positionV>
                <wp:extent cx="1036955" cy="968375"/>
                <wp:effectExtent l="38100" t="38100" r="30480" b="41910"/>
                <wp:wrapNone/>
                <wp:docPr id="8" name="Conector de Seta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644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6" stroked="t" style="position:absolute;margin-left:139.9pt;margin-top:13.2pt;width:81.55pt;height:76.15pt;flip:x;mso-wrap-style:none;v-text-anchor:middle" type="shapetype_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155ABBCD">
                <wp:simplePos x="0" y="0"/>
                <wp:positionH relativeFrom="column">
                  <wp:posOffset>1335405</wp:posOffset>
                </wp:positionH>
                <wp:positionV relativeFrom="paragraph">
                  <wp:posOffset>2278380</wp:posOffset>
                </wp:positionV>
                <wp:extent cx="1113155" cy="884555"/>
                <wp:effectExtent l="38100" t="38100" r="68580" b="49530"/>
                <wp:wrapNone/>
                <wp:docPr id="9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0" cy="88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7" stroked="t" style="position:absolute;margin-left:105.15pt;margin-top:179.4pt;width:87.55pt;height:69.55pt;mso-wrap-style:none;v-text-anchor:middle" wp14:anchorId="155ABBCD" type="shapetype_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</w:r>
      <w:bookmarkStart w:id="2" w:name="_GoBack"/>
      <w:bookmarkStart w:id="3" w:name="_GoBack"/>
      <w:bookmarkEnd w:id="3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F786-425E-4717-A5B4-46D85571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LibreOffice/7.0.6.2$Windows_X86_64 LibreOffice_project/144abb84a525d8e30c9dbbefa69cbbf2d8d4ae3b</Application>
  <AppVersion>15.0000</AppVersion>
  <Pages>1</Pages>
  <Words>17</Words>
  <Characters>86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2017-11-26T13:33:00Z</dcterms:created>
  <dc:creator>Pedro Luis do Nascimento Silva</dc:creator>
  <dc:description/>
  <dc:language>pt-BR</dc:language>
  <cp:lastModifiedBy/>
  <dcterms:modified xsi:type="dcterms:W3CDTF">2021-10-01T10:52:59Z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