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E6F95"/>
          <w:sz w:val="40"/>
          <w:szCs w:val="40"/>
        </w:rPr>
        <w:t xml:space="preserve">ClínicaCare — Dashboard Power BI</w:t>
      </w:r>
    </w:p>
    <w:p>
      <w:pPr>
        <w:spacing w:after="400"/>
      </w:pPr>
      <w:r>
        <w:rPr>
          <w:color w:val="666666"/>
          <w:sz w:val="24"/>
          <w:szCs w:val="24"/>
        </w:rPr>
        <w:t xml:space="preserve">Módulo 4 — Guia de construção do dashboard e análise de insights</w:t>
      </w:r>
    </w:p>
    <w:p>
      <w:pPr>
        <w:pStyle w:val="Heading1"/>
        <w:spacing w:after="150" w:before="300"/>
      </w:pPr>
      <w:r>
        <w:t xml:space="preserve">1. Sobre este documento</w:t>
      </w:r>
    </w:p>
    <w:p>
      <w:pPr>
        <w:spacing w:after="150"/>
      </w:pPr>
      <w:r>
        <w:t xml:space="preserve">Este documento acompanha o arquivo dados.csv, extraído diretamente do banco clinica_care (o mesmo banco usado nos Módulos 1, 2 e 3), e contém o passo a passo completo para reproduzir o dashboard no Power BI Desktop: importação, tratamento, medidas DAX, layout, filtros e paleta de cores — além da análise de insights exigida pelo desafio.</w:t>
      </w:r>
    </w:p>
    <w:p>
      <w:pPr>
        <w:spacing w:after="150"/>
      </w:pPr>
      <w:r>
        <w:t xml:space="preserve">Observação sobre o arquivo .pbix: como o Power BI Desktop é uma ferramenta com interface gráfica própria (Windows/Mac), o arquivo binário .pbix precisa ser montado localmente seguindo este guia. Todas as instruções abaixo foram desenhadas para que a montagem leve poucos minutos e resulte exatamente no dashboard descrito.</w:t>
      </w:r>
    </w:p>
    <w:p>
      <w:pPr>
        <w:pStyle w:val="Heading1"/>
        <w:spacing w:after="150" w:before="300"/>
      </w:pPr>
      <w:r>
        <w:t xml:space="preserve">2. Importação dos dados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Abra o Power BI Desktop → Página Inicial → Obter Dados → Texto/CSV.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Selecione o arquivo dados.csv (codificação UTF-8, já pronta para acentuação em português).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 em Transformar Dados para abrir o Power Query antes de carregar.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Confirme os tipos de cada coluna (Power BI geralmente detecta bem, mas confira manualmente):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data_consulta e data_agendamento → tipo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dias_antecedencia, valor_consulta, valor_pago, idade_paciente → tipo Número Decimal/Inteiro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Demais colunas (nomes, status, especialidade, etc.) → tipo Texto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 em Fechar e Aplicar.</w:t>
      </w:r>
    </w:p>
    <w:p>
      <w:pPr>
        <w:pStyle w:val="Heading1"/>
        <w:spacing w:after="150" w:before="300"/>
      </w:pPr>
      <w:r>
        <w:t xml:space="preserve">3. Tratamento dos dados (Power Query)</w:t>
      </w:r>
    </w:p>
    <w:p>
      <w:pPr>
        <w:spacing w:after="150"/>
      </w:pPr>
      <w:r>
        <w:t xml:space="preserve">O dados.csv já vem tratado na extração (sem nulos inesperados, sem duplicatas, tipos coerentes), mas é uma boa prática profissional confirmar isso dentro do próprio Power BI: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Nulos: use Página Inicial → Remover Linhas → Remover Linhas em Branco, ou verifique coluna a coluna com o botão direito → Perfil da Coluna. Os únicos nulos esperados são em status_pagamento/metodo_pagamento quando a consulta ainda não gerou pagamento — nesses casos o CSV já traz 'Sem Registro'/'N/A' em vez de nulo.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Duplicatas: Transformar → Remover Duplicatas, aplicado sobre a coluna id_consulta (chave única de cada linha).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Tipos de dados: revisar cada coluna no cabeçalho do Power Query (ícone à esquerda do nome da coluna) conforme a tabela do item 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Relacionamentos: como dados.csv já é uma tabela única e desnormalizada (uma linha por consulta, com paciente/médico/especialidade/convênio/pagamento já unidos via JOIN no SQL), não é necessário criar relacionamentos entre tabelas no modelo do Power BI — há apenas uma tabela. Para um modelo mais avançado (estrela, com tabelas de dimensão separadas), seria possível dividir esta tabela em Fato_Consultas + Dim_Paciente + Dim_Medico + Dim_Especialidade + Dim_Convenio, relacionadas por chave estrangeira — mas isso é opcional para o escopo deste desafio.</w:t>
      </w:r>
    </w:p>
    <w:p>
      <w:pPr>
        <w:pStyle w:val="Heading1"/>
        <w:spacing w:after="150" w:before="300"/>
      </w:pPr>
      <w:r>
        <w:t xml:space="preserve">4. Medidas DAX</w:t>
      </w:r>
    </w:p>
    <w:p>
      <w:pPr>
        <w:spacing w:after="150"/>
      </w:pPr>
      <w:r>
        <w:t xml:space="preserve">Crie uma tabela de medidas (Modelagem → Nova Medida) com as fórmulas abaixo: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DCEAF2" w:val="clear"/>
          </w:tcPr>
          <w:p>
            <w:r>
              <w:rPr>
                <w:b/>
                <w:bCs/>
                <w:sz w:val="20"/>
                <w:szCs w:val="20"/>
              </w:rPr>
              <w:t xml:space="preserve">Medida</w:t>
            </w:r>
          </w:p>
        </w:tc>
        <w:tc>
          <w:tcPr>
            <w:tcW w:type="dxa" w:w="6750"/>
            <w:shd w:fill="DCEAF2" w:val="clear"/>
          </w:tcPr>
          <w:p>
            <w:r>
              <w:rPr>
                <w:b/>
                <w:bCs/>
                <w:sz w:val="20"/>
                <w:szCs w:val="20"/>
              </w:rPr>
              <w:t xml:space="preserve">Fórmula DAX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de Pacientes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de Pacientes = DISTINCTCOUNT(dados[id_paciente])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Receita Total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Receita Total = CALCULATE(SUM(dados[valor_pago]), dados[status_pagamento] = "Pago")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Taxa de Ocupação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Taxa de Ocupação = DIVIDE(
    CALCULATE(COUNTROWS(dados), dados[status_consulta] = "Realizada"),
    COUNTROWS(dados)
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Taxa de No-Show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Taxa de No-Show = DIVIDE(
    CALCULATE(COUNTROWS(dados), dados[status_consulta] = "No-Show"),
    COUNTROWS(dados)
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de Consultas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de Consultas = COUNTROWS(dados)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Ticket Médio Pago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Ticket Médio Pago = DIVIDE(
    [Receita Total],
    CALCULATE(COUNTROWS(dados), dados[status_pagamento] = "Pago")
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Pendências Financeiras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Pendências Financeiras = CALCULATE(
    COUNTROWS(dados), dados[status_pagamento] = "Pendente"
)</w:t>
            </w:r>
          </w:p>
        </w:tc>
      </w:tr>
    </w:tbl>
    <w:p>
      <w:pPr>
        <w:spacing w:after="150"/>
      </w:pPr>
      <w:r>
        <w:rPr>
          <w:i/>
          <w:iCs/>
          <w:color w:val="666666"/>
          <w:sz w:val="20"/>
          <w:szCs w:val="20"/>
        </w:rPr>
        <w:t xml:space="preserve">Formatação recomendada: Taxa de Ocupação e Taxa de No-Show devem ser formatadas como percentual (botão % no painel de medida); Receita Total e Ticket Médio Pago como moeda (R$).</w:t>
      </w:r>
    </w:p>
    <w:p>
      <w:pPr>
        <w:pStyle w:val="Heading1"/>
        <w:spacing w:after="150" w:before="300"/>
      </w:pPr>
      <w:r>
        <w:t xml:space="preserve">5. Visualizações obrigatórias e layout</w:t>
      </w:r>
    </w:p>
    <w:p>
      <w:pPr>
        <w:spacing w:after="150"/>
      </w:pPr>
      <w:r>
        <w:t xml:space="preserve">Página única 'Visão Geral', dividida em duas faixas: KPIs no topo, gráficos abaixo em grade 2x2.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50"/>
        <w:gridCol w:w="4000"/>
      </w:tblGrid>
      <w:tr>
        <w:tc>
          <w:tcPr>
            <w:tcW w:type="dxa" w:w="2000"/>
            <w:shd w:fill="DCEA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Posição</w:t>
            </w:r>
          </w:p>
        </w:tc>
        <w:tc>
          <w:tcPr>
            <w:tcW w:type="dxa" w:w="3350"/>
            <w:shd w:fill="DCEAF2" w:val="clear"/>
          </w:tcPr>
          <w:p>
            <w:r>
              <w:rPr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4000"/>
            <w:shd w:fill="DCEA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Configuração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Topo (faixa de cards)</w:t>
            </w:r>
          </w:p>
        </w:tc>
        <w:tc>
          <w:tcPr>
            <w:tcW w:type="dxa" w:w="33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Cards/KPI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de Pacientes | Receita Total | Taxa de Ocupação — fonte grande (28-32pt), rótulo pequeno acima.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Esquerda superior</w:t>
            </w:r>
          </w:p>
        </w:tc>
        <w:tc>
          <w:tcPr>
            <w:tcW w:type="dxa" w:w="33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Gráfico de Barras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Eixo Y: nome_especialidade · Valores: Total de Consultas · Título: 'Consultas por Especialidade'.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Direita superior</w:t>
            </w:r>
          </w:p>
        </w:tc>
        <w:tc>
          <w:tcPr>
            <w:tcW w:type="dxa" w:w="33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Gráfico de Colunas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Eixo X: ano_mes · Valores: Receita Total · Título: 'Faturamento por Mês'.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Esquerda inferior</w:t>
            </w:r>
          </w:p>
        </w:tc>
        <w:tc>
          <w:tcPr>
            <w:tcW w:type="dxa" w:w="33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Gráfico de Pizza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Legenda: nome_convenio · Valores: Total de Pacientes (DISTINCTCOUNT) · Título: 'Pacientes por Plano de Saúde'.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Direita inferior</w:t>
            </w:r>
          </w:p>
        </w:tc>
        <w:tc>
          <w:tcPr>
            <w:tcW w:type="dxa" w:w="33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Gráfico de Linha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Eixo X: ano_mes · Valores: Taxa de No-Show · Título: 'Taxa de No-Show ao Longo do Tempo'.</w:t>
            </w:r>
          </w:p>
        </w:tc>
      </w:tr>
    </w:tbl>
    <w:p>
      <w:pPr>
        <w:spacing w:after="150"/>
      </w:pPr>
      <w:r>
        <w:t xml:space="preserve">Cada visual deve ter título visível (Formatar Visual → Título) e uma cor de destaque consistente com a paleta do item 7.</w:t>
      </w:r>
    </w:p>
    <w:p>
      <w:pPr>
        <w:pStyle w:val="Heading1"/>
        <w:spacing w:after="150" w:before="300"/>
      </w:pPr>
      <w:r>
        <w:t xml:space="preserve">6. Filtros e slicers recomendados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Período (slicer de intervalo de datas sobre data_consulta) — permite analisar qualquer janela de tempo.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Especialidade (slicer de lista sobre nome_especialidade).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Médico (slicer de lista sobre nome_medico).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Plano de saúde (slicer de lista sobre nome_convenio).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da consulta (slicer de botões sobre status_consulta: Agendada/Realizada/Cancelada/No-Show).</w:t>
      </w:r>
    </w:p>
    <w:p>
      <w:pPr>
        <w:spacing w:after="150"/>
      </w:pPr>
      <w:r>
        <w:t xml:space="preserve">Posicione os slicers em uma faixa lateral esquerda fixa, para que fiquem visíveis ao filtrar qualquer gráfico da página.</w:t>
      </w:r>
    </w:p>
    <w:p>
      <w:pPr>
        <w:pStyle w:val="Heading1"/>
        <w:spacing w:after="150" w:before="300"/>
      </w:pPr>
      <w:r>
        <w:t xml:space="preserve">7. Paleta de cores profissional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 principal (destaque, cards, barras): #2E6F95 (azul petróleo — transmite confiança, comum em saúde).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 secundária (gráficos com múltiplas categorias): #5FA8D3, #8ED1B3, #F2C879, #E07A5F, #9B5DE5.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Fundo: branco ou cinza muito claro (#F7F9FA), para não competir com os dados.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Alertas (ex.: taxa de no-show alta, pendências financeiras): #E07A5F (laranja-avermelhado), usado com formatação condicional.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Fonte: Segoe UI (padrão do Power BI) em todos os títulos e rótulos, para consistência visual.</w:t>
      </w:r>
    </w:p>
    <w:p>
      <w:pPr>
        <w:pStyle w:val="Heading1"/>
        <w:spacing w:after="150" w:before="300"/>
      </w:pPr>
      <w:r>
        <w:t xml:space="preserve">8. Insights e recomendações (baseados nos dados reais extraídos)</w:t>
      </w:r>
    </w:p>
    <w:p>
      <w:pPr>
        <w:spacing w:after="150"/>
      </w:pPr>
      <w:r>
        <w:t xml:space="preserve">Os números abaixo foram calculados diretamente sobre o dados.csv gerado a partir do banco clinica_care (16 consultas), e devem se refletir nos visuais do dashboard: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Receita total confirmada (status = Pago): R$ 2.803,00, distribuída de forma equilibrada entre janeiro (R$ 1.396,50) e fevereiro de 2026 (R$ 1.406,50) — sinaliza estabilidade de faturamento no curto período disponível.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Taxa de ocupação geral (consultas Realizadas / total): 75%. Insight: 1 em cada 4 agendamentos não se converte em atendimento (soma de No-Show + Cancelada), o que representa capacidade ociosa da agenda médica.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Taxa de no-show geral: 18,8% — e caiu de 25% em janeiro para 12,5% em fevereiro. Insight: mesmo com uma janela curta de dados, a tendência de queda sugere que ações de lembrete/confirmação (mesmo que informais) já vêm ajudando; vale formalizar esse processo.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Cardiologia, Neurologia e Psiquiatria têm os maiores tickets médios pagos (R$ 300, R$ 297,50 e R$ 288). Recomendação: priorizar a divulgação e disponibilidade de agenda dessas especialidades, pois têm maior impacto na receita por atendimento.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Particular e Unimed JP concentram a maior parte dos pacientes na base atual. Recomendação: negociar tabelas de reembolso com o convênio Unimed JP considerando esse volume, e avaliar campanhas de captação para pacientes particulares (maior margem, sem desconto de convênio).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Recomendação geral: como o histórico disponível cobre apenas 2 meses (exigência do PDF de 12-20 registros por tabela), o dashboard deve ser interpretado como uma prova de conceito. Com a alimentação contínua do Power BI a partir do banco real da clínica, as mesmas medidas e visuais passam a refletir tendências consistentes ao longo do tempo.</w:t>
      </w:r>
    </w:p>
    <w:p>
      <w:pPr>
        <w:pStyle w:val="Heading1"/>
        <w:spacing w:after="150" w:before="300"/>
      </w:pPr>
      <w:r>
        <w:t xml:space="preserve">9. Checklist de conformidade — Módulo 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Mínimo de 5 visualizações diferentes (barras, colunas, pizza, linha, cards).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Os 5 visuais obrigatórios do PDF, nomeados exatamente como especificado.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Filtros/slicers de período, especialidade, médico, plano e status.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Paleta de cores profissional e consistente definida.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Medidas DAX para todos os KPIs e gráficos.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Passo a passo de importação e tratamento de dados (nulos, duplicatas, tipos, relacionamentos).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Insights e recomendações baseados em dados reais do banco clinica_care.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2026-08-29T11:54:31.981Z</dcterms:created>
  <dcterms:modified xsi:type="dcterms:W3CDTF">2026-08-29T11:54:31.991Z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