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0912" w14:textId="2FB2E70F" w:rsidR="00BD1E82" w:rsidRPr="00BD1E82" w:rsidRDefault="00BD1E82" w:rsidP="00BD1E82">
      <w:pPr>
        <w:numPr>
          <w:ilvl w:val="0"/>
          <w:numId w:val="13"/>
        </w:numPr>
        <w:rPr>
          <w:rFonts w:ascii="Calibri" w:hAnsi="Calibri" w:cs="Calibri"/>
          <w:lang w:val="pt-PT"/>
        </w:rPr>
      </w:pPr>
      <w:r w:rsidRPr="00BD1E82">
        <w:rPr>
          <w:rFonts w:ascii="Calibri" w:hAnsi="Calibri" w:cs="Calibri"/>
          <w:lang w:val="pt-PT"/>
        </w:rPr>
        <w:t xml:space="preserve">Grupo1 = Normopeso </w:t>
      </w:r>
    </w:p>
    <w:p w14:paraId="7B4DAB3C" w14:textId="77777777" w:rsidR="00BD1E82" w:rsidRPr="00BD1E82" w:rsidRDefault="00BD1E82" w:rsidP="00BD1E82">
      <w:pPr>
        <w:numPr>
          <w:ilvl w:val="0"/>
          <w:numId w:val="13"/>
        </w:numPr>
        <w:rPr>
          <w:rFonts w:ascii="Calibri" w:hAnsi="Calibri" w:cs="Calibri"/>
          <w:lang w:val="pt-PT"/>
        </w:rPr>
      </w:pPr>
      <w:r w:rsidRPr="00BD1E82">
        <w:rPr>
          <w:rFonts w:ascii="Calibri" w:hAnsi="Calibri" w:cs="Calibri"/>
          <w:lang w:val="pt-PT"/>
        </w:rPr>
        <w:t>Grupo2 = Obeso</w:t>
      </w:r>
    </w:p>
    <w:p w14:paraId="6DAF29BD" w14:textId="4007D2F0" w:rsidR="00BD1E82" w:rsidRPr="00BD1E82" w:rsidRDefault="00BD1E82" w:rsidP="00BD1E82">
      <w:pPr>
        <w:numPr>
          <w:ilvl w:val="0"/>
          <w:numId w:val="13"/>
        </w:numPr>
        <w:rPr>
          <w:rFonts w:ascii="Calibri" w:hAnsi="Calibri" w:cs="Calibri"/>
          <w:lang w:val="es-ES"/>
        </w:rPr>
      </w:pPr>
      <w:r w:rsidRPr="00BD1E82">
        <w:rPr>
          <w:rFonts w:ascii="Calibri" w:hAnsi="Calibri" w:cs="Calibri"/>
          <w:lang w:val="es-ES"/>
        </w:rPr>
        <w:t xml:space="preserve">log2FoldChange &gt; 0 → más expresado en </w:t>
      </w:r>
      <w:r w:rsidRPr="00BD1E82">
        <w:rPr>
          <w:rFonts w:ascii="Calibri" w:hAnsi="Calibri" w:cs="Calibri"/>
          <w:lang w:val="es-ES"/>
        </w:rPr>
        <w:t>obeso2</w:t>
      </w:r>
    </w:p>
    <w:p w14:paraId="73E11BB0" w14:textId="77777777" w:rsidR="00BD1E82" w:rsidRPr="00BD1E82" w:rsidRDefault="00BD1E82" w:rsidP="00BD1E82">
      <w:pPr>
        <w:numPr>
          <w:ilvl w:val="0"/>
          <w:numId w:val="13"/>
        </w:numPr>
        <w:rPr>
          <w:rFonts w:ascii="Calibri" w:hAnsi="Calibri" w:cs="Calibri"/>
          <w:lang w:val="pt-PT"/>
        </w:rPr>
      </w:pPr>
      <w:r w:rsidRPr="00BD1E82">
        <w:rPr>
          <w:rFonts w:ascii="Calibri" w:hAnsi="Calibri" w:cs="Calibri"/>
          <w:lang w:val="pt-PT"/>
        </w:rPr>
        <w:t>log2FoldChange &lt; 0 → más expresado en Normopeso</w:t>
      </w:r>
    </w:p>
    <w:p w14:paraId="0A927871" w14:textId="1F2AB200" w:rsidR="00BD1E82" w:rsidRPr="00BD1E82" w:rsidRDefault="00BD1E82" w:rsidP="00BD1E82">
      <w:pPr>
        <w:rPr>
          <w:rFonts w:ascii="Calibri" w:hAnsi="Calibri" w:cs="Calibri"/>
          <w:b/>
          <w:bCs/>
          <w:lang w:val="es-ES"/>
        </w:rPr>
      </w:pPr>
      <w:r w:rsidRPr="00BD1E82">
        <w:rPr>
          <w:rFonts w:ascii="Calibri" w:hAnsi="Calibri" w:cs="Calibri"/>
          <w:b/>
          <w:bCs/>
          <w:lang w:val="es-ES"/>
        </w:rPr>
        <w:t xml:space="preserve"> Más expresados en </w:t>
      </w:r>
      <w:r w:rsidR="00543BE0">
        <w:rPr>
          <w:rFonts w:ascii="Calibri" w:hAnsi="Calibri" w:cs="Calibri"/>
          <w:b/>
          <w:bCs/>
          <w:lang w:val="es-ES"/>
        </w:rPr>
        <w:t>Obseso2                                         Más expresados en Normopeso</w:t>
      </w:r>
    </w:p>
    <w:tbl>
      <w:tblPr>
        <w:tblW w:w="851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632"/>
        <w:gridCol w:w="659"/>
        <w:gridCol w:w="977"/>
        <w:gridCol w:w="2064"/>
        <w:gridCol w:w="100"/>
        <w:gridCol w:w="675"/>
        <w:gridCol w:w="679"/>
        <w:gridCol w:w="877"/>
        <w:gridCol w:w="1850"/>
      </w:tblGrid>
      <w:tr w:rsidR="00A6697B" w:rsidRPr="00BD1E82" w14:paraId="02594783" w14:textId="56892D67" w:rsidTr="00D049C8">
        <w:trPr>
          <w:tblHeader/>
          <w:tblCellSpacing w:w="15" w:type="dxa"/>
        </w:trPr>
        <w:tc>
          <w:tcPr>
            <w:tcW w:w="587" w:type="dxa"/>
            <w:tcBorders>
              <w:top w:val="nil"/>
              <w:left w:val="nil"/>
              <w:bottom w:val="nil"/>
              <w:right w:val="nil"/>
            </w:tcBorders>
            <w:vAlign w:val="center"/>
            <w:hideMark/>
          </w:tcPr>
          <w:p w14:paraId="30233C7A" w14:textId="77777777" w:rsidR="00A6697B" w:rsidRPr="00BD1E82" w:rsidRDefault="00A6697B" w:rsidP="00A6697B">
            <w:pPr>
              <w:jc w:val="center"/>
              <w:rPr>
                <w:rFonts w:ascii="Calibri" w:hAnsi="Calibri" w:cs="Calibri"/>
                <w:lang w:val="pt-PT"/>
              </w:rPr>
            </w:pPr>
            <w:r w:rsidRPr="00BD1E82">
              <w:rPr>
                <w:rFonts w:ascii="Calibri" w:hAnsi="Calibri" w:cs="Calibri"/>
                <w:lang w:val="pt-PT"/>
              </w:rPr>
              <w:t>Gen</w:t>
            </w:r>
          </w:p>
        </w:tc>
        <w:tc>
          <w:tcPr>
            <w:tcW w:w="629" w:type="dxa"/>
            <w:tcBorders>
              <w:top w:val="nil"/>
              <w:left w:val="nil"/>
              <w:bottom w:val="nil"/>
              <w:right w:val="nil"/>
            </w:tcBorders>
            <w:vAlign w:val="center"/>
            <w:hideMark/>
          </w:tcPr>
          <w:p w14:paraId="52D3DB5A" w14:textId="77777777" w:rsidR="00A6697B" w:rsidRPr="00BD1E82" w:rsidRDefault="00A6697B" w:rsidP="00A6697B">
            <w:pPr>
              <w:jc w:val="center"/>
              <w:rPr>
                <w:rFonts w:ascii="Calibri" w:hAnsi="Calibri" w:cs="Calibri"/>
                <w:lang w:val="pt-PT"/>
              </w:rPr>
            </w:pPr>
            <w:r w:rsidRPr="00BD1E82">
              <w:rPr>
                <w:rFonts w:ascii="Calibri" w:hAnsi="Calibri" w:cs="Calibri"/>
                <w:lang w:val="pt-PT"/>
              </w:rPr>
              <w:t>log2FC</w:t>
            </w:r>
          </w:p>
        </w:tc>
        <w:tc>
          <w:tcPr>
            <w:tcW w:w="947" w:type="dxa"/>
            <w:tcBorders>
              <w:top w:val="nil"/>
              <w:left w:val="nil"/>
              <w:bottom w:val="nil"/>
              <w:right w:val="nil"/>
            </w:tcBorders>
            <w:vAlign w:val="center"/>
            <w:hideMark/>
          </w:tcPr>
          <w:p w14:paraId="2492ED07" w14:textId="77777777" w:rsidR="00A6697B" w:rsidRPr="00BD1E82" w:rsidRDefault="00A6697B" w:rsidP="00A6697B">
            <w:pPr>
              <w:jc w:val="center"/>
              <w:rPr>
                <w:rFonts w:ascii="Calibri" w:hAnsi="Calibri" w:cs="Calibri"/>
                <w:lang w:val="pt-PT"/>
              </w:rPr>
            </w:pPr>
            <w:r w:rsidRPr="00BD1E82">
              <w:rPr>
                <w:rFonts w:ascii="Calibri" w:hAnsi="Calibri" w:cs="Calibri"/>
                <w:lang w:val="pt-PT"/>
              </w:rPr>
              <w:t>p-value</w:t>
            </w:r>
          </w:p>
        </w:tc>
        <w:tc>
          <w:tcPr>
            <w:tcW w:w="2034" w:type="dxa"/>
            <w:tcBorders>
              <w:top w:val="nil"/>
              <w:left w:val="nil"/>
              <w:bottom w:val="nil"/>
              <w:right w:val="nil"/>
            </w:tcBorders>
            <w:vAlign w:val="center"/>
            <w:hideMark/>
          </w:tcPr>
          <w:p w14:paraId="339BFD83" w14:textId="77777777" w:rsidR="00A6697B" w:rsidRPr="00BD1E82" w:rsidRDefault="00A6697B" w:rsidP="00A6697B">
            <w:pPr>
              <w:jc w:val="center"/>
              <w:rPr>
                <w:rFonts w:ascii="Calibri" w:hAnsi="Calibri" w:cs="Calibri"/>
                <w:lang w:val="pt-PT"/>
              </w:rPr>
            </w:pPr>
            <w:r w:rsidRPr="00BD1E82">
              <w:rPr>
                <w:rFonts w:ascii="Calibri" w:hAnsi="Calibri" w:cs="Calibri"/>
                <w:lang w:val="pt-PT"/>
              </w:rPr>
              <w:t>Interpretación</w:t>
            </w:r>
          </w:p>
        </w:tc>
        <w:tc>
          <w:tcPr>
            <w:tcW w:w="70" w:type="dxa"/>
          </w:tcPr>
          <w:p w14:paraId="157E37B9" w14:textId="77777777" w:rsidR="00A6697B" w:rsidRPr="00BD1E82" w:rsidRDefault="00A6697B" w:rsidP="00A6697B">
            <w:pPr>
              <w:rPr>
                <w:rFonts w:ascii="Calibri" w:hAnsi="Calibri" w:cs="Calibri"/>
                <w:lang w:val="pt-PT"/>
              </w:rPr>
            </w:pPr>
          </w:p>
        </w:tc>
        <w:tc>
          <w:tcPr>
            <w:tcW w:w="645" w:type="dxa"/>
            <w:vAlign w:val="center"/>
          </w:tcPr>
          <w:p w14:paraId="679FAB3F" w14:textId="6886C69C" w:rsidR="00A6697B" w:rsidRPr="00BD1E82" w:rsidRDefault="00A6697B" w:rsidP="00A6697B">
            <w:pPr>
              <w:jc w:val="center"/>
              <w:rPr>
                <w:rFonts w:ascii="Calibri" w:hAnsi="Calibri" w:cs="Calibri"/>
                <w:lang w:val="pt-PT"/>
              </w:rPr>
            </w:pPr>
            <w:r w:rsidRPr="00BD1E82">
              <w:rPr>
                <w:rFonts w:ascii="Calibri" w:hAnsi="Calibri" w:cs="Calibri"/>
                <w:lang w:val="pt-PT"/>
              </w:rPr>
              <w:t>Gen</w:t>
            </w:r>
          </w:p>
        </w:tc>
        <w:tc>
          <w:tcPr>
            <w:tcW w:w="649" w:type="dxa"/>
            <w:vAlign w:val="center"/>
          </w:tcPr>
          <w:p w14:paraId="73798020" w14:textId="705F6AC4" w:rsidR="00A6697B" w:rsidRPr="00BD1E82" w:rsidRDefault="00A6697B" w:rsidP="00A6697B">
            <w:pPr>
              <w:jc w:val="center"/>
              <w:rPr>
                <w:rFonts w:ascii="Calibri" w:hAnsi="Calibri" w:cs="Calibri"/>
                <w:lang w:val="pt-PT"/>
              </w:rPr>
            </w:pPr>
            <w:r w:rsidRPr="00BD1E82">
              <w:rPr>
                <w:rFonts w:ascii="Calibri" w:hAnsi="Calibri" w:cs="Calibri"/>
                <w:lang w:val="pt-PT"/>
              </w:rPr>
              <w:t>log2FC</w:t>
            </w:r>
          </w:p>
        </w:tc>
        <w:tc>
          <w:tcPr>
            <w:tcW w:w="847" w:type="dxa"/>
            <w:vAlign w:val="center"/>
          </w:tcPr>
          <w:p w14:paraId="17354F94" w14:textId="178FE36E" w:rsidR="00A6697B" w:rsidRPr="00BD1E82" w:rsidRDefault="00A6697B" w:rsidP="00A6697B">
            <w:pPr>
              <w:jc w:val="center"/>
              <w:rPr>
                <w:rFonts w:ascii="Calibri" w:hAnsi="Calibri" w:cs="Calibri"/>
                <w:lang w:val="pt-PT"/>
              </w:rPr>
            </w:pPr>
            <w:r w:rsidRPr="00BD1E82">
              <w:rPr>
                <w:rFonts w:ascii="Calibri" w:hAnsi="Calibri" w:cs="Calibri"/>
                <w:lang w:val="pt-PT"/>
              </w:rPr>
              <w:t>p-value</w:t>
            </w:r>
          </w:p>
        </w:tc>
        <w:tc>
          <w:tcPr>
            <w:tcW w:w="1805" w:type="dxa"/>
            <w:vAlign w:val="center"/>
          </w:tcPr>
          <w:p w14:paraId="733A8F4B" w14:textId="0614C11D" w:rsidR="00A6697B" w:rsidRPr="00BD1E82" w:rsidRDefault="00A6697B" w:rsidP="00A6697B">
            <w:pPr>
              <w:jc w:val="center"/>
              <w:rPr>
                <w:rFonts w:ascii="Calibri" w:hAnsi="Calibri" w:cs="Calibri"/>
                <w:lang w:val="pt-PT"/>
              </w:rPr>
            </w:pPr>
            <w:r w:rsidRPr="00BD1E82">
              <w:rPr>
                <w:rFonts w:ascii="Calibri" w:hAnsi="Calibri" w:cs="Calibri"/>
                <w:lang w:val="pt-PT"/>
              </w:rPr>
              <w:t>Interpretación</w:t>
            </w:r>
          </w:p>
        </w:tc>
      </w:tr>
      <w:tr w:rsidR="00A6697B" w:rsidRPr="00A6697B" w14:paraId="74E5B141" w14:textId="65413A51" w:rsidTr="00D049C8">
        <w:trPr>
          <w:tblCellSpacing w:w="15" w:type="dxa"/>
        </w:trPr>
        <w:tc>
          <w:tcPr>
            <w:tcW w:w="587" w:type="dxa"/>
            <w:vAlign w:val="center"/>
            <w:hideMark/>
          </w:tcPr>
          <w:p w14:paraId="3619138E" w14:textId="77777777" w:rsidR="00A6697B" w:rsidRPr="00BD1E82" w:rsidRDefault="00A6697B" w:rsidP="00A6697B">
            <w:pPr>
              <w:jc w:val="center"/>
              <w:rPr>
                <w:rFonts w:ascii="Calibri" w:hAnsi="Calibri" w:cs="Calibri"/>
                <w:i/>
                <w:iCs/>
                <w:lang w:val="pt-PT"/>
              </w:rPr>
            </w:pPr>
            <w:r w:rsidRPr="00BD1E82">
              <w:rPr>
                <w:rFonts w:ascii="Calibri" w:hAnsi="Calibri" w:cs="Calibri"/>
                <w:i/>
                <w:iCs/>
                <w:lang w:val="pt-PT"/>
              </w:rPr>
              <w:t>FTO</w:t>
            </w:r>
          </w:p>
        </w:tc>
        <w:tc>
          <w:tcPr>
            <w:tcW w:w="629" w:type="dxa"/>
            <w:vAlign w:val="center"/>
            <w:hideMark/>
          </w:tcPr>
          <w:p w14:paraId="7B0FF372" w14:textId="77777777" w:rsidR="00A6697B" w:rsidRPr="00BD1E82" w:rsidRDefault="00A6697B" w:rsidP="00A6697B">
            <w:pPr>
              <w:jc w:val="center"/>
              <w:rPr>
                <w:rFonts w:ascii="Calibri" w:hAnsi="Calibri" w:cs="Calibri"/>
                <w:lang w:val="pt-PT"/>
              </w:rPr>
            </w:pPr>
            <w:r w:rsidRPr="00BD1E82">
              <w:rPr>
                <w:rFonts w:ascii="Calibri" w:hAnsi="Calibri" w:cs="Calibri"/>
                <w:lang w:val="pt-PT"/>
              </w:rPr>
              <w:t>+3.64</w:t>
            </w:r>
          </w:p>
        </w:tc>
        <w:tc>
          <w:tcPr>
            <w:tcW w:w="947" w:type="dxa"/>
            <w:vAlign w:val="center"/>
            <w:hideMark/>
          </w:tcPr>
          <w:p w14:paraId="2DFB4A7C" w14:textId="77777777" w:rsidR="00A6697B" w:rsidRPr="00BD1E82" w:rsidRDefault="00A6697B" w:rsidP="00A6697B">
            <w:pPr>
              <w:jc w:val="center"/>
              <w:rPr>
                <w:rFonts w:ascii="Calibri" w:hAnsi="Calibri" w:cs="Calibri"/>
                <w:lang w:val="pt-PT"/>
              </w:rPr>
            </w:pPr>
            <w:r w:rsidRPr="00BD1E82">
              <w:rPr>
                <w:rFonts w:ascii="Calibri" w:hAnsi="Calibri" w:cs="Calibri"/>
                <w:lang w:val="pt-PT"/>
              </w:rPr>
              <w:t>4.14e-06</w:t>
            </w:r>
          </w:p>
        </w:tc>
        <w:tc>
          <w:tcPr>
            <w:tcW w:w="2034" w:type="dxa"/>
            <w:vAlign w:val="center"/>
            <w:hideMark/>
          </w:tcPr>
          <w:p w14:paraId="1C654A72" w14:textId="7C50D793" w:rsidR="00A6697B" w:rsidRPr="00BD1E82" w:rsidRDefault="00A6697B" w:rsidP="00A6697B">
            <w:pPr>
              <w:jc w:val="center"/>
              <w:rPr>
                <w:rFonts w:ascii="Calibri" w:hAnsi="Calibri" w:cs="Calibri"/>
                <w:sz w:val="18"/>
                <w:szCs w:val="18"/>
                <w:lang w:val="es-ES"/>
              </w:rPr>
            </w:pPr>
            <w:r w:rsidRPr="00543BE0">
              <w:rPr>
                <w:rFonts w:ascii="Calibri" w:hAnsi="Calibri" w:cs="Calibri"/>
                <w:sz w:val="18"/>
                <w:szCs w:val="18"/>
              </w:rPr>
              <w:t xml:space="preserve">Una mayor expresión de FTO se ha relacionado con hiperfagia y alteraciones en el control del </w:t>
            </w:r>
            <w:r>
              <w:rPr>
                <w:rFonts w:ascii="Calibri" w:hAnsi="Calibri" w:cs="Calibri"/>
                <w:sz w:val="18"/>
                <w:szCs w:val="18"/>
              </w:rPr>
              <w:t>equilibrio</w:t>
            </w:r>
            <w:r w:rsidRPr="00543BE0">
              <w:rPr>
                <w:rFonts w:ascii="Calibri" w:hAnsi="Calibri" w:cs="Calibri"/>
                <w:sz w:val="18"/>
                <w:szCs w:val="18"/>
              </w:rPr>
              <w:t xml:space="preserve"> energético.</w:t>
            </w:r>
          </w:p>
        </w:tc>
        <w:tc>
          <w:tcPr>
            <w:tcW w:w="70" w:type="dxa"/>
          </w:tcPr>
          <w:p w14:paraId="145E0A89" w14:textId="77777777" w:rsidR="00A6697B" w:rsidRPr="00BD1E82" w:rsidRDefault="00A6697B" w:rsidP="00A6697B">
            <w:pPr>
              <w:jc w:val="center"/>
              <w:rPr>
                <w:rFonts w:ascii="Calibri" w:hAnsi="Calibri" w:cs="Calibri"/>
                <w:lang w:val="pt-PT"/>
              </w:rPr>
            </w:pPr>
          </w:p>
        </w:tc>
        <w:tc>
          <w:tcPr>
            <w:tcW w:w="645" w:type="dxa"/>
            <w:vAlign w:val="center"/>
          </w:tcPr>
          <w:p w14:paraId="12672BE4" w14:textId="262C8103" w:rsidR="00A6697B" w:rsidRPr="00CA2A9A" w:rsidRDefault="00A6697B" w:rsidP="00A6697B">
            <w:pPr>
              <w:jc w:val="center"/>
              <w:rPr>
                <w:rFonts w:ascii="Calibri" w:hAnsi="Calibri" w:cs="Calibri"/>
                <w:i/>
                <w:iCs/>
                <w:lang w:val="pt-PT"/>
              </w:rPr>
            </w:pPr>
            <w:r w:rsidRPr="00BD1E82">
              <w:rPr>
                <w:rFonts w:ascii="Calibri" w:hAnsi="Calibri" w:cs="Calibri"/>
                <w:i/>
                <w:iCs/>
                <w:lang w:val="pt-PT"/>
              </w:rPr>
              <w:t>NTRK2</w:t>
            </w:r>
          </w:p>
        </w:tc>
        <w:tc>
          <w:tcPr>
            <w:tcW w:w="649" w:type="dxa"/>
            <w:vAlign w:val="center"/>
          </w:tcPr>
          <w:p w14:paraId="1B0B83FA" w14:textId="1C167A52" w:rsidR="00A6697B" w:rsidRPr="00BD1E82" w:rsidRDefault="00A6697B" w:rsidP="00A6697B">
            <w:pPr>
              <w:jc w:val="center"/>
              <w:rPr>
                <w:rFonts w:ascii="Calibri" w:hAnsi="Calibri" w:cs="Calibri"/>
                <w:lang w:val="pt-PT"/>
              </w:rPr>
            </w:pPr>
            <w:r w:rsidRPr="00BD1E82">
              <w:rPr>
                <w:rFonts w:ascii="Calibri" w:hAnsi="Calibri" w:cs="Calibri"/>
                <w:lang w:val="pt-PT"/>
              </w:rPr>
              <w:t>−1.93</w:t>
            </w:r>
          </w:p>
        </w:tc>
        <w:tc>
          <w:tcPr>
            <w:tcW w:w="847" w:type="dxa"/>
            <w:vAlign w:val="center"/>
          </w:tcPr>
          <w:p w14:paraId="23D2BF80" w14:textId="059E6CEF" w:rsidR="00A6697B" w:rsidRPr="00BD1E82" w:rsidRDefault="00A6697B" w:rsidP="00A6697B">
            <w:pPr>
              <w:jc w:val="center"/>
              <w:rPr>
                <w:rFonts w:ascii="Calibri" w:hAnsi="Calibri" w:cs="Calibri"/>
                <w:lang w:val="pt-PT"/>
              </w:rPr>
            </w:pPr>
            <w:r w:rsidRPr="00BD1E82">
              <w:rPr>
                <w:rFonts w:ascii="Calibri" w:hAnsi="Calibri" w:cs="Calibri"/>
                <w:lang w:val="pt-PT"/>
              </w:rPr>
              <w:t>4.53e-04</w:t>
            </w:r>
          </w:p>
        </w:tc>
        <w:tc>
          <w:tcPr>
            <w:tcW w:w="1805" w:type="dxa"/>
            <w:vAlign w:val="center"/>
          </w:tcPr>
          <w:p w14:paraId="67095562" w14:textId="39BC3A81" w:rsidR="00A6697B" w:rsidRPr="00A6697B" w:rsidRDefault="00A6697B" w:rsidP="00A6697B">
            <w:pPr>
              <w:jc w:val="center"/>
              <w:rPr>
                <w:rFonts w:ascii="Calibri" w:hAnsi="Calibri" w:cs="Calibri"/>
                <w:sz w:val="18"/>
                <w:szCs w:val="18"/>
                <w:lang w:val="es-ES"/>
              </w:rPr>
            </w:pPr>
            <w:r w:rsidRPr="00A6697B">
              <w:rPr>
                <w:rFonts w:ascii="Calibri" w:hAnsi="Calibri" w:cs="Calibri"/>
                <w:sz w:val="18"/>
                <w:szCs w:val="18"/>
              </w:rPr>
              <w:t>NTRK2 codifica el receptor TrkB, mediador de la señalización del factor neurotrófico BDNF, crucial para el control del apetito.</w:t>
            </w:r>
          </w:p>
        </w:tc>
      </w:tr>
      <w:tr w:rsidR="00A6697B" w:rsidRPr="00543BE0" w14:paraId="57B32155" w14:textId="317E729C" w:rsidTr="00D049C8">
        <w:trPr>
          <w:tblCellSpacing w:w="15" w:type="dxa"/>
        </w:trPr>
        <w:tc>
          <w:tcPr>
            <w:tcW w:w="587" w:type="dxa"/>
            <w:vAlign w:val="center"/>
            <w:hideMark/>
          </w:tcPr>
          <w:p w14:paraId="2ACE1382" w14:textId="77777777" w:rsidR="00A6697B" w:rsidRPr="00BD1E82" w:rsidRDefault="00A6697B" w:rsidP="00A6697B">
            <w:pPr>
              <w:jc w:val="center"/>
              <w:rPr>
                <w:rFonts w:ascii="Calibri" w:hAnsi="Calibri" w:cs="Calibri"/>
                <w:i/>
                <w:iCs/>
                <w:lang w:val="pt-PT"/>
              </w:rPr>
            </w:pPr>
            <w:r w:rsidRPr="00BD1E82">
              <w:rPr>
                <w:rFonts w:ascii="Calibri" w:hAnsi="Calibri" w:cs="Calibri"/>
                <w:i/>
                <w:iCs/>
                <w:lang w:val="pt-PT"/>
              </w:rPr>
              <w:t>UBR2</w:t>
            </w:r>
          </w:p>
        </w:tc>
        <w:tc>
          <w:tcPr>
            <w:tcW w:w="629" w:type="dxa"/>
            <w:vAlign w:val="center"/>
            <w:hideMark/>
          </w:tcPr>
          <w:p w14:paraId="3ECF36AC" w14:textId="77777777" w:rsidR="00A6697B" w:rsidRPr="00BD1E82" w:rsidRDefault="00A6697B" w:rsidP="00A6697B">
            <w:pPr>
              <w:jc w:val="center"/>
              <w:rPr>
                <w:rFonts w:ascii="Calibri" w:hAnsi="Calibri" w:cs="Calibri"/>
                <w:lang w:val="pt-PT"/>
              </w:rPr>
            </w:pPr>
            <w:r w:rsidRPr="00BD1E82">
              <w:rPr>
                <w:rFonts w:ascii="Calibri" w:hAnsi="Calibri" w:cs="Calibri"/>
                <w:lang w:val="pt-PT"/>
              </w:rPr>
              <w:t>+1.66</w:t>
            </w:r>
          </w:p>
        </w:tc>
        <w:tc>
          <w:tcPr>
            <w:tcW w:w="947" w:type="dxa"/>
            <w:vAlign w:val="center"/>
            <w:hideMark/>
          </w:tcPr>
          <w:p w14:paraId="2E713329" w14:textId="77777777" w:rsidR="00A6697B" w:rsidRPr="00BD1E82" w:rsidRDefault="00A6697B" w:rsidP="00A6697B">
            <w:pPr>
              <w:jc w:val="center"/>
              <w:rPr>
                <w:rFonts w:ascii="Calibri" w:hAnsi="Calibri" w:cs="Calibri"/>
                <w:lang w:val="pt-PT"/>
              </w:rPr>
            </w:pPr>
            <w:r w:rsidRPr="00BD1E82">
              <w:rPr>
                <w:rFonts w:ascii="Calibri" w:hAnsi="Calibri" w:cs="Calibri"/>
                <w:lang w:val="pt-PT"/>
              </w:rPr>
              <w:t>4.38e-04</w:t>
            </w:r>
          </w:p>
        </w:tc>
        <w:tc>
          <w:tcPr>
            <w:tcW w:w="2034" w:type="dxa"/>
            <w:vAlign w:val="center"/>
            <w:hideMark/>
          </w:tcPr>
          <w:p w14:paraId="47C47B18" w14:textId="4A0915E6" w:rsidR="00A6697B" w:rsidRPr="00BD1E82" w:rsidRDefault="00A6697B" w:rsidP="00A6697B">
            <w:pPr>
              <w:jc w:val="center"/>
              <w:rPr>
                <w:rFonts w:ascii="Calibri" w:hAnsi="Calibri" w:cs="Calibri"/>
                <w:sz w:val="18"/>
                <w:szCs w:val="18"/>
                <w:lang w:val="es-ES"/>
              </w:rPr>
            </w:pPr>
            <w:r>
              <w:rPr>
                <w:rFonts w:ascii="Calibri" w:hAnsi="Calibri" w:cs="Calibri"/>
                <w:sz w:val="18"/>
                <w:szCs w:val="18"/>
              </w:rPr>
              <w:t xml:space="preserve">UBR2 interviene en procesos metabólicos y en la regulación del estrés celular relacionado con la obesidad, aunque su función </w:t>
            </w:r>
            <w:r w:rsidR="00341AA8">
              <w:rPr>
                <w:rFonts w:ascii="Calibri" w:hAnsi="Calibri" w:cs="Calibri"/>
                <w:sz w:val="18"/>
                <w:szCs w:val="18"/>
              </w:rPr>
              <w:t>aún</w:t>
            </w:r>
            <w:r>
              <w:rPr>
                <w:rFonts w:ascii="Calibri" w:hAnsi="Calibri" w:cs="Calibri"/>
                <w:sz w:val="18"/>
                <w:szCs w:val="18"/>
              </w:rPr>
              <w:t xml:space="preserve"> está en estudio.</w:t>
            </w:r>
          </w:p>
        </w:tc>
        <w:tc>
          <w:tcPr>
            <w:tcW w:w="70" w:type="dxa"/>
          </w:tcPr>
          <w:p w14:paraId="4A0ADE8E" w14:textId="77777777" w:rsidR="00A6697B" w:rsidRPr="00341AA8" w:rsidRDefault="00A6697B" w:rsidP="00A6697B">
            <w:pPr>
              <w:jc w:val="center"/>
              <w:rPr>
                <w:rFonts w:ascii="Calibri" w:hAnsi="Calibri" w:cs="Calibri"/>
                <w:lang w:val="es-ES"/>
              </w:rPr>
            </w:pPr>
          </w:p>
        </w:tc>
        <w:tc>
          <w:tcPr>
            <w:tcW w:w="645" w:type="dxa"/>
            <w:vAlign w:val="center"/>
          </w:tcPr>
          <w:p w14:paraId="5AFFA51C" w14:textId="76C6F751" w:rsidR="00A6697B" w:rsidRPr="00CA2A9A" w:rsidRDefault="00A6697B" w:rsidP="00A6697B">
            <w:pPr>
              <w:jc w:val="center"/>
              <w:rPr>
                <w:rFonts w:ascii="Calibri" w:hAnsi="Calibri" w:cs="Calibri"/>
                <w:i/>
                <w:iCs/>
                <w:lang w:val="pt-PT"/>
              </w:rPr>
            </w:pPr>
            <w:r w:rsidRPr="00BD1E82">
              <w:rPr>
                <w:rFonts w:ascii="Calibri" w:hAnsi="Calibri" w:cs="Calibri"/>
                <w:i/>
                <w:iCs/>
                <w:lang w:val="pt-PT"/>
              </w:rPr>
              <w:t>LEP</w:t>
            </w:r>
          </w:p>
        </w:tc>
        <w:tc>
          <w:tcPr>
            <w:tcW w:w="649" w:type="dxa"/>
            <w:vAlign w:val="center"/>
          </w:tcPr>
          <w:p w14:paraId="1C6E063B" w14:textId="55F816BD" w:rsidR="00A6697B" w:rsidRPr="00BD1E82" w:rsidRDefault="00A6697B" w:rsidP="00A6697B">
            <w:pPr>
              <w:jc w:val="center"/>
              <w:rPr>
                <w:rFonts w:ascii="Calibri" w:hAnsi="Calibri" w:cs="Calibri"/>
                <w:lang w:val="pt-PT"/>
              </w:rPr>
            </w:pPr>
            <w:r w:rsidRPr="00BD1E82">
              <w:rPr>
                <w:rFonts w:ascii="Calibri" w:hAnsi="Calibri" w:cs="Calibri"/>
                <w:lang w:val="pt-PT"/>
              </w:rPr>
              <w:t>−1.04</w:t>
            </w:r>
          </w:p>
        </w:tc>
        <w:tc>
          <w:tcPr>
            <w:tcW w:w="847" w:type="dxa"/>
            <w:vAlign w:val="center"/>
          </w:tcPr>
          <w:p w14:paraId="43F1BDDB" w14:textId="064A6FF1" w:rsidR="00A6697B" w:rsidRPr="00BD1E82" w:rsidRDefault="00A6697B" w:rsidP="00A6697B">
            <w:pPr>
              <w:jc w:val="center"/>
              <w:rPr>
                <w:rFonts w:ascii="Calibri" w:hAnsi="Calibri" w:cs="Calibri"/>
                <w:lang w:val="pt-PT"/>
              </w:rPr>
            </w:pPr>
            <w:r w:rsidRPr="00BD1E82">
              <w:rPr>
                <w:rFonts w:ascii="Calibri" w:hAnsi="Calibri" w:cs="Calibri"/>
                <w:lang w:val="pt-PT"/>
              </w:rPr>
              <w:t>6.08e-02</w:t>
            </w:r>
          </w:p>
        </w:tc>
        <w:tc>
          <w:tcPr>
            <w:tcW w:w="1805" w:type="dxa"/>
            <w:vAlign w:val="center"/>
          </w:tcPr>
          <w:p w14:paraId="2C0D4BC8" w14:textId="6B615120" w:rsidR="00A6697B" w:rsidRPr="00543BE0" w:rsidRDefault="00A6697B" w:rsidP="00A6697B">
            <w:pPr>
              <w:jc w:val="center"/>
              <w:rPr>
                <w:rFonts w:ascii="Calibri" w:hAnsi="Calibri" w:cs="Calibri"/>
                <w:sz w:val="18"/>
                <w:szCs w:val="18"/>
                <w:lang w:val="es-ES"/>
              </w:rPr>
            </w:pPr>
            <w:r w:rsidRPr="00A6697B">
              <w:rPr>
                <w:rFonts w:ascii="Calibri" w:hAnsi="Calibri" w:cs="Calibri"/>
                <w:sz w:val="18"/>
                <w:szCs w:val="18"/>
              </w:rPr>
              <w:t>LEP codifica la leptina, una hormona secretada por el tejido adiposo que regula la saciedad y el gasto energético.</w:t>
            </w:r>
          </w:p>
        </w:tc>
      </w:tr>
      <w:tr w:rsidR="00A6697B" w:rsidRPr="00A6697B" w14:paraId="5FD9218B" w14:textId="49AA8089" w:rsidTr="00D049C8">
        <w:trPr>
          <w:trHeight w:val="1722"/>
          <w:tblCellSpacing w:w="15" w:type="dxa"/>
        </w:trPr>
        <w:tc>
          <w:tcPr>
            <w:tcW w:w="587" w:type="dxa"/>
            <w:vAlign w:val="center"/>
            <w:hideMark/>
          </w:tcPr>
          <w:p w14:paraId="0E129D03" w14:textId="77777777" w:rsidR="00A6697B" w:rsidRPr="00BD1E82" w:rsidRDefault="00A6697B" w:rsidP="00A6697B">
            <w:pPr>
              <w:jc w:val="center"/>
              <w:rPr>
                <w:rFonts w:ascii="Calibri" w:hAnsi="Calibri" w:cs="Calibri"/>
                <w:i/>
                <w:iCs/>
                <w:lang w:val="pt-PT"/>
              </w:rPr>
            </w:pPr>
            <w:r w:rsidRPr="00BD1E82">
              <w:rPr>
                <w:rFonts w:ascii="Calibri" w:hAnsi="Calibri" w:cs="Calibri"/>
                <w:i/>
                <w:iCs/>
                <w:lang w:val="pt-PT"/>
              </w:rPr>
              <w:t>SIM1</w:t>
            </w:r>
          </w:p>
        </w:tc>
        <w:tc>
          <w:tcPr>
            <w:tcW w:w="629" w:type="dxa"/>
            <w:vAlign w:val="center"/>
            <w:hideMark/>
          </w:tcPr>
          <w:p w14:paraId="7B1E3B7A" w14:textId="77777777" w:rsidR="00A6697B" w:rsidRPr="00BD1E82" w:rsidRDefault="00A6697B" w:rsidP="00A6697B">
            <w:pPr>
              <w:jc w:val="center"/>
              <w:rPr>
                <w:rFonts w:ascii="Calibri" w:hAnsi="Calibri" w:cs="Calibri"/>
                <w:lang w:val="pt-PT"/>
              </w:rPr>
            </w:pPr>
            <w:r w:rsidRPr="00BD1E82">
              <w:rPr>
                <w:rFonts w:ascii="Calibri" w:hAnsi="Calibri" w:cs="Calibri"/>
                <w:lang w:val="pt-PT"/>
              </w:rPr>
              <w:t>+1.68</w:t>
            </w:r>
          </w:p>
        </w:tc>
        <w:tc>
          <w:tcPr>
            <w:tcW w:w="947" w:type="dxa"/>
            <w:vAlign w:val="center"/>
            <w:hideMark/>
          </w:tcPr>
          <w:p w14:paraId="51DCAAC9" w14:textId="77777777" w:rsidR="00A6697B" w:rsidRPr="00BD1E82" w:rsidRDefault="00A6697B" w:rsidP="00A6697B">
            <w:pPr>
              <w:jc w:val="center"/>
              <w:rPr>
                <w:rFonts w:ascii="Calibri" w:hAnsi="Calibri" w:cs="Calibri"/>
                <w:lang w:val="pt-PT"/>
              </w:rPr>
            </w:pPr>
            <w:r w:rsidRPr="00BD1E82">
              <w:rPr>
                <w:rFonts w:ascii="Calibri" w:hAnsi="Calibri" w:cs="Calibri"/>
                <w:lang w:val="pt-PT"/>
              </w:rPr>
              <w:t>1.77e-03</w:t>
            </w:r>
          </w:p>
        </w:tc>
        <w:tc>
          <w:tcPr>
            <w:tcW w:w="2034" w:type="dxa"/>
            <w:vAlign w:val="center"/>
            <w:hideMark/>
          </w:tcPr>
          <w:p w14:paraId="1990B76A" w14:textId="1A15A547" w:rsidR="00A6697B" w:rsidRPr="00BD1E82" w:rsidRDefault="00A6697B" w:rsidP="00A6697B">
            <w:pPr>
              <w:jc w:val="center"/>
              <w:rPr>
                <w:rFonts w:ascii="Calibri" w:hAnsi="Calibri" w:cs="Calibri"/>
                <w:sz w:val="18"/>
                <w:szCs w:val="18"/>
                <w:lang w:val="es-ES"/>
              </w:rPr>
            </w:pPr>
            <w:r>
              <w:rPr>
                <w:rFonts w:ascii="Calibri" w:hAnsi="Calibri" w:cs="Calibri"/>
                <w:sz w:val="18"/>
                <w:szCs w:val="18"/>
              </w:rPr>
              <w:t>SIM1 es un factor de transcripción que participa en el desarrollo del hipotálamo y en la regulación del comportamiento alimentario.</w:t>
            </w:r>
          </w:p>
        </w:tc>
        <w:tc>
          <w:tcPr>
            <w:tcW w:w="70" w:type="dxa"/>
          </w:tcPr>
          <w:p w14:paraId="4F988C22" w14:textId="77777777" w:rsidR="00A6697B" w:rsidRPr="00A6697B" w:rsidRDefault="00A6697B" w:rsidP="00543BE0">
            <w:pPr>
              <w:rPr>
                <w:rFonts w:ascii="Calibri" w:hAnsi="Calibri" w:cs="Calibri"/>
                <w:lang w:val="es-ES"/>
              </w:rPr>
            </w:pPr>
          </w:p>
        </w:tc>
        <w:tc>
          <w:tcPr>
            <w:tcW w:w="645" w:type="dxa"/>
            <w:vAlign w:val="center"/>
          </w:tcPr>
          <w:p w14:paraId="2D11F132" w14:textId="1E08B871" w:rsidR="00A6697B" w:rsidRPr="00A6697B" w:rsidRDefault="00A6697B" w:rsidP="00543BE0">
            <w:pPr>
              <w:rPr>
                <w:rFonts w:ascii="Calibri" w:hAnsi="Calibri" w:cs="Calibri"/>
                <w:lang w:val="es-ES"/>
              </w:rPr>
            </w:pPr>
          </w:p>
        </w:tc>
        <w:tc>
          <w:tcPr>
            <w:tcW w:w="649" w:type="dxa"/>
            <w:vAlign w:val="center"/>
          </w:tcPr>
          <w:p w14:paraId="245ED472" w14:textId="28C223E1" w:rsidR="00A6697B" w:rsidRPr="00A6697B" w:rsidRDefault="00A6697B" w:rsidP="00543BE0">
            <w:pPr>
              <w:rPr>
                <w:rFonts w:ascii="Calibri" w:hAnsi="Calibri" w:cs="Calibri"/>
                <w:lang w:val="es-ES"/>
              </w:rPr>
            </w:pPr>
          </w:p>
        </w:tc>
        <w:tc>
          <w:tcPr>
            <w:tcW w:w="847" w:type="dxa"/>
            <w:vAlign w:val="center"/>
          </w:tcPr>
          <w:p w14:paraId="6508E59D" w14:textId="3AE746C8" w:rsidR="00A6697B" w:rsidRPr="00A6697B" w:rsidRDefault="00A6697B" w:rsidP="00543BE0">
            <w:pPr>
              <w:rPr>
                <w:rFonts w:ascii="Calibri" w:hAnsi="Calibri" w:cs="Calibri"/>
                <w:lang w:val="es-ES"/>
              </w:rPr>
            </w:pPr>
          </w:p>
        </w:tc>
        <w:tc>
          <w:tcPr>
            <w:tcW w:w="1805" w:type="dxa"/>
            <w:vAlign w:val="center"/>
          </w:tcPr>
          <w:p w14:paraId="215DADD3" w14:textId="77777777" w:rsidR="00A6697B" w:rsidRPr="00A6697B" w:rsidRDefault="00A6697B" w:rsidP="00543BE0">
            <w:pPr>
              <w:rPr>
                <w:rFonts w:ascii="Calibri" w:hAnsi="Calibri" w:cs="Calibri"/>
                <w:lang w:val="es-ES"/>
              </w:rPr>
            </w:pPr>
          </w:p>
        </w:tc>
      </w:tr>
      <w:tr w:rsidR="00A6697B" w:rsidRPr="00A6697B" w14:paraId="095980A1" w14:textId="57C35348" w:rsidTr="00D049C8">
        <w:trPr>
          <w:trHeight w:val="1947"/>
          <w:tblCellSpacing w:w="15" w:type="dxa"/>
        </w:trPr>
        <w:tc>
          <w:tcPr>
            <w:tcW w:w="587" w:type="dxa"/>
            <w:vAlign w:val="center"/>
            <w:hideMark/>
          </w:tcPr>
          <w:p w14:paraId="27E8A8A4" w14:textId="77777777" w:rsidR="00A6697B" w:rsidRPr="00BD1E82" w:rsidRDefault="00A6697B" w:rsidP="00A6697B">
            <w:pPr>
              <w:jc w:val="center"/>
              <w:rPr>
                <w:rFonts w:ascii="Calibri" w:hAnsi="Calibri" w:cs="Calibri"/>
                <w:i/>
                <w:iCs/>
                <w:lang w:val="pt-PT"/>
              </w:rPr>
            </w:pPr>
            <w:r w:rsidRPr="00BD1E82">
              <w:rPr>
                <w:rFonts w:ascii="Calibri" w:hAnsi="Calibri" w:cs="Calibri"/>
                <w:i/>
                <w:iCs/>
                <w:lang w:val="pt-PT"/>
              </w:rPr>
              <w:t>MC4R</w:t>
            </w:r>
          </w:p>
        </w:tc>
        <w:tc>
          <w:tcPr>
            <w:tcW w:w="629" w:type="dxa"/>
            <w:vAlign w:val="center"/>
            <w:hideMark/>
          </w:tcPr>
          <w:p w14:paraId="239A5892" w14:textId="77777777" w:rsidR="00A6697B" w:rsidRPr="00BD1E82" w:rsidRDefault="00A6697B" w:rsidP="00A6697B">
            <w:pPr>
              <w:jc w:val="center"/>
              <w:rPr>
                <w:rFonts w:ascii="Calibri" w:hAnsi="Calibri" w:cs="Calibri"/>
                <w:lang w:val="pt-PT"/>
              </w:rPr>
            </w:pPr>
            <w:r w:rsidRPr="00BD1E82">
              <w:rPr>
                <w:rFonts w:ascii="Calibri" w:hAnsi="Calibri" w:cs="Calibri"/>
                <w:lang w:val="pt-PT"/>
              </w:rPr>
              <w:t>+1.48</w:t>
            </w:r>
          </w:p>
        </w:tc>
        <w:tc>
          <w:tcPr>
            <w:tcW w:w="947" w:type="dxa"/>
            <w:vAlign w:val="center"/>
            <w:hideMark/>
          </w:tcPr>
          <w:p w14:paraId="7344AD55" w14:textId="77777777" w:rsidR="00A6697B" w:rsidRPr="00BD1E82" w:rsidRDefault="00A6697B" w:rsidP="00A6697B">
            <w:pPr>
              <w:jc w:val="center"/>
              <w:rPr>
                <w:rFonts w:ascii="Calibri" w:hAnsi="Calibri" w:cs="Calibri"/>
                <w:lang w:val="pt-PT"/>
              </w:rPr>
            </w:pPr>
            <w:r w:rsidRPr="00BD1E82">
              <w:rPr>
                <w:rFonts w:ascii="Calibri" w:hAnsi="Calibri" w:cs="Calibri"/>
                <w:lang w:val="pt-PT"/>
              </w:rPr>
              <w:t>4.95e-03</w:t>
            </w:r>
          </w:p>
        </w:tc>
        <w:tc>
          <w:tcPr>
            <w:tcW w:w="2034" w:type="dxa"/>
            <w:vAlign w:val="center"/>
            <w:hideMark/>
          </w:tcPr>
          <w:p w14:paraId="2CBA7CFB" w14:textId="7DA9BD84" w:rsidR="00A6697B" w:rsidRPr="00BD1E82" w:rsidRDefault="00A6697B" w:rsidP="00A6697B">
            <w:pPr>
              <w:jc w:val="center"/>
              <w:rPr>
                <w:rFonts w:ascii="Calibri" w:hAnsi="Calibri" w:cs="Calibri"/>
                <w:sz w:val="18"/>
                <w:szCs w:val="18"/>
                <w:lang w:val="es-ES"/>
              </w:rPr>
            </w:pPr>
            <w:r>
              <w:rPr>
                <w:rFonts w:ascii="Calibri" w:hAnsi="Calibri" w:cs="Calibri"/>
                <w:sz w:val="18"/>
                <w:szCs w:val="18"/>
              </w:rPr>
              <w:t>Las mutaciones en MC4R representan la causa monogénica más frecuente de la</w:t>
            </w:r>
            <w:r w:rsidRPr="00A6697B">
              <w:rPr>
                <w:rFonts w:ascii="Calibri" w:hAnsi="Calibri" w:cs="Calibri"/>
                <w:sz w:val="18"/>
                <w:szCs w:val="18"/>
              </w:rPr>
              <w:t xml:space="preserve"> obesidad humana. </w:t>
            </w:r>
            <w:r>
              <w:rPr>
                <w:rFonts w:ascii="Calibri" w:hAnsi="Calibri" w:cs="Calibri"/>
                <w:sz w:val="18"/>
                <w:szCs w:val="18"/>
              </w:rPr>
              <w:t>Las alteraciones en su expresión afectan directamente el</w:t>
            </w:r>
            <w:r w:rsidRPr="00A6697B">
              <w:rPr>
                <w:rFonts w:ascii="Calibri" w:hAnsi="Calibri" w:cs="Calibri"/>
                <w:sz w:val="18"/>
                <w:szCs w:val="18"/>
              </w:rPr>
              <w:t xml:space="preserve"> control de la saciedad.</w:t>
            </w:r>
          </w:p>
        </w:tc>
        <w:tc>
          <w:tcPr>
            <w:tcW w:w="70" w:type="dxa"/>
          </w:tcPr>
          <w:p w14:paraId="2F5EA02D" w14:textId="77777777" w:rsidR="00A6697B" w:rsidRPr="00A6697B" w:rsidRDefault="00A6697B" w:rsidP="00543BE0">
            <w:pPr>
              <w:rPr>
                <w:rFonts w:ascii="Calibri" w:hAnsi="Calibri" w:cs="Calibri"/>
                <w:lang w:val="es-ES"/>
              </w:rPr>
            </w:pPr>
          </w:p>
        </w:tc>
        <w:tc>
          <w:tcPr>
            <w:tcW w:w="645" w:type="dxa"/>
            <w:vAlign w:val="center"/>
          </w:tcPr>
          <w:p w14:paraId="7B5EDD59" w14:textId="2A44E053" w:rsidR="00A6697B" w:rsidRPr="00A6697B" w:rsidRDefault="00A6697B" w:rsidP="00543BE0">
            <w:pPr>
              <w:rPr>
                <w:rFonts w:ascii="Calibri" w:hAnsi="Calibri" w:cs="Calibri"/>
                <w:lang w:val="es-ES"/>
              </w:rPr>
            </w:pPr>
          </w:p>
        </w:tc>
        <w:tc>
          <w:tcPr>
            <w:tcW w:w="649" w:type="dxa"/>
            <w:vAlign w:val="center"/>
          </w:tcPr>
          <w:p w14:paraId="015EAAA1" w14:textId="02D69765" w:rsidR="00A6697B" w:rsidRPr="00A6697B" w:rsidRDefault="00A6697B" w:rsidP="00543BE0">
            <w:pPr>
              <w:rPr>
                <w:rFonts w:ascii="Calibri" w:hAnsi="Calibri" w:cs="Calibri"/>
                <w:lang w:val="es-ES"/>
              </w:rPr>
            </w:pPr>
          </w:p>
        </w:tc>
        <w:tc>
          <w:tcPr>
            <w:tcW w:w="847" w:type="dxa"/>
            <w:vAlign w:val="center"/>
          </w:tcPr>
          <w:p w14:paraId="27C48961" w14:textId="09D3DFB4" w:rsidR="00A6697B" w:rsidRPr="00A6697B" w:rsidRDefault="00A6697B" w:rsidP="00543BE0">
            <w:pPr>
              <w:rPr>
                <w:rFonts w:ascii="Calibri" w:hAnsi="Calibri" w:cs="Calibri"/>
                <w:lang w:val="es-ES"/>
              </w:rPr>
            </w:pPr>
          </w:p>
        </w:tc>
        <w:tc>
          <w:tcPr>
            <w:tcW w:w="1805" w:type="dxa"/>
            <w:vAlign w:val="center"/>
          </w:tcPr>
          <w:p w14:paraId="39D70C22" w14:textId="77777777" w:rsidR="00A6697B" w:rsidRPr="00A6697B" w:rsidRDefault="00A6697B" w:rsidP="00543BE0">
            <w:pPr>
              <w:rPr>
                <w:rFonts w:ascii="Calibri" w:hAnsi="Calibri" w:cs="Calibri"/>
                <w:lang w:val="es-ES"/>
              </w:rPr>
            </w:pPr>
          </w:p>
        </w:tc>
      </w:tr>
    </w:tbl>
    <w:p w14:paraId="49A852FD" w14:textId="16895296" w:rsidR="00BD1E82" w:rsidRPr="00BD1E82" w:rsidRDefault="00BD1E82" w:rsidP="00BD1E82">
      <w:pPr>
        <w:rPr>
          <w:rFonts w:ascii="Calibri" w:hAnsi="Calibri" w:cs="Calibri"/>
          <w:lang w:val="es-ES"/>
        </w:rPr>
      </w:pPr>
    </w:p>
    <w:p w14:paraId="59849E15" w14:textId="30F3200C" w:rsidR="00BD1E82" w:rsidRPr="00BD1E82" w:rsidRDefault="00BD1E82" w:rsidP="00BD1E82">
      <w:pPr>
        <w:rPr>
          <w:rFonts w:ascii="Calibri" w:hAnsi="Calibri" w:cs="Calibri"/>
          <w:lang w:val="es-ES"/>
        </w:rPr>
      </w:pPr>
    </w:p>
    <w:p w14:paraId="4FB1743A" w14:textId="4AC43F7D" w:rsidR="00BD1E82" w:rsidRPr="00BD1E82" w:rsidRDefault="00BD1E82" w:rsidP="00BD1E82">
      <w:pPr>
        <w:rPr>
          <w:rFonts w:ascii="Calibri" w:hAnsi="Calibri" w:cs="Calibri"/>
          <w:lang w:val="es-ES"/>
        </w:rPr>
      </w:pPr>
    </w:p>
    <w:p w14:paraId="7F553091" w14:textId="78D33A6E" w:rsidR="00BD1E82" w:rsidRPr="00BD1E82" w:rsidRDefault="00BD1E82" w:rsidP="00BD1E82">
      <w:pPr>
        <w:rPr>
          <w:rFonts w:ascii="Calibri" w:hAnsi="Calibri" w:cs="Calibri"/>
          <w:lang w:val="es-ES"/>
        </w:rPr>
      </w:pPr>
    </w:p>
    <w:p w14:paraId="19AEA238" w14:textId="295A168E" w:rsidR="00BD1E82" w:rsidRDefault="00BD1E82" w:rsidP="00BD1E82">
      <w:pPr>
        <w:rPr>
          <w:rFonts w:ascii="Calibri" w:hAnsi="Calibri" w:cs="Calibri"/>
          <w:lang w:val="es-ES"/>
        </w:rPr>
      </w:pPr>
    </w:p>
    <w:p w14:paraId="03F99F0C" w14:textId="77777777" w:rsidR="00D049C8" w:rsidRDefault="00D049C8" w:rsidP="00BD1E82">
      <w:pPr>
        <w:rPr>
          <w:rFonts w:ascii="Calibri" w:hAnsi="Calibri" w:cs="Calibri"/>
          <w:lang w:val="es-ES"/>
        </w:rPr>
      </w:pPr>
    </w:p>
    <w:p w14:paraId="20418234" w14:textId="77777777" w:rsidR="00D049C8" w:rsidRPr="00BD1E82" w:rsidRDefault="00D049C8" w:rsidP="00BD1E82">
      <w:pPr>
        <w:rPr>
          <w:rFonts w:ascii="Calibri" w:hAnsi="Calibri" w:cs="Calibri"/>
          <w:lang w:val="es-ES"/>
        </w:rPr>
      </w:pPr>
    </w:p>
    <w:p w14:paraId="134A4592" w14:textId="4F907FA7" w:rsidR="00CA2A9A" w:rsidRDefault="00CA2A9A" w:rsidP="00BD1E82">
      <w:pPr>
        <w:rPr>
          <w:rFonts w:ascii="Calibri" w:hAnsi="Calibri" w:cs="Calibri"/>
          <w:lang w:val="es-ES"/>
        </w:rPr>
      </w:pPr>
      <w:r>
        <w:rPr>
          <w:rFonts w:ascii="Calibri" w:hAnsi="Calibri" w:cs="Calibri"/>
          <w:lang w:val="es-ES"/>
        </w:rPr>
        <w:lastRenderedPageBreak/>
        <w:t>Discusión</w:t>
      </w:r>
    </w:p>
    <w:p w14:paraId="384CC2CB" w14:textId="345BB485" w:rsidR="00CA2A9A" w:rsidRPr="00CA2A9A" w:rsidRDefault="00CA2A9A" w:rsidP="00CA2A9A">
      <w:pPr>
        <w:rPr>
          <w:rFonts w:ascii="Calibri" w:hAnsi="Calibri" w:cs="Calibri"/>
          <w:lang w:val="es-ES"/>
        </w:rPr>
      </w:pPr>
      <w:r>
        <w:rPr>
          <w:rFonts w:ascii="Calibri" w:hAnsi="Calibri" w:cs="Calibri"/>
          <w:lang w:val="es-ES"/>
        </w:rPr>
        <w:t>En este estudio, se llevó a cabo un análisis de expresión diferencial para comparar personas con obesidad y normopeso. A partir de los datos, se identificaron seis genes que muestran cambios significativos en su expresión, relacionados con la regulación del apetito, el metabolismo energético y la señalización neuronal.</w:t>
      </w:r>
    </w:p>
    <w:p w14:paraId="73D9C67A" w14:textId="34ABC19D" w:rsidR="00CA2A9A" w:rsidRPr="00CA2A9A" w:rsidRDefault="00CA2A9A" w:rsidP="00CA2A9A">
      <w:pPr>
        <w:rPr>
          <w:rFonts w:ascii="Calibri" w:hAnsi="Calibri" w:cs="Calibri"/>
          <w:lang w:val="es-ES"/>
        </w:rPr>
      </w:pPr>
      <w:r>
        <w:rPr>
          <w:rFonts w:ascii="Calibri" w:hAnsi="Calibri" w:cs="Calibri"/>
          <w:lang w:val="es-ES"/>
        </w:rPr>
        <w:t>Entre los genes con mayor expresión en el grupo obeso están FTO, MC4R, SIM1 y UBR2. Estos genes han sido previamente asociados con la obesidad y la regulación del balance energético. En particular, FTO y MC4R son ampliamente reconocidos en la literatura como reguladores principales del apetito, lo que refuerza la coherencia biológica de los resultados presentados</w:t>
      </w:r>
      <w:r w:rsidRPr="00CA2A9A">
        <w:rPr>
          <w:rFonts w:ascii="Calibri" w:hAnsi="Calibri" w:cs="Calibri"/>
          <w:lang w:val="es-ES"/>
        </w:rPr>
        <w:t>.</w:t>
      </w:r>
    </w:p>
    <w:p w14:paraId="04A02345" w14:textId="6FA6F5E0" w:rsidR="00CA2A9A" w:rsidRPr="00CA2A9A" w:rsidRDefault="00CE5AA1" w:rsidP="00CA2A9A">
      <w:pPr>
        <w:rPr>
          <w:rFonts w:ascii="Calibri" w:hAnsi="Calibri" w:cs="Calibri"/>
          <w:lang w:val="es-ES"/>
        </w:rPr>
      </w:pPr>
      <w:r>
        <w:rPr>
          <w:rFonts w:ascii="Calibri" w:hAnsi="Calibri" w:cs="Calibri"/>
          <w:lang w:val="es-ES"/>
        </w:rPr>
        <w:t>Por otro lado, los genes NTRK2 y LEP presentaron una mayor expresión en el grupo normopeso. Ambos genes están vinculados a los mecanismos de saciedad y regulación del peso. La mayor expresión de estos genes en personas con peso normal podría indicar una señalización más eficiente en el control del balance energético en comparación con individuos obesos.</w:t>
      </w:r>
    </w:p>
    <w:p w14:paraId="0E75C5BE" w14:textId="77777777" w:rsidR="00CA2A9A" w:rsidRPr="00CA2A9A" w:rsidRDefault="00CA2A9A" w:rsidP="00CA2A9A">
      <w:pPr>
        <w:rPr>
          <w:rFonts w:ascii="Calibri" w:hAnsi="Calibri" w:cs="Calibri"/>
          <w:lang w:val="es-ES"/>
        </w:rPr>
      </w:pPr>
      <w:r w:rsidRPr="00CA2A9A">
        <w:rPr>
          <w:rFonts w:ascii="Calibri" w:hAnsi="Calibri" w:cs="Calibri"/>
          <w:lang w:val="es-ES"/>
        </w:rPr>
        <w:t>En conjunto, los resultados obtenidos son consistentes con estudios previos y sugieren que las diferencias de expresión observadas reflejan alteraciones en vías biológicas clave implicadas en la obesidad. No obstante, debido al tamaño limitado de la muestra, estos resultados deben interpretarse como exploratorios y podrían beneficiarse de estudios adicionales con un mayor número de individuos.</w:t>
      </w:r>
    </w:p>
    <w:p w14:paraId="7D11B2A3" w14:textId="77777777" w:rsidR="00CA2A9A" w:rsidRDefault="00CA2A9A" w:rsidP="00BD1E82">
      <w:pPr>
        <w:rPr>
          <w:rFonts w:ascii="Calibri" w:hAnsi="Calibri" w:cs="Calibri"/>
          <w:lang w:val="es-ES"/>
        </w:rPr>
      </w:pPr>
    </w:p>
    <w:p w14:paraId="43DD8C35" w14:textId="47834DBE" w:rsidR="00CA2A9A" w:rsidRDefault="00CA2A9A" w:rsidP="00BD1E82">
      <w:pPr>
        <w:rPr>
          <w:rFonts w:ascii="Calibri" w:hAnsi="Calibri" w:cs="Calibri"/>
          <w:lang w:val="es-ES"/>
        </w:rPr>
      </w:pPr>
      <w:r>
        <w:rPr>
          <w:rFonts w:ascii="Calibri" w:hAnsi="Calibri" w:cs="Calibri"/>
          <w:lang w:val="es-ES"/>
        </w:rPr>
        <w:t xml:space="preserve">Conclusión </w:t>
      </w:r>
    </w:p>
    <w:p w14:paraId="34A49218" w14:textId="107F5A09" w:rsidR="00CE5AA1" w:rsidRPr="00CA2A9A" w:rsidRDefault="00BD1E82" w:rsidP="00CE5AA1">
      <w:pPr>
        <w:rPr>
          <w:rFonts w:ascii="Calibri" w:hAnsi="Calibri" w:cs="Calibri"/>
          <w:lang w:val="es-ES"/>
        </w:rPr>
      </w:pPr>
      <w:r>
        <w:rPr>
          <w:rFonts w:ascii="Calibri" w:hAnsi="Calibri" w:cs="Calibri"/>
          <w:lang w:val="es-ES"/>
        </w:rPr>
        <w:t>Se detectaron seis genes con expresión diferencial entre los grupos obesos2 y normopeso. Cuatro genes (</w:t>
      </w:r>
      <w:r w:rsidRPr="00CA2A9A">
        <w:rPr>
          <w:rFonts w:ascii="Calibri" w:hAnsi="Calibri" w:cs="Calibri"/>
          <w:i/>
          <w:iCs/>
          <w:lang w:val="es-ES"/>
        </w:rPr>
        <w:t xml:space="preserve">FTO, UBR2, SIM1 </w:t>
      </w:r>
      <w:r w:rsidRPr="00CA2A9A">
        <w:rPr>
          <w:rFonts w:ascii="Calibri" w:hAnsi="Calibri" w:cs="Calibri"/>
          <w:lang w:val="es-ES"/>
        </w:rPr>
        <w:t>y</w:t>
      </w:r>
      <w:r w:rsidRPr="00CA2A9A">
        <w:rPr>
          <w:rFonts w:ascii="Calibri" w:hAnsi="Calibri" w:cs="Calibri"/>
          <w:i/>
          <w:iCs/>
          <w:lang w:val="es-ES"/>
        </w:rPr>
        <w:t xml:space="preserve"> MC4R)</w:t>
      </w:r>
      <w:r>
        <w:rPr>
          <w:rFonts w:ascii="Calibri" w:hAnsi="Calibri" w:cs="Calibri"/>
          <w:lang w:val="es-ES"/>
        </w:rPr>
        <w:t xml:space="preserve"> </w:t>
      </w:r>
      <w:r w:rsidR="00543BE0">
        <w:rPr>
          <w:rFonts w:ascii="Calibri" w:hAnsi="Calibri" w:cs="Calibri"/>
          <w:lang w:val="es-ES"/>
        </w:rPr>
        <w:t xml:space="preserve">presentaban mayor expresión en el grupo obeso, mientras que </w:t>
      </w:r>
      <w:r w:rsidR="00543BE0" w:rsidRPr="00CA2A9A">
        <w:rPr>
          <w:rFonts w:ascii="Calibri" w:hAnsi="Calibri" w:cs="Calibri"/>
          <w:i/>
          <w:iCs/>
          <w:lang w:val="es-ES"/>
        </w:rPr>
        <w:t xml:space="preserve">NTRK2 </w:t>
      </w:r>
      <w:r w:rsidR="00543BE0" w:rsidRPr="00CA2A9A">
        <w:rPr>
          <w:rFonts w:ascii="Calibri" w:hAnsi="Calibri" w:cs="Calibri"/>
          <w:lang w:val="es-ES"/>
        </w:rPr>
        <w:t>y</w:t>
      </w:r>
      <w:r w:rsidR="00543BE0" w:rsidRPr="00CA2A9A">
        <w:rPr>
          <w:rFonts w:ascii="Calibri" w:hAnsi="Calibri" w:cs="Calibri"/>
          <w:i/>
          <w:iCs/>
          <w:lang w:val="es-ES"/>
        </w:rPr>
        <w:t xml:space="preserve"> LEP</w:t>
      </w:r>
      <w:r>
        <w:rPr>
          <w:rFonts w:ascii="Calibri" w:hAnsi="Calibri" w:cs="Calibri"/>
          <w:lang w:val="es-ES"/>
        </w:rPr>
        <w:t xml:space="preserve"> en el grupo normopeso. Los genes sobreexpresados en el grupo obeso incluyen </w:t>
      </w:r>
      <w:r w:rsidRPr="00CA2A9A">
        <w:rPr>
          <w:rFonts w:ascii="Calibri" w:hAnsi="Calibri" w:cs="Calibri"/>
          <w:i/>
          <w:iCs/>
          <w:lang w:val="es-ES"/>
        </w:rPr>
        <w:t xml:space="preserve">FTO, MC4R </w:t>
      </w:r>
      <w:r w:rsidRPr="00CA2A9A">
        <w:rPr>
          <w:rFonts w:ascii="Calibri" w:hAnsi="Calibri" w:cs="Calibri"/>
          <w:lang w:val="es-ES"/>
        </w:rPr>
        <w:t xml:space="preserve">y </w:t>
      </w:r>
      <w:r w:rsidRPr="00CA2A9A">
        <w:rPr>
          <w:rFonts w:ascii="Calibri" w:hAnsi="Calibri" w:cs="Calibri"/>
          <w:i/>
          <w:iCs/>
          <w:lang w:val="es-ES"/>
        </w:rPr>
        <w:t>SIM1</w:t>
      </w:r>
      <w:r>
        <w:rPr>
          <w:rFonts w:ascii="Calibri" w:hAnsi="Calibri" w:cs="Calibri"/>
          <w:lang w:val="es-ES"/>
        </w:rPr>
        <w:t xml:space="preserve">, ampliamente descritos en la regulación del apetito y del metabolismo energético. Por otro lado, </w:t>
      </w:r>
      <w:r w:rsidRPr="00CA2A9A">
        <w:rPr>
          <w:rFonts w:ascii="Calibri" w:hAnsi="Calibri" w:cs="Calibri"/>
          <w:i/>
          <w:iCs/>
          <w:lang w:val="es-ES"/>
        </w:rPr>
        <w:t xml:space="preserve">NTRK2 </w:t>
      </w:r>
      <w:r w:rsidRPr="00CA2A9A">
        <w:rPr>
          <w:rFonts w:ascii="Calibri" w:hAnsi="Calibri" w:cs="Calibri"/>
          <w:lang w:val="es-ES"/>
        </w:rPr>
        <w:t>y</w:t>
      </w:r>
      <w:r w:rsidRPr="00CA2A9A">
        <w:rPr>
          <w:rFonts w:ascii="Calibri" w:hAnsi="Calibri" w:cs="Calibri"/>
          <w:i/>
          <w:iCs/>
          <w:lang w:val="es-ES"/>
        </w:rPr>
        <w:t xml:space="preserve"> LEP</w:t>
      </w:r>
      <w:r>
        <w:rPr>
          <w:rFonts w:ascii="Calibri" w:hAnsi="Calibri" w:cs="Calibri"/>
          <w:lang w:val="es-ES"/>
        </w:rPr>
        <w:t xml:space="preserve"> indican un mejor control homeostático del equilibrio energético.</w:t>
      </w:r>
      <w:r w:rsidR="00543BE0">
        <w:rPr>
          <w:rFonts w:ascii="Calibri" w:hAnsi="Calibri" w:cs="Calibri"/>
          <w:lang w:val="es-ES"/>
        </w:rPr>
        <w:t xml:space="preserve"> </w:t>
      </w:r>
      <w:r w:rsidR="00CE5AA1">
        <w:rPr>
          <w:rFonts w:ascii="Calibri" w:hAnsi="Calibri" w:cs="Calibri"/>
          <w:lang w:val="es-ES"/>
        </w:rPr>
        <w:t xml:space="preserve"> En general, los resultados son coherentes con investigaciones anteriores y sugieren que las variaciones en la expresión reflejan cambios en vías biológicas fundamentales relacionadas con la obesidad. Sin embargo, debido al tamaño reducido de la muestra, estos resultados podrían fortalecerse con futuros estudios que incluyan a más participantes.</w:t>
      </w:r>
    </w:p>
    <w:p w14:paraId="033B2176" w14:textId="28856209" w:rsidR="00BD1E82" w:rsidRPr="00BD1E82" w:rsidRDefault="00BD1E82" w:rsidP="00BD1E82">
      <w:pPr>
        <w:rPr>
          <w:rFonts w:ascii="Calibri" w:hAnsi="Calibri" w:cs="Calibri"/>
          <w:lang w:val="es-ES"/>
        </w:rPr>
      </w:pPr>
    </w:p>
    <w:p w14:paraId="3B23B8FF" w14:textId="3AE192E5" w:rsidR="00341AA8" w:rsidRPr="00341AA8" w:rsidRDefault="00341AA8" w:rsidP="00341AA8">
      <w:pPr>
        <w:rPr>
          <w:rFonts w:ascii="Calibri" w:hAnsi="Calibri" w:cs="Calibri"/>
          <w:sz w:val="18"/>
          <w:szCs w:val="18"/>
          <w:lang w:val="es-ES"/>
        </w:rPr>
      </w:pPr>
      <w:r w:rsidRPr="00341AA8">
        <w:rPr>
          <w:rFonts w:ascii="Calibri" w:hAnsi="Calibri" w:cs="Calibri"/>
          <w:sz w:val="18"/>
          <w:szCs w:val="18"/>
          <w:lang w:val="es-ES"/>
        </w:rPr>
        <w:t xml:space="preserve">Referencias </w:t>
      </w:r>
      <w:r>
        <w:rPr>
          <w:rFonts w:ascii="Calibri" w:hAnsi="Calibri" w:cs="Calibri"/>
          <w:sz w:val="18"/>
          <w:szCs w:val="18"/>
          <w:lang w:val="es-ES"/>
        </w:rPr>
        <w:t>bibliográficas</w:t>
      </w:r>
    </w:p>
    <w:p w14:paraId="3C35FB2B" w14:textId="54175C37" w:rsidR="00341AA8" w:rsidRPr="00341AA8" w:rsidRDefault="00341AA8" w:rsidP="00341AA8">
      <w:pPr>
        <w:numPr>
          <w:ilvl w:val="0"/>
          <w:numId w:val="16"/>
        </w:numPr>
        <w:rPr>
          <w:rFonts w:ascii="Calibri" w:hAnsi="Calibri" w:cs="Calibri"/>
          <w:sz w:val="18"/>
          <w:szCs w:val="18"/>
          <w:lang w:val="pt-PT"/>
        </w:rPr>
      </w:pPr>
      <w:r w:rsidRPr="00341AA8">
        <w:rPr>
          <w:rFonts w:ascii="Calibri" w:hAnsi="Calibri" w:cs="Calibri"/>
          <w:sz w:val="18"/>
          <w:szCs w:val="18"/>
          <w:lang w:val="es-ES"/>
        </w:rPr>
        <w:t xml:space="preserve">Frayling TM, Timpson NJ, Weedon MN, Zeggini E, Freathy RM, Lindgren CM, </w:t>
      </w:r>
      <w:r w:rsidRPr="00341AA8">
        <w:rPr>
          <w:rFonts w:ascii="Calibri" w:hAnsi="Calibri" w:cs="Calibri"/>
          <w:i/>
          <w:iCs/>
          <w:sz w:val="18"/>
          <w:szCs w:val="18"/>
          <w:lang w:val="es-ES"/>
        </w:rPr>
        <w:t>et al.</w:t>
      </w:r>
      <w:r w:rsidRPr="00341AA8">
        <w:rPr>
          <w:rFonts w:ascii="Calibri" w:hAnsi="Calibri" w:cs="Calibri"/>
          <w:sz w:val="18"/>
          <w:szCs w:val="18"/>
          <w:lang w:val="es-ES"/>
        </w:rPr>
        <w:br/>
        <w:t>A common variant in the FTO gene is associated with body mass index and predisposes to childhood and adult obesity.</w:t>
      </w:r>
      <w:r w:rsidRPr="00341AA8">
        <w:rPr>
          <w:rFonts w:ascii="Calibri" w:hAnsi="Calibri" w:cs="Calibri"/>
          <w:sz w:val="18"/>
          <w:szCs w:val="18"/>
          <w:lang w:val="es-ES"/>
        </w:rPr>
        <w:br/>
      </w:r>
      <w:r w:rsidRPr="00341AA8">
        <w:rPr>
          <w:rFonts w:ascii="Calibri" w:hAnsi="Calibri" w:cs="Calibri"/>
          <w:sz w:val="18"/>
          <w:szCs w:val="18"/>
          <w:lang w:val="pt-PT"/>
        </w:rPr>
        <w:t>Science. 2007;316(5826):889–894. doi:10.1126/science.1141634.</w:t>
      </w:r>
    </w:p>
    <w:p w14:paraId="2AB2E75E" w14:textId="5ED170CA" w:rsidR="00341AA8" w:rsidRPr="00341AA8" w:rsidRDefault="00341AA8" w:rsidP="00341AA8">
      <w:pPr>
        <w:numPr>
          <w:ilvl w:val="0"/>
          <w:numId w:val="16"/>
        </w:numPr>
        <w:rPr>
          <w:rFonts w:ascii="Calibri" w:hAnsi="Calibri" w:cs="Calibri"/>
          <w:sz w:val="18"/>
          <w:szCs w:val="18"/>
          <w:lang w:val="pt-PT"/>
        </w:rPr>
      </w:pPr>
      <w:r w:rsidRPr="00341AA8">
        <w:rPr>
          <w:rFonts w:ascii="Calibri" w:hAnsi="Calibri" w:cs="Calibri"/>
          <w:sz w:val="18"/>
          <w:szCs w:val="18"/>
          <w:lang w:val="pt-PT"/>
        </w:rPr>
        <w:t xml:space="preserve"> </w:t>
      </w:r>
      <w:r w:rsidRPr="00341AA8">
        <w:rPr>
          <w:rFonts w:ascii="Calibri" w:hAnsi="Calibri" w:cs="Calibri"/>
          <w:sz w:val="18"/>
          <w:szCs w:val="18"/>
          <w:lang w:val="pt-PT"/>
        </w:rPr>
        <w:t>Farooqi IS, Keogh JM, Yeo GSH, Lank EJ, Cheetham T, O’Rahilly S.</w:t>
      </w:r>
      <w:r w:rsidRPr="00341AA8">
        <w:rPr>
          <w:rFonts w:ascii="Calibri" w:hAnsi="Calibri" w:cs="Calibri"/>
          <w:sz w:val="18"/>
          <w:szCs w:val="18"/>
          <w:lang w:val="pt-PT"/>
        </w:rPr>
        <w:br/>
        <w:t>Clinical spectrum of obesity and mutations in the melanocortin 4 receptor gene.</w:t>
      </w:r>
      <w:r w:rsidRPr="00341AA8">
        <w:rPr>
          <w:rFonts w:ascii="Calibri" w:hAnsi="Calibri" w:cs="Calibri"/>
          <w:sz w:val="18"/>
          <w:szCs w:val="18"/>
          <w:lang w:val="pt-PT"/>
        </w:rPr>
        <w:br/>
        <w:t>N Engl J Med. 2003;348(12):1085–1095. doi:10.1056/NEJMoa022050.</w:t>
      </w:r>
    </w:p>
    <w:p w14:paraId="3A5F4693" w14:textId="5BC0CAFF" w:rsidR="00341AA8" w:rsidRPr="00341AA8" w:rsidRDefault="00341AA8" w:rsidP="00341AA8">
      <w:pPr>
        <w:numPr>
          <w:ilvl w:val="0"/>
          <w:numId w:val="16"/>
        </w:numPr>
        <w:rPr>
          <w:rFonts w:ascii="Calibri" w:hAnsi="Calibri" w:cs="Calibri"/>
          <w:sz w:val="18"/>
          <w:szCs w:val="18"/>
          <w:lang w:val="pt-PT"/>
        </w:rPr>
      </w:pPr>
      <w:r w:rsidRPr="00341AA8">
        <w:rPr>
          <w:rFonts w:ascii="Calibri" w:hAnsi="Calibri" w:cs="Calibri"/>
          <w:sz w:val="18"/>
          <w:szCs w:val="18"/>
          <w:lang w:val="pt-PT"/>
        </w:rPr>
        <w:t xml:space="preserve">Michaud JL, Boucher F, Melnyk A, Gauthier F, Goshu E, Lévy E, </w:t>
      </w:r>
      <w:r w:rsidRPr="00341AA8">
        <w:rPr>
          <w:rFonts w:ascii="Calibri" w:hAnsi="Calibri" w:cs="Calibri"/>
          <w:i/>
          <w:iCs/>
          <w:sz w:val="18"/>
          <w:szCs w:val="18"/>
          <w:lang w:val="pt-PT"/>
        </w:rPr>
        <w:t>et al.</w:t>
      </w:r>
      <w:r w:rsidRPr="00341AA8">
        <w:rPr>
          <w:rFonts w:ascii="Calibri" w:hAnsi="Calibri" w:cs="Calibri"/>
          <w:sz w:val="18"/>
          <w:szCs w:val="18"/>
          <w:lang w:val="pt-PT"/>
        </w:rPr>
        <w:br/>
        <w:t>SIM1 haploinsufficiency causes hyperphagia, obesity and reduction of the paraventricular nucleus of the hypothalamus.</w:t>
      </w:r>
      <w:r w:rsidRPr="00341AA8">
        <w:rPr>
          <w:rFonts w:ascii="Calibri" w:hAnsi="Calibri" w:cs="Calibri"/>
          <w:sz w:val="18"/>
          <w:szCs w:val="18"/>
          <w:lang w:val="pt-PT"/>
        </w:rPr>
        <w:br/>
        <w:t>Nat Genet. 2001;28(2):159–165. doi:10.1038/88897.</w:t>
      </w:r>
    </w:p>
    <w:p w14:paraId="6F6D166F" w14:textId="42D57F98" w:rsidR="00341AA8" w:rsidRPr="00341AA8" w:rsidRDefault="00341AA8" w:rsidP="00341AA8">
      <w:pPr>
        <w:numPr>
          <w:ilvl w:val="0"/>
          <w:numId w:val="16"/>
        </w:numPr>
        <w:rPr>
          <w:rFonts w:ascii="Calibri" w:hAnsi="Calibri" w:cs="Calibri"/>
          <w:sz w:val="18"/>
          <w:szCs w:val="18"/>
          <w:lang w:val="pt-PT"/>
        </w:rPr>
      </w:pPr>
      <w:r w:rsidRPr="00341AA8">
        <w:rPr>
          <w:rFonts w:ascii="Calibri" w:hAnsi="Calibri" w:cs="Calibri"/>
          <w:sz w:val="18"/>
          <w:szCs w:val="18"/>
        </w:rPr>
        <w:lastRenderedPageBreak/>
        <w:t>Sriram SM, Kim BY, Kwon YT.</w:t>
      </w:r>
      <w:r w:rsidRPr="00341AA8">
        <w:rPr>
          <w:rFonts w:ascii="Calibri" w:hAnsi="Calibri" w:cs="Calibri"/>
          <w:sz w:val="18"/>
          <w:szCs w:val="18"/>
        </w:rPr>
        <w:t xml:space="preserve"> </w:t>
      </w:r>
      <w:r w:rsidRPr="00341AA8">
        <w:rPr>
          <w:rFonts w:ascii="Calibri" w:hAnsi="Calibri" w:cs="Calibri"/>
          <w:sz w:val="18"/>
          <w:szCs w:val="18"/>
        </w:rPr>
        <w:t>The N-end rule pathway: emerging functions and molecular principles of substrate recognition.</w:t>
      </w:r>
      <w:r w:rsidRPr="00341AA8">
        <w:rPr>
          <w:rFonts w:ascii="Calibri" w:hAnsi="Calibri" w:cs="Calibri"/>
          <w:sz w:val="18"/>
          <w:szCs w:val="18"/>
        </w:rPr>
        <w:br/>
        <w:t>Mol Cell. 2011;41(5):538–551.</w:t>
      </w:r>
      <w:r w:rsidRPr="00341AA8">
        <w:rPr>
          <w:rFonts w:ascii="Calibri" w:hAnsi="Calibri" w:cs="Calibri"/>
          <w:sz w:val="18"/>
          <w:szCs w:val="18"/>
        </w:rPr>
        <w:t xml:space="preserve"> </w:t>
      </w:r>
      <w:r w:rsidRPr="00341AA8">
        <w:rPr>
          <w:rFonts w:ascii="Calibri" w:hAnsi="Calibri" w:cs="Calibri"/>
          <w:sz w:val="18"/>
          <w:szCs w:val="18"/>
        </w:rPr>
        <w:t>doi:10.1016/j.molcel.2011.02.011.</w:t>
      </w:r>
    </w:p>
    <w:p w14:paraId="1AAC00BA" w14:textId="5CCEFE76" w:rsidR="00341AA8" w:rsidRPr="00341AA8" w:rsidRDefault="00341AA8" w:rsidP="00341AA8">
      <w:pPr>
        <w:numPr>
          <w:ilvl w:val="0"/>
          <w:numId w:val="16"/>
        </w:numPr>
        <w:rPr>
          <w:rFonts w:ascii="Calibri" w:hAnsi="Calibri" w:cs="Calibri"/>
          <w:sz w:val="18"/>
          <w:szCs w:val="18"/>
          <w:lang w:val="pt-PT"/>
        </w:rPr>
      </w:pPr>
      <w:r w:rsidRPr="00341AA8">
        <w:rPr>
          <w:rFonts w:ascii="Calibri" w:hAnsi="Calibri" w:cs="Calibri"/>
          <w:sz w:val="18"/>
          <w:szCs w:val="18"/>
        </w:rPr>
        <w:t xml:space="preserve">Yeo GSH, Connie Hung CC, Rochford J, Keogh J, Gray J, Sivaramakrishnan S, </w:t>
      </w:r>
      <w:r w:rsidRPr="00341AA8">
        <w:rPr>
          <w:rFonts w:ascii="Calibri" w:hAnsi="Calibri" w:cs="Calibri"/>
          <w:i/>
          <w:iCs/>
          <w:sz w:val="18"/>
          <w:szCs w:val="18"/>
        </w:rPr>
        <w:t>et al.</w:t>
      </w:r>
      <w:r w:rsidRPr="00341AA8">
        <w:rPr>
          <w:rFonts w:ascii="Calibri" w:hAnsi="Calibri" w:cs="Calibri"/>
          <w:sz w:val="18"/>
          <w:szCs w:val="18"/>
        </w:rPr>
        <w:t xml:space="preserve"> </w:t>
      </w:r>
      <w:r w:rsidRPr="00341AA8">
        <w:rPr>
          <w:rFonts w:ascii="Calibri" w:hAnsi="Calibri" w:cs="Calibri"/>
          <w:sz w:val="18"/>
          <w:szCs w:val="18"/>
        </w:rPr>
        <w:t>A de novo mutation affecting human TrkB associated with severe obesity and developmental delay.</w:t>
      </w:r>
      <w:r w:rsidRPr="00341AA8">
        <w:rPr>
          <w:rFonts w:ascii="Calibri" w:hAnsi="Calibri" w:cs="Calibri"/>
          <w:sz w:val="18"/>
          <w:szCs w:val="18"/>
        </w:rPr>
        <w:br/>
        <w:t>Nat Med. 2004;10(8):838–844.</w:t>
      </w:r>
      <w:r w:rsidRPr="00341AA8">
        <w:rPr>
          <w:rFonts w:ascii="Calibri" w:hAnsi="Calibri" w:cs="Calibri"/>
          <w:sz w:val="18"/>
          <w:szCs w:val="18"/>
        </w:rPr>
        <w:t xml:space="preserve"> </w:t>
      </w:r>
      <w:r w:rsidRPr="00341AA8">
        <w:rPr>
          <w:rFonts w:ascii="Calibri" w:hAnsi="Calibri" w:cs="Calibri"/>
          <w:sz w:val="18"/>
          <w:szCs w:val="18"/>
        </w:rPr>
        <w:t>doi:10.1038/nm1088.</w:t>
      </w:r>
    </w:p>
    <w:p w14:paraId="6F06B8D7" w14:textId="77777777" w:rsidR="00341AA8" w:rsidRPr="00341AA8" w:rsidRDefault="00341AA8" w:rsidP="00341AA8">
      <w:pPr>
        <w:numPr>
          <w:ilvl w:val="0"/>
          <w:numId w:val="21"/>
        </w:numPr>
        <w:rPr>
          <w:rFonts w:ascii="Calibri" w:hAnsi="Calibri" w:cs="Calibri"/>
          <w:sz w:val="18"/>
          <w:szCs w:val="18"/>
          <w:lang w:val="pt-PT"/>
        </w:rPr>
      </w:pPr>
      <w:r w:rsidRPr="00341AA8">
        <w:rPr>
          <w:rFonts w:ascii="Calibri" w:hAnsi="Calibri" w:cs="Calibri"/>
          <w:sz w:val="18"/>
          <w:szCs w:val="18"/>
          <w:lang w:val="pt-PT"/>
        </w:rPr>
        <w:t>Zhang Y, Proenca R, Maffei M, Barone M, Leopold L, Friedman JM.</w:t>
      </w:r>
      <w:r w:rsidRPr="00341AA8">
        <w:rPr>
          <w:rFonts w:ascii="Calibri" w:hAnsi="Calibri" w:cs="Calibri"/>
          <w:sz w:val="18"/>
          <w:szCs w:val="18"/>
          <w:lang w:val="pt-PT"/>
        </w:rPr>
        <w:br/>
        <w:t>Positional cloning of the mouse obese gene and its human homologue.</w:t>
      </w:r>
      <w:r w:rsidRPr="00341AA8">
        <w:rPr>
          <w:rFonts w:ascii="Calibri" w:hAnsi="Calibri" w:cs="Calibri"/>
          <w:sz w:val="18"/>
          <w:szCs w:val="18"/>
          <w:lang w:val="pt-PT"/>
        </w:rPr>
        <w:br/>
        <w:t>Nature. 1994;372(6505):425–432. doi:10.1038/372425a0.</w:t>
      </w:r>
    </w:p>
    <w:p w14:paraId="6FEE061D" w14:textId="7C0324BB" w:rsidR="00341AA8" w:rsidRPr="00341AA8" w:rsidRDefault="00341AA8" w:rsidP="00341AA8">
      <w:pPr>
        <w:rPr>
          <w:lang w:val="es-ES"/>
        </w:rPr>
      </w:pPr>
    </w:p>
    <w:p w14:paraId="76D6ED02" w14:textId="4669B7DF" w:rsidR="008A62CD" w:rsidRPr="008A62CD" w:rsidRDefault="008A62CD" w:rsidP="008A62CD">
      <w:pPr>
        <w:rPr>
          <w:lang w:val="es-ES"/>
        </w:rPr>
      </w:pPr>
    </w:p>
    <w:p w14:paraId="32DA5D6B" w14:textId="251A4277" w:rsidR="008A62CD" w:rsidRPr="008A62CD" w:rsidRDefault="008A62CD" w:rsidP="008A62CD">
      <w:pPr>
        <w:rPr>
          <w:lang w:val="es-ES"/>
        </w:rPr>
      </w:pPr>
    </w:p>
    <w:p w14:paraId="4D67FF80" w14:textId="7B74851A" w:rsidR="008A62CD" w:rsidRPr="008A62CD" w:rsidRDefault="008A62CD" w:rsidP="008A62CD">
      <w:pPr>
        <w:rPr>
          <w:lang w:val="es-ES"/>
        </w:rPr>
      </w:pPr>
    </w:p>
    <w:p w14:paraId="47AF2483" w14:textId="77777777" w:rsidR="001F2B9E" w:rsidRDefault="001F2B9E"/>
    <w:sectPr w:rsidR="001F2B9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800A1"/>
    <w:multiLevelType w:val="multilevel"/>
    <w:tmpl w:val="A3208D9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73429"/>
    <w:multiLevelType w:val="multilevel"/>
    <w:tmpl w:val="794CF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B477A"/>
    <w:multiLevelType w:val="multilevel"/>
    <w:tmpl w:val="927C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02766"/>
    <w:multiLevelType w:val="multilevel"/>
    <w:tmpl w:val="80BC4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287F38"/>
    <w:multiLevelType w:val="multilevel"/>
    <w:tmpl w:val="AC22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5970B4"/>
    <w:multiLevelType w:val="multilevel"/>
    <w:tmpl w:val="1354B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035CE"/>
    <w:multiLevelType w:val="multilevel"/>
    <w:tmpl w:val="AD0AC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E14AFE"/>
    <w:multiLevelType w:val="multilevel"/>
    <w:tmpl w:val="6FE2950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180945"/>
    <w:multiLevelType w:val="multilevel"/>
    <w:tmpl w:val="7F38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194CAD"/>
    <w:multiLevelType w:val="multilevel"/>
    <w:tmpl w:val="91969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DB5E9A"/>
    <w:multiLevelType w:val="multilevel"/>
    <w:tmpl w:val="1450B5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F557348"/>
    <w:multiLevelType w:val="multilevel"/>
    <w:tmpl w:val="9FB0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644D4C"/>
    <w:multiLevelType w:val="multilevel"/>
    <w:tmpl w:val="45C0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935567"/>
    <w:multiLevelType w:val="multilevel"/>
    <w:tmpl w:val="554006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0C726B"/>
    <w:multiLevelType w:val="multilevel"/>
    <w:tmpl w:val="791C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F57061"/>
    <w:multiLevelType w:val="multilevel"/>
    <w:tmpl w:val="0EB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D649EE"/>
    <w:multiLevelType w:val="multilevel"/>
    <w:tmpl w:val="D11CCF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17013C"/>
    <w:multiLevelType w:val="multilevel"/>
    <w:tmpl w:val="FDD6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5371C3"/>
    <w:multiLevelType w:val="multilevel"/>
    <w:tmpl w:val="29F2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B321B9"/>
    <w:multiLevelType w:val="multilevel"/>
    <w:tmpl w:val="DA40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2B1CCC"/>
    <w:multiLevelType w:val="multilevel"/>
    <w:tmpl w:val="DFEC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584765">
    <w:abstractNumId w:val="9"/>
  </w:num>
  <w:num w:numId="2" w16cid:durableId="1808165472">
    <w:abstractNumId w:val="18"/>
  </w:num>
  <w:num w:numId="3" w16cid:durableId="1848205656">
    <w:abstractNumId w:val="14"/>
  </w:num>
  <w:num w:numId="4" w16cid:durableId="1669209660">
    <w:abstractNumId w:val="8"/>
  </w:num>
  <w:num w:numId="5" w16cid:durableId="1508863322">
    <w:abstractNumId w:val="4"/>
  </w:num>
  <w:num w:numId="6" w16cid:durableId="1174109148">
    <w:abstractNumId w:val="20"/>
  </w:num>
  <w:num w:numId="7" w16cid:durableId="1145198547">
    <w:abstractNumId w:val="2"/>
  </w:num>
  <w:num w:numId="8" w16cid:durableId="643394803">
    <w:abstractNumId w:val="3"/>
  </w:num>
  <w:num w:numId="9" w16cid:durableId="1625580825">
    <w:abstractNumId w:val="19"/>
  </w:num>
  <w:num w:numId="10" w16cid:durableId="1607080638">
    <w:abstractNumId w:val="15"/>
  </w:num>
  <w:num w:numId="11" w16cid:durableId="1300962176">
    <w:abstractNumId w:val="5"/>
  </w:num>
  <w:num w:numId="12" w16cid:durableId="1177426266">
    <w:abstractNumId w:val="12"/>
  </w:num>
  <w:num w:numId="13" w16cid:durableId="1291478038">
    <w:abstractNumId w:val="17"/>
  </w:num>
  <w:num w:numId="14" w16cid:durableId="1299870845">
    <w:abstractNumId w:val="1"/>
  </w:num>
  <w:num w:numId="15" w16cid:durableId="1643775094">
    <w:abstractNumId w:val="11"/>
  </w:num>
  <w:num w:numId="16" w16cid:durableId="466507752">
    <w:abstractNumId w:val="6"/>
  </w:num>
  <w:num w:numId="17" w16cid:durableId="1164735510">
    <w:abstractNumId w:val="7"/>
  </w:num>
  <w:num w:numId="18" w16cid:durableId="2128501381">
    <w:abstractNumId w:val="13"/>
  </w:num>
  <w:num w:numId="19" w16cid:durableId="1490243820">
    <w:abstractNumId w:val="16"/>
  </w:num>
  <w:num w:numId="20" w16cid:durableId="866451705">
    <w:abstractNumId w:val="10"/>
  </w:num>
  <w:num w:numId="21" w16cid:durableId="947782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2CD"/>
    <w:rsid w:val="00052135"/>
    <w:rsid w:val="001F2B9E"/>
    <w:rsid w:val="00341AA8"/>
    <w:rsid w:val="00543BE0"/>
    <w:rsid w:val="005A37A3"/>
    <w:rsid w:val="0079594C"/>
    <w:rsid w:val="007A7FB0"/>
    <w:rsid w:val="008A62CD"/>
    <w:rsid w:val="00A6697B"/>
    <w:rsid w:val="00B05283"/>
    <w:rsid w:val="00B80F35"/>
    <w:rsid w:val="00BD1E82"/>
    <w:rsid w:val="00C64275"/>
    <w:rsid w:val="00CA2A9A"/>
    <w:rsid w:val="00CE5AA1"/>
    <w:rsid w:val="00D049C8"/>
    <w:rsid w:val="00DC6B8A"/>
    <w:rsid w:val="00DF2BA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F3A64"/>
  <w15:chartTrackingRefBased/>
  <w15:docId w15:val="{12E26DE9-34E6-4861-840D-28DB2CB87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AA1"/>
    <w:rPr>
      <w:lang w:val="en-US"/>
    </w:rPr>
  </w:style>
  <w:style w:type="paragraph" w:styleId="Ttulo1">
    <w:name w:val="heading 1"/>
    <w:basedOn w:val="Normal"/>
    <w:next w:val="Normal"/>
    <w:link w:val="Ttulo1Carter"/>
    <w:uiPriority w:val="9"/>
    <w:qFormat/>
    <w:rsid w:val="008A62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semiHidden/>
    <w:unhideWhenUsed/>
    <w:qFormat/>
    <w:rsid w:val="008A62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8A62C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8A62C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8A62C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8A62C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8A62C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8A62C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8A62CD"/>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8A62CD"/>
    <w:rPr>
      <w:rFonts w:asciiTheme="majorHAnsi" w:eastAsiaTheme="majorEastAsia" w:hAnsiTheme="majorHAnsi" w:cstheme="majorBidi"/>
      <w:color w:val="0F4761" w:themeColor="accent1" w:themeShade="BF"/>
      <w:sz w:val="40"/>
      <w:szCs w:val="40"/>
      <w:lang w:val="en-US"/>
    </w:rPr>
  </w:style>
  <w:style w:type="character" w:customStyle="1" w:styleId="Ttulo2Carter">
    <w:name w:val="Título 2 Caráter"/>
    <w:basedOn w:val="Tipodeletrapredefinidodopargrafo"/>
    <w:link w:val="Ttulo2"/>
    <w:uiPriority w:val="9"/>
    <w:semiHidden/>
    <w:rsid w:val="008A62CD"/>
    <w:rPr>
      <w:rFonts w:asciiTheme="majorHAnsi" w:eastAsiaTheme="majorEastAsia" w:hAnsiTheme="majorHAnsi" w:cstheme="majorBidi"/>
      <w:color w:val="0F4761" w:themeColor="accent1" w:themeShade="BF"/>
      <w:sz w:val="32"/>
      <w:szCs w:val="32"/>
      <w:lang w:val="en-US"/>
    </w:rPr>
  </w:style>
  <w:style w:type="character" w:customStyle="1" w:styleId="Ttulo3Carter">
    <w:name w:val="Título 3 Caráter"/>
    <w:basedOn w:val="Tipodeletrapredefinidodopargrafo"/>
    <w:link w:val="Ttulo3"/>
    <w:uiPriority w:val="9"/>
    <w:semiHidden/>
    <w:rsid w:val="008A62CD"/>
    <w:rPr>
      <w:rFonts w:eastAsiaTheme="majorEastAsia" w:cstheme="majorBidi"/>
      <w:color w:val="0F4761" w:themeColor="accent1" w:themeShade="BF"/>
      <w:sz w:val="28"/>
      <w:szCs w:val="28"/>
      <w:lang w:val="en-US"/>
    </w:rPr>
  </w:style>
  <w:style w:type="character" w:customStyle="1" w:styleId="Ttulo4Carter">
    <w:name w:val="Título 4 Caráter"/>
    <w:basedOn w:val="Tipodeletrapredefinidodopargrafo"/>
    <w:link w:val="Ttulo4"/>
    <w:uiPriority w:val="9"/>
    <w:semiHidden/>
    <w:rsid w:val="008A62CD"/>
    <w:rPr>
      <w:rFonts w:eastAsiaTheme="majorEastAsia" w:cstheme="majorBidi"/>
      <w:i/>
      <w:iCs/>
      <w:color w:val="0F4761" w:themeColor="accent1" w:themeShade="BF"/>
      <w:lang w:val="en-US"/>
    </w:rPr>
  </w:style>
  <w:style w:type="character" w:customStyle="1" w:styleId="Ttulo5Carter">
    <w:name w:val="Título 5 Caráter"/>
    <w:basedOn w:val="Tipodeletrapredefinidodopargrafo"/>
    <w:link w:val="Ttulo5"/>
    <w:uiPriority w:val="9"/>
    <w:semiHidden/>
    <w:rsid w:val="008A62CD"/>
    <w:rPr>
      <w:rFonts w:eastAsiaTheme="majorEastAsia" w:cstheme="majorBidi"/>
      <w:color w:val="0F4761" w:themeColor="accent1" w:themeShade="BF"/>
      <w:lang w:val="en-US"/>
    </w:rPr>
  </w:style>
  <w:style w:type="character" w:customStyle="1" w:styleId="Ttulo6Carter">
    <w:name w:val="Título 6 Caráter"/>
    <w:basedOn w:val="Tipodeletrapredefinidodopargrafo"/>
    <w:link w:val="Ttulo6"/>
    <w:uiPriority w:val="9"/>
    <w:semiHidden/>
    <w:rsid w:val="008A62CD"/>
    <w:rPr>
      <w:rFonts w:eastAsiaTheme="majorEastAsia" w:cstheme="majorBidi"/>
      <w:i/>
      <w:iCs/>
      <w:color w:val="595959" w:themeColor="text1" w:themeTint="A6"/>
      <w:lang w:val="en-US"/>
    </w:rPr>
  </w:style>
  <w:style w:type="character" w:customStyle="1" w:styleId="Ttulo7Carter">
    <w:name w:val="Título 7 Caráter"/>
    <w:basedOn w:val="Tipodeletrapredefinidodopargrafo"/>
    <w:link w:val="Ttulo7"/>
    <w:uiPriority w:val="9"/>
    <w:semiHidden/>
    <w:rsid w:val="008A62CD"/>
    <w:rPr>
      <w:rFonts w:eastAsiaTheme="majorEastAsia" w:cstheme="majorBidi"/>
      <w:color w:val="595959" w:themeColor="text1" w:themeTint="A6"/>
      <w:lang w:val="en-US"/>
    </w:rPr>
  </w:style>
  <w:style w:type="character" w:customStyle="1" w:styleId="Ttulo8Carter">
    <w:name w:val="Título 8 Caráter"/>
    <w:basedOn w:val="Tipodeletrapredefinidodopargrafo"/>
    <w:link w:val="Ttulo8"/>
    <w:uiPriority w:val="9"/>
    <w:semiHidden/>
    <w:rsid w:val="008A62CD"/>
    <w:rPr>
      <w:rFonts w:eastAsiaTheme="majorEastAsia" w:cstheme="majorBidi"/>
      <w:i/>
      <w:iCs/>
      <w:color w:val="272727" w:themeColor="text1" w:themeTint="D8"/>
      <w:lang w:val="en-US"/>
    </w:rPr>
  </w:style>
  <w:style w:type="character" w:customStyle="1" w:styleId="Ttulo9Carter">
    <w:name w:val="Título 9 Caráter"/>
    <w:basedOn w:val="Tipodeletrapredefinidodopargrafo"/>
    <w:link w:val="Ttulo9"/>
    <w:uiPriority w:val="9"/>
    <w:semiHidden/>
    <w:rsid w:val="008A62CD"/>
    <w:rPr>
      <w:rFonts w:eastAsiaTheme="majorEastAsia" w:cstheme="majorBidi"/>
      <w:color w:val="272727" w:themeColor="text1" w:themeTint="D8"/>
      <w:lang w:val="en-US"/>
    </w:rPr>
  </w:style>
  <w:style w:type="paragraph" w:styleId="Ttulo">
    <w:name w:val="Title"/>
    <w:basedOn w:val="Normal"/>
    <w:next w:val="Normal"/>
    <w:link w:val="TtuloCarter"/>
    <w:uiPriority w:val="10"/>
    <w:qFormat/>
    <w:rsid w:val="008A62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8A62CD"/>
    <w:rPr>
      <w:rFonts w:asciiTheme="majorHAnsi" w:eastAsiaTheme="majorEastAsia" w:hAnsiTheme="majorHAnsi" w:cstheme="majorBidi"/>
      <w:spacing w:val="-10"/>
      <w:kern w:val="28"/>
      <w:sz w:val="56"/>
      <w:szCs w:val="56"/>
      <w:lang w:val="en-US"/>
    </w:rPr>
  </w:style>
  <w:style w:type="paragraph" w:styleId="Subttulo">
    <w:name w:val="Subtitle"/>
    <w:basedOn w:val="Normal"/>
    <w:next w:val="Normal"/>
    <w:link w:val="SubttuloCarter"/>
    <w:uiPriority w:val="11"/>
    <w:qFormat/>
    <w:rsid w:val="008A62C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8A62CD"/>
    <w:rPr>
      <w:rFonts w:eastAsiaTheme="majorEastAsia" w:cstheme="majorBidi"/>
      <w:color w:val="595959" w:themeColor="text1" w:themeTint="A6"/>
      <w:spacing w:val="15"/>
      <w:sz w:val="28"/>
      <w:szCs w:val="28"/>
      <w:lang w:val="en-US"/>
    </w:rPr>
  </w:style>
  <w:style w:type="paragraph" w:styleId="Citao">
    <w:name w:val="Quote"/>
    <w:basedOn w:val="Normal"/>
    <w:next w:val="Normal"/>
    <w:link w:val="CitaoCarter"/>
    <w:uiPriority w:val="29"/>
    <w:qFormat/>
    <w:rsid w:val="008A62C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8A62CD"/>
    <w:rPr>
      <w:i/>
      <w:iCs/>
      <w:color w:val="404040" w:themeColor="text1" w:themeTint="BF"/>
      <w:lang w:val="en-US"/>
    </w:rPr>
  </w:style>
  <w:style w:type="paragraph" w:styleId="PargrafodaLista">
    <w:name w:val="List Paragraph"/>
    <w:basedOn w:val="Normal"/>
    <w:uiPriority w:val="34"/>
    <w:qFormat/>
    <w:rsid w:val="008A62CD"/>
    <w:pPr>
      <w:ind w:left="720"/>
      <w:contextualSpacing/>
    </w:pPr>
  </w:style>
  <w:style w:type="character" w:styleId="nfaseIntensa">
    <w:name w:val="Intense Emphasis"/>
    <w:basedOn w:val="Tipodeletrapredefinidodopargrafo"/>
    <w:uiPriority w:val="21"/>
    <w:qFormat/>
    <w:rsid w:val="008A62CD"/>
    <w:rPr>
      <w:i/>
      <w:iCs/>
      <w:color w:val="0F4761" w:themeColor="accent1" w:themeShade="BF"/>
    </w:rPr>
  </w:style>
  <w:style w:type="paragraph" w:styleId="CitaoIntensa">
    <w:name w:val="Intense Quote"/>
    <w:basedOn w:val="Normal"/>
    <w:next w:val="Normal"/>
    <w:link w:val="CitaoIntensaCarter"/>
    <w:uiPriority w:val="30"/>
    <w:qFormat/>
    <w:rsid w:val="008A62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8A62CD"/>
    <w:rPr>
      <w:i/>
      <w:iCs/>
      <w:color w:val="0F4761" w:themeColor="accent1" w:themeShade="BF"/>
      <w:lang w:val="en-US"/>
    </w:rPr>
  </w:style>
  <w:style w:type="character" w:styleId="RefernciaIntensa">
    <w:name w:val="Intense Reference"/>
    <w:basedOn w:val="Tipodeletrapredefinidodopargrafo"/>
    <w:uiPriority w:val="32"/>
    <w:qFormat/>
    <w:rsid w:val="008A62CD"/>
    <w:rPr>
      <w:b/>
      <w:bCs/>
      <w:smallCaps/>
      <w:color w:val="0F4761" w:themeColor="accent1" w:themeShade="BF"/>
      <w:spacing w:val="5"/>
    </w:rPr>
  </w:style>
  <w:style w:type="table" w:styleId="TabelacomGrelha">
    <w:name w:val="Table Grid"/>
    <w:basedOn w:val="Tabelanormal"/>
    <w:uiPriority w:val="39"/>
    <w:rsid w:val="00BD1E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3</Pages>
  <Words>759</Words>
  <Characters>4099</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BEATRIZ ARAÚJO E GAMA SERAFIM</dc:creator>
  <cp:keywords/>
  <dc:description/>
  <cp:lastModifiedBy>ANA BEATRIZ ARAÚJO E GAMA SERAFIM</cp:lastModifiedBy>
  <cp:revision>7</cp:revision>
  <dcterms:created xsi:type="dcterms:W3CDTF">2025-12-14T11:07:00Z</dcterms:created>
  <dcterms:modified xsi:type="dcterms:W3CDTF">2025-12-14T13:22:00Z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5dcaa86a-d916-494b-a720-52869af6e478</vt:lpwstr>
  </property>
</Properties>
</file>