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customXml/itemProps2.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FE572E2" w14:textId="2D86AF82" w:rsidR="00C95990" w:rsidRPr="00153B2F" w:rsidRDefault="0004331A" w:rsidP="00FB46DD">
      <w:pPr>
        <w:jc w:val="center"/>
        <w:rPr>
          <w:rFonts w:ascii="Arial" w:hAnsi="Arial" w:cs="Arial"/>
          <w:b/>
        </w:rPr>
      </w:pPr>
      <w:r w:rsidRPr="00153B2F">
        <w:rPr>
          <w:rFonts w:ascii="Arial" w:hAnsi="Arial" w:cs="Arial"/>
          <w:b/>
        </w:rPr>
        <w:t xml:space="preserve"> </w:t>
      </w:r>
      <w:r w:rsidR="00C95990" w:rsidRPr="00153B2F">
        <w:rPr>
          <w:rFonts w:ascii="Arial" w:hAnsi="Arial" w:cs="Arial"/>
          <w:b/>
          <w:noProof/>
        </w:rPr>
        <w:drawing>
          <wp:inline distT="0" distB="0" distL="0" distR="0" wp14:anchorId="0455B352" wp14:editId="53AF97FE">
            <wp:extent cx="1990725" cy="485775"/>
            <wp:effectExtent l="0" t="0" r="9525" b="9525"/>
            <wp:docPr id="2" name="Picture 2" title="University of Central Florida logo" descr="University of Central Florida log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1990725" cy="485775"/>
                    </a:xfrm>
                    <a:prstGeom prst="rect">
                      <a:avLst/>
                    </a:prstGeom>
                    <a:noFill/>
                  </pic:spPr>
                </pic:pic>
              </a:graphicData>
            </a:graphic>
          </wp:inline>
        </w:drawing>
      </w:r>
    </w:p>
    <w:p>
      <w:pPr>
        <w:spacing w:after="100"/>
        <w:jc w:val="center"/>
        <w:shd w:fill="FCE4D6"/>
        <w:pBdr>
          <w:top w:val="single" w:sz="4" w:color="F4B084"/>
          <w:left w:val="single" w:sz="4" w:color="F4B084"/>
          <w:bottom w:val="single" w:sz="4" w:color="F4B084"/>
          <w:right w:val="single" w:sz="4" w:color="F4B084"/>
        </w:pBdr>
      </w:pPr>
      <w:r>
        <w:rPr>
          <w:rFonts w:ascii="Arial" w:hAnsi="Arial"/>
          <w:b/>
          <w:color w:val="9C0006"/>
          <w:sz w:val="18"/>
        </w:rPr>
        <w:t>DRAFT — NOT FOR SUBMISSION OR PARTICIPANT USE</w:t>
        <w:br/>
        <w:t>Resolve all OPEN DECISION items and obtain UCF approval before use.</w:t>
      </w:r>
    </w:p>
    <w:p>
      <w:pPr>
        <w:pStyle w:val="Title"/>
        <w:jc w:val="center"/>
      </w:pPr>
      <w:r>
        <w:rPr>
          <w:rFonts w:ascii="Arial" w:hAnsi="Arial"/>
          <w:b/>
        </w:rPr>
        <w:t>Gaze-Contingent AI Assistance and Self-Similar Voice in Mixed Reality Visual Search</w:t>
      </w:r>
    </w:p>
    <w:p>
      <w:r>
        <w:rPr>
          <w:rFonts w:ascii="Arial" w:hAnsi="Arial"/>
          <w:b w:val="0"/>
        </w:rPr>
        <w:t xml:space="preserve">Principal Investigator: </w:t>
      </w:r>
      <w:r>
        <w:rPr>
          <w:rFonts w:ascii="Arial" w:hAnsi="Arial"/>
          <w:b/>
          <w:color w:val="9C0006"/>
          <w:highlight w:val="yellow"/>
        </w:rPr>
        <w:t>[OPEN DECISION: confirm UCF PI of record]</w:t>
      </w:r>
    </w:p>
    <w:p>
      <w:r>
        <w:rPr>
          <w:rFonts w:ascii="Arial" w:hAnsi="Arial"/>
          <w:b w:val="0"/>
        </w:rPr>
        <w:t xml:space="preserve">Department/School: </w:t>
      </w:r>
      <w:r>
        <w:rPr>
          <w:rFonts w:ascii="Arial" w:hAnsi="Arial"/>
          <w:b/>
          <w:color w:val="9C0006"/>
          <w:highlight w:val="yellow"/>
        </w:rPr>
        <w:t>[OPEN DECISION]</w:t>
      </w:r>
    </w:p>
    <w:p>
      <w:r>
        <w:rPr>
          <w:rFonts w:ascii="Arial" w:hAnsi="Arial"/>
          <w:b w:val="0"/>
        </w:rPr>
        <w:t xml:space="preserve">Telephone: </w:t>
      </w:r>
      <w:r>
        <w:rPr>
          <w:rFonts w:ascii="Arial" w:hAnsi="Arial"/>
          <w:b/>
          <w:color w:val="9C0006"/>
          <w:highlight w:val="yellow"/>
        </w:rPr>
        <w:t>[OPEN DECISION]</w:t>
      </w:r>
    </w:p>
    <w:p>
      <w:r>
        <w:rPr>
          <w:rFonts w:ascii="Arial" w:hAnsi="Arial"/>
          <w:b w:val="0"/>
        </w:rPr>
        <w:t xml:space="preserve">Email: </w:t>
      </w:r>
      <w:r>
        <w:rPr>
          <w:rFonts w:ascii="Arial" w:hAnsi="Arial"/>
          <w:b/>
          <w:color w:val="9C0006"/>
          <w:highlight w:val="yellow"/>
        </w:rPr>
        <w:t>[OPEN DECISION]</w:t>
      </w:r>
    </w:p>
    <w:p>
      <w:r>
        <w:rPr>
          <w:rFonts w:ascii="Arial" w:hAnsi="Arial"/>
          <w:b w:val="0"/>
        </w:rPr>
        <w:t xml:space="preserve">Faculty Advisor: </w:t>
      </w:r>
      <w:r>
        <w:rPr>
          <w:rFonts w:ascii="Arial" w:hAnsi="Arial"/>
          <w:b/>
          <w:color w:val="9C0006"/>
          <w:highlight w:val="yellow"/>
        </w:rPr>
        <w:t>[OPEN DECISION: required if the PI is a student]</w:t>
      </w:r>
    </w:p>
    <w:p>
      <w:r>
        <w:rPr>
          <w:rFonts w:ascii="Arial" w:hAnsi="Arial"/>
          <w:b w:val="0"/>
        </w:rPr>
        <w:t xml:space="preserve">Version Number/Date: Version 1 / </w:t>
      </w:r>
      <w:r>
        <w:rPr>
          <w:rFonts w:ascii="Arial" w:hAnsi="Arial"/>
          <w:b/>
          <w:color w:val="9C0006"/>
          <w:highlight w:val="yellow"/>
        </w:rPr>
        <w:t>[OPEN DECISION: submission date]</w:t>
      </w:r>
    </w:p>
    <w:p>
      <w:pPr>
        <w:pStyle w:val="Heading1"/>
      </w:pPr>
      <w:r>
        <w:rPr>
          <w:rFonts w:ascii="Arial" w:hAnsi="Arial"/>
          <w:b/>
        </w:rPr>
        <w:t>Version History</w:t>
      </w:r>
    </w:p>
    <w:tbl>
      <w:tblPr>
        <w:tblStyle w:val="TableGrid"/>
        <w:tblW w:type="auto" w:w="0"/>
        <w:jc w:val="center"/>
        <w:tblLayout w:type="autofit"/>
        <w:tblLook w:firstColumn="1" w:firstRow="1" w:lastColumn="0" w:lastRow="0" w:noHBand="0" w:noVBand="1" w:val="04A0"/>
      </w:tblPr>
      <w:tblGrid>
        <w:gridCol w:w="3360"/>
        <w:gridCol w:w="3360"/>
        <w:gridCol w:w="3360"/>
      </w:tblGrid>
      <w:tr>
        <w:trPr>
          <w:cantSplit/>
          <w:tblHeader w:val="true"/>
        </w:trPr>
        <w:tc>
          <w:tcPr>
            <w:tcW w:type="dxa" w:w="3360"/>
            <w:vAlign w:val="center"/>
            <w:tcMar>
              <w:top w:w="80" w:type="dxa"/>
              <w:start w:w="90" w:type="dxa"/>
              <w:bottom w:w="80" w:type="dxa"/>
              <w:end w:w="90" w:type="dxa"/>
            </w:tcMar>
            <w:shd w:fill="D9EAF7"/>
          </w:tcPr>
          <w:p>
            <w:pPr>
              <w:spacing w:after="0"/>
            </w:pPr>
            <w:r>
              <w:rPr>
                <w:rFonts w:ascii="Arial" w:hAnsi="Arial"/>
                <w:b/>
              </w:rPr>
              <w:t>Version</w:t>
            </w:r>
          </w:p>
        </w:tc>
        <w:tc>
          <w:tcPr>
            <w:tcW w:type="dxa" w:w="3360"/>
            <w:vAlign w:val="center"/>
            <w:tcMar>
              <w:top w:w="80" w:type="dxa"/>
              <w:start w:w="90" w:type="dxa"/>
              <w:bottom w:w="80" w:type="dxa"/>
              <w:end w:w="90" w:type="dxa"/>
            </w:tcMar>
            <w:shd w:fill="D9EAF7"/>
          </w:tcPr>
          <w:p>
            <w:pPr>
              <w:spacing w:after="0"/>
            </w:pPr>
            <w:r>
              <w:rPr>
                <w:rFonts w:ascii="Arial" w:hAnsi="Arial"/>
                <w:b/>
              </w:rPr>
              <w:t>Date</w:t>
            </w:r>
          </w:p>
        </w:tc>
        <w:tc>
          <w:tcPr>
            <w:tcW w:type="dxa" w:w="3360"/>
            <w:vAlign w:val="center"/>
            <w:tcMar>
              <w:top w:w="80" w:type="dxa"/>
              <w:start w:w="90" w:type="dxa"/>
              <w:bottom w:w="80" w:type="dxa"/>
              <w:end w:w="90" w:type="dxa"/>
            </w:tcMar>
            <w:shd w:fill="D9EAF7"/>
          </w:tcPr>
          <w:p>
            <w:pPr>
              <w:spacing w:after="0"/>
            </w:pPr>
            <w:r>
              <w:rPr>
                <w:rFonts w:ascii="Arial" w:hAnsi="Arial"/>
                <w:b/>
              </w:rPr>
              <w:t>Summary</w:t>
            </w:r>
          </w:p>
        </w:tc>
      </w:tr>
      <w:tr>
        <w:trPr>
          <w:cantSplit/>
        </w:trPr>
        <w:tc>
          <w:tcPr>
            <w:tcW w:type="dxa" w:w="3360"/>
            <w:vAlign w:val="center"/>
            <w:tcMar>
              <w:top w:w="80" w:type="dxa"/>
              <w:start w:w="90" w:type="dxa"/>
              <w:bottom w:w="80" w:type="dxa"/>
              <w:end w:w="90" w:type="dxa"/>
            </w:tcMar>
          </w:tcPr>
          <w:p>
            <w:pPr>
              <w:spacing w:after="0"/>
            </w:pPr>
            <w:r>
              <w:rPr>
                <w:rFonts w:ascii="Arial" w:hAnsi="Arial"/>
                <w:b w:val="0"/>
              </w:rPr>
              <w:t>1</w:t>
            </w:r>
          </w:p>
        </w:tc>
        <w:tc>
          <w:tcPr>
            <w:tcW w:type="dxa" w:w="3360"/>
            <w:vAlign w:val="center"/>
            <w:tcMar>
              <w:top w:w="80" w:type="dxa"/>
              <w:start w:w="90" w:type="dxa"/>
              <w:bottom w:w="80" w:type="dxa"/>
              <w:end w:w="90" w:type="dxa"/>
            </w:tcMar>
          </w:tcPr>
          <w:p>
            <w:pPr>
              <w:spacing w:after="0"/>
            </w:pPr>
            <w:r>
              <w:rPr>
                <w:rFonts w:ascii="Arial" w:hAnsi="Arial"/>
                <w:b w:val="0"/>
              </w:rPr>
              <w:t>[submission date]</w:t>
            </w:r>
          </w:p>
        </w:tc>
        <w:tc>
          <w:tcPr>
            <w:tcW w:type="dxa" w:w="3360"/>
            <w:vAlign w:val="center"/>
            <w:tcMar>
              <w:top w:w="80" w:type="dxa"/>
              <w:start w:w="90" w:type="dxa"/>
              <w:bottom w:w="80" w:type="dxa"/>
              <w:end w:w="90" w:type="dxa"/>
            </w:tcMar>
          </w:tcPr>
          <w:p>
            <w:pPr>
              <w:spacing w:after="0"/>
            </w:pPr>
            <w:r>
              <w:rPr>
                <w:rFonts w:ascii="Arial" w:hAnsi="Arial"/>
                <w:b w:val="0"/>
              </w:rPr>
              <w:t>Initial submission.</w:t>
            </w:r>
          </w:p>
        </w:tc>
      </w:tr>
    </w:tbl>
    <w:p>
      <w:pPr>
        <w:spacing w:after="0"/>
      </w:pPr>
    </w:p>
    <w:p>
      <w:pPr>
        <w:pStyle w:val="Heading1"/>
      </w:pPr>
      <w:r>
        <w:rPr>
          <w:rFonts w:ascii="Arial" w:hAnsi="Arial"/>
          <w:b/>
        </w:rPr>
        <w:t>Study Summary</w:t>
      </w:r>
    </w:p>
    <w:p>
      <w:r>
        <w:rPr>
          <w:rFonts w:ascii="Arial" w:hAnsi="Arial"/>
          <w:b w:val="0"/>
        </w:rPr>
        <w:t>This laboratory study evaluates how gaze-contingent spoken assistance and a participant-derived self-similar synthetic voice affect visual-search performance, workload, trust, and experience in mixed reality. Adults will wear an HTC Vive Focus Vision headset and search a virtual bookshelf-like arrangement of colored shapes placed over a real table. The system will provide spoken hints under four within-subject conditions formed by gaze-contingent versus gaze-unaware assistance and a generic versus participant-derived self-similar voice.</w:t>
      </w:r>
    </w:p>
    <w:p>
      <w:r>
        <w:rPr>
          <w:rFonts w:ascii="Arial" w:hAnsi="Arial"/>
          <w:b w:val="0"/>
        </w:rPr>
        <w:t>Participants will provide approximately 1–2 minutes of speech for Instant Voice Cloning (IVC). The recording will be uploaded to an institutionally approved third-party speech service only after consent. The resulting voice will be used only to synthesize study prompts for that participant, will not be shared or published, and will be deleted under the approved deletion procedure. Eye-gaze telemetry, task events, performance, questionnaires, and limited demographics will be recorded under a study ID. No eye-camera images, room video, webcam video, or face video will be saved.</w:t>
      </w:r>
    </w:p>
    <w:p>
      <w:r>
        <w:rPr>
          <w:rFonts w:ascii="Arial" w:hAnsi="Arial"/>
          <w:b/>
        </w:rPr>
        <w:t>Protocol proposal:</w:t>
      </w:r>
      <w:r>
        <w:rPr>
          <w:rFonts w:ascii="Arial" w:hAnsi="Arial"/>
          <w:b w:val="0"/>
        </w:rPr>
        <w:t xml:space="preserve"> One in-person session of approximately </w:t>
      </w:r>
      <w:r>
        <w:rPr>
          <w:rFonts w:ascii="Arial" w:hAnsi="Arial"/>
          <w:b/>
          <w:color w:val="9C0006"/>
          <w:highlight w:val="yellow"/>
        </w:rPr>
        <w:t>[OPEN DECISION: proposed 75–90 minutes]</w:t>
      </w:r>
      <w:r>
        <w:rPr>
          <w:rFonts w:ascii="Arial" w:hAnsi="Arial"/>
          <w:b w:val="0"/>
        </w:rPr>
        <w:t>, including consent, screening, voice recording, headset setup/calibration, practice, four experimental blocks, questionnaires, breaks, debriefing, cleanup, and compensation if offered.</w:t>
      </w:r>
    </w:p>
    <w:p>
      <w:r>
        <w:rPr>
          <w:rFonts w:ascii="Arial" w:hAnsi="Arial"/>
          <w:b/>
        </w:rPr>
        <w:t>Study-readiness gate:</w:t>
      </w:r>
      <w:r>
        <w:rPr>
          <w:rFonts w:ascii="Arial" w:hAnsi="Arial"/>
          <w:b w:val="0"/>
        </w:rPr>
        <w:t xml:space="preserve"> The current Unity build implements 14 alternating “gaze-aware”/gaze-unaware rounds and a fixed generic voice. “Gaze-aware” is the current code label for the intended gaze-contingent condition; participant-facing and analytic materials will use “gaze-contingent.” The build does not yet implement four-condition counterbalancing, playback of participant-scoped prepared prompts, matched hint delivery, post-block questionnaires, or all required audit events. Voice recording, provider upload, prompt generation, and deletion will occur through a separate approved staff-controlled workflow, not in the headset application. No participant enrollment or research data collection will begin until the Unity release build and operational workflow together match this approved protocol and are verified with non-participant test data.</w:t>
      </w:r>
    </w:p>
    <w:p>
      <w:pPr>
        <w:pStyle w:val="Heading1"/>
      </w:pPr>
      <w:r>
        <w:rPr>
          <w:rFonts w:ascii="Arial" w:hAnsi="Arial"/>
          <w:b/>
        </w:rPr>
        <w:t>Background</w:t>
      </w:r>
    </w:p>
    <w:p>
      <w:r>
        <w:rPr>
          <w:rFonts w:ascii="Arial" w:hAnsi="Arial"/>
          <w:b w:val="0"/>
        </w:rPr>
        <w:t>Gaze can provide moment-to-moment information about what a person is inspecting in a visual-search task. An adaptive assistant may use that information to time or tailor hints, but assistance that is too frequent, inaccurate, or intrusive could increase workload or reduce trust. A voice that resembles the participant may also change perceived familiarity, agency, comfort, or trust. The study therefore manipulates gaze contingency and voice similarity independently to estimate their separate and combined effects.</w:t>
      </w:r>
    </w:p>
    <w:p>
      <w:r>
        <w:rPr>
          <w:rFonts w:ascii="Arial" w:hAnsi="Arial"/>
          <w:b w:val="0"/>
        </w:rPr>
        <w:t>Eye-gaze hover and dwell events generated by the XR Interaction Toolkit are interaction proxies. They are not treated as clinically validated fixations. Angular transitions are not treated as validated saccades. The research will use neutral, implementation-accurate terminology in reports unless a validated classification pipeline is added through an approved modification.</w:t>
      </w:r>
    </w:p>
    <w:p>
      <w:r>
        <w:rPr>
          <w:rFonts w:ascii="Arial" w:hAnsi="Arial"/>
          <w:b w:val="0"/>
        </w:rPr>
        <w:t xml:space="preserve">Community Advisory Board Input: N/A. This minimal-risk laboratory usability study does not currently use a community advisory board. </w:t>
      </w:r>
      <w:r>
        <w:rPr>
          <w:rFonts w:ascii="Arial" w:hAnsi="Arial"/>
          <w:b/>
          <w:color w:val="9C0006"/>
          <w:highlight w:val="yellow"/>
        </w:rPr>
        <w:t>[OPEN DECISION: confirm with UCF.]</w:t>
      </w:r>
    </w:p>
    <w:p>
      <w:pPr>
        <w:pStyle w:val="Heading1"/>
      </w:pPr>
      <w:r>
        <w:rPr>
          <w:rFonts w:ascii="Arial" w:hAnsi="Arial"/>
          <w:b/>
        </w:rPr>
        <w:t>Objectives</w:t>
      </w:r>
    </w:p>
    <w:p>
      <w:r>
        <w:rPr>
          <w:rFonts w:ascii="Arial" w:hAnsi="Arial"/>
          <w:b w:val="0"/>
        </w:rPr>
        <w:t>Primary scientific objectives:</w:t>
      </w:r>
    </w:p>
    <w:p>
      <w:pPr>
        <w:spacing w:after="40"/>
        <w:ind w:left="360" w:hanging="259"/>
      </w:pPr>
      <w:r>
        <w:rPr>
          <w:rFonts w:ascii="Arial" w:hAnsi="Arial"/>
          <w:b w:val="0"/>
        </w:rPr>
        <w:t>• Estimate the effect of gaze-contingent versus gaze-unaware spoken assistance on visual-search time.</w:t>
      </w:r>
    </w:p>
    <w:p>
      <w:pPr>
        <w:spacing w:after="40"/>
        <w:ind w:left="360" w:hanging="259"/>
      </w:pPr>
      <w:r>
        <w:rPr>
          <w:rFonts w:ascii="Arial" w:hAnsi="Arial"/>
          <w:b w:val="0"/>
        </w:rPr>
        <w:t>• Estimate whether self-similar versus generic voice changes the effect of gaze contingency on the pre-specified primary experience/performance outcome.</w:t>
      </w:r>
    </w:p>
    <w:p>
      <w:r>
        <w:rPr>
          <w:rFonts w:ascii="Arial" w:hAnsi="Arial"/>
          <w:b w:val="0"/>
        </w:rPr>
        <w:t>Secondary objectives:</w:t>
      </w:r>
    </w:p>
    <w:p>
      <w:pPr>
        <w:spacing w:after="40"/>
        <w:ind w:left="360" w:hanging="259"/>
      </w:pPr>
      <w:r>
        <w:rPr>
          <w:rFonts w:ascii="Arial" w:hAnsi="Arial"/>
          <w:b w:val="0"/>
        </w:rPr>
        <w:t>• Estimate the effect of self-similar versus generic voice on workload, trust/helpfulness, comfort, and perceived voice similarity.</w:t>
      </w:r>
    </w:p>
    <w:p>
      <w:pPr>
        <w:spacing w:after="40"/>
        <w:ind w:left="360" w:hanging="259"/>
      </w:pPr>
      <w:r>
        <w:rPr>
          <w:rFonts w:ascii="Arial" w:hAnsi="Arial"/>
          <w:b w:val="0"/>
        </w:rPr>
        <w:t>• Characterize errors, gaze-hover/dwell patterns, hint opportunities/exposures, technical failures, and adverse symptoms.</w:t>
      </w:r>
    </w:p>
    <w:p>
      <w:pPr>
        <w:spacing w:after="40"/>
        <w:ind w:left="360" w:hanging="259"/>
      </w:pPr>
      <w:r>
        <w:rPr>
          <w:rFonts w:ascii="Arial" w:hAnsi="Arial"/>
          <w:b w:val="0"/>
        </w:rPr>
        <w:t>• Evaluate feasibility and data quality while conducting the sample-size analysis needed to make this study adequately powered or appropriately framed as exploratory before submission.</w:t>
      </w:r>
    </w:p>
    <w:p>
      <w:r>
        <w:rPr>
          <w:rFonts w:ascii="Arial" w:hAnsi="Arial"/>
          <w:b w:val="0"/>
        </w:rPr>
        <w:t xml:space="preserve">Primary hypotheses and outcomes: </w:t>
      </w:r>
      <w:r>
        <w:rPr>
          <w:rFonts w:ascii="Arial" w:hAnsi="Arial"/>
          <w:b/>
          <w:color w:val="9C0006"/>
          <w:highlight w:val="yellow"/>
        </w:rPr>
        <w:t>[OPEN DECISION: finalize the confirmatory gaze main-effect and gaze × voice interaction hypotheses, designate one or more primary outcomes, define search time from logged display onset through correct capture, and power/control multiplicity accordingly. If the design cannot support confirmatory inference, label all condition-effect analyses exploratory and make feasibility the primary aim.]</w:t>
      </w:r>
    </w:p>
    <w:p>
      <w:r>
        <w:rPr>
          <w:rFonts w:ascii="Arial" w:hAnsi="Arial"/>
          <w:b w:val="0"/>
        </w:rPr>
        <w:t>Secondary outcomes include wrong selections, raw NASA-TLX ratings, manipulation-check ratings, trust/helpfulness/comfort ratings, symptom ratings, hint count and timing, valid gaze availability, gaze-hover/dwell proxy duration, and completion/withdrawal.</w:t>
      </w:r>
    </w:p>
    <w:p>
      <w:pPr>
        <w:pStyle w:val="Heading1"/>
      </w:pPr>
      <w:r>
        <w:rPr>
          <w:rFonts w:ascii="Arial" w:hAnsi="Arial"/>
          <w:b/>
        </w:rPr>
        <w:t>What is Being Measured or Evaluated?</w:t>
      </w:r>
    </w:p>
    <w:p>
      <w:r>
        <w:rPr>
          <w:rFonts w:ascii="Arial" w:hAnsi="Arial"/>
          <w:b w:val="0"/>
        </w:rPr>
        <w:t>The study measures task performance, interaction telemetry, subjective workload, perceived assistance quality, perceived voice similarity, trust, comfort, prior XR/voice-AI experience, and adverse symptoms. The study does not diagnose health conditions and does not use eye tracking as a medical measure.</w:t>
      </w:r>
    </w:p>
    <w:p>
      <w:r>
        <w:rPr>
          <w:rFonts w:ascii="Arial" w:hAnsi="Arial"/>
          <w:b w:val="0"/>
        </w:rPr>
        <w:t>The implemented telemetry currently includes frame time, gaze origin/direction/orientation, per-eye position where available, eye openness where available, provider-reported gaze point, hovered object metadata, target status, dwell progress, target identity, application state, ray visibility, and a custom blink proxy. Discrete logs include task and hover/capture events and summary metrics.</w:t>
      </w:r>
    </w:p>
    <w:p>
      <w:r>
        <w:rPr>
          <w:rFonts w:ascii="Arial" w:hAnsi="Arial"/>
          <w:b/>
        </w:rPr>
        <w:t>Protocol proposal:</w:t>
      </w:r>
      <w:r>
        <w:rPr>
          <w:rFonts w:ascii="Arial" w:hAnsi="Arial"/>
          <w:b w:val="0"/>
        </w:rPr>
        <w:t xml:space="preserve"> Add calibration result, tracking validity/availability, explicit search-display onset, hint request/playback/failure, block and counterbalancing assignment, voice condition and non-identifying voice alias, and cleanup/deletion result. Preserve raw values and calculate derived measures in version-controlled analysis code.</w:t>
      </w:r>
    </w:p>
    <w:p>
      <w:r>
        <w:rPr>
          <w:rFonts w:ascii="Arial" w:hAnsi="Arial"/>
          <w:b w:val="0"/>
        </w:rPr>
        <w:t xml:space="preserve">Clinical trial/clinical investigation: No. The study evaluates behavioral interaction with a mixed-reality research application and does not evaluate an FDA-regulated drug, biologic, or medical device for diagnosis or treatment. </w:t>
      </w:r>
      <w:r>
        <w:rPr>
          <w:rFonts w:ascii="Arial" w:hAnsi="Arial"/>
          <w:b/>
        </w:rPr>
        <w:t>[UCF must confirm this classification.]</w:t>
      </w:r>
    </w:p>
    <w:p>
      <w:pPr>
        <w:pStyle w:val="Heading1"/>
      </w:pPr>
      <w:r>
        <w:rPr>
          <w:rFonts w:ascii="Arial" w:hAnsi="Arial"/>
          <w:b/>
        </w:rPr>
        <w:t>Drugs and Medical Devices (If not a drug or medical device study, check N/A and skip to the Endpoints section)</w:t>
      </w:r>
    </w:p>
    <w:p>
      <w:r>
        <w:rPr>
          <w:rFonts w:ascii="Arial" w:hAnsi="Arial"/>
          <w:b w:val="0"/>
        </w:rPr>
        <w:t xml:space="preserve">N/A. The HTC Vive Focus Vision and computer are used as research apparatus for a behavioral task, not as investigational medical devices. No drug, biologic, IDE, or abbreviated IDE is involved. </w:t>
      </w:r>
      <w:r>
        <w:rPr>
          <w:rFonts w:ascii="Arial" w:hAnsi="Arial"/>
          <w:b/>
        </w:rPr>
        <w:t>[UCF must confirm.]</w:t>
      </w:r>
    </w:p>
    <w:p>
      <w:pPr>
        <w:pStyle w:val="Heading1"/>
      </w:pPr>
      <w:r>
        <w:rPr>
          <w:rFonts w:ascii="Arial" w:hAnsi="Arial"/>
          <w:b/>
        </w:rPr>
        <w:t>Endpoints (clinical trials only—if not a clinical trial, check N/A and skip to the Number of Subjects section)</w:t>
      </w:r>
    </w:p>
    <w:p>
      <w:r>
        <w:rPr>
          <w:rFonts w:ascii="Arial" w:hAnsi="Arial"/>
          <w:b w:val="0"/>
        </w:rPr>
        <w:t>N/A. This is not proposed as a clinical trial or clinical investigation. Behavioral outcomes are described under Objectives and Data Analysis Plan.</w:t>
      </w:r>
    </w:p>
    <w:p>
      <w:pPr>
        <w:pStyle w:val="Heading1"/>
      </w:pPr>
      <w:r>
        <w:rPr>
          <w:rFonts w:ascii="Arial" w:hAnsi="Arial"/>
          <w:b/>
        </w:rPr>
        <w:t>Number of Subjects</w:t>
      </w:r>
    </w:p>
    <w:p>
      <w:r>
        <w:rPr>
          <w:rFonts w:ascii="Arial" w:hAnsi="Arial"/>
          <w:b w:val="0"/>
        </w:rPr>
        <w:t xml:space="preserve">LOCAL: </w:t>
      </w:r>
      <w:r>
        <w:rPr>
          <w:rFonts w:ascii="Arial" w:hAnsi="Arial"/>
          <w:b/>
          <w:color w:val="9C0006"/>
          <w:highlight w:val="yellow"/>
        </w:rPr>
        <w:t>[OPEN DECISION: enrolled maximum after power/precision analysis; distinguish enrolled from target analyzable sample.]</w:t>
      </w:r>
    </w:p>
    <w:p>
      <w:r>
        <w:rPr>
          <w:rFonts w:ascii="Arial" w:hAnsi="Arial"/>
          <w:b w:val="0"/>
        </w:rPr>
        <w:t>ALL SITES: Same as local; this is currently a single-site UCF study.</w:t>
      </w:r>
    </w:p>
    <w:p>
      <w:r>
        <w:rPr>
          <w:rFonts w:ascii="Arial" w:hAnsi="Arial"/>
          <w:b w:val="0"/>
        </w:rPr>
        <w:t>The application will state anticipated screening failures and technical/data-quality attrition. Participants whose data are excluded remain enrolled participants and will be reported in the disposition summary.</w:t>
      </w:r>
    </w:p>
    <w:p>
      <w:pPr>
        <w:pStyle w:val="Heading1"/>
      </w:pPr>
      <w:r>
        <w:rPr>
          <w:rFonts w:ascii="Arial" w:hAnsi="Arial"/>
          <w:b/>
        </w:rPr>
        <w:t>Inclusion/Exclusion Criteria</w:t>
      </w:r>
    </w:p>
    <w:p>
      <w:r>
        <w:rPr>
          <w:rFonts w:ascii="Arial" w:hAnsi="Arial"/>
          <w:b w:val="0"/>
        </w:rPr>
        <w:t>Inclusion criteria:</w:t>
      </w:r>
    </w:p>
    <w:p>
      <w:pPr>
        <w:spacing w:after="40"/>
        <w:ind w:left="360" w:hanging="259"/>
      </w:pPr>
      <w:r>
        <w:rPr>
          <w:rFonts w:ascii="Arial" w:hAnsi="Arial"/>
          <w:b w:val="0"/>
        </w:rPr>
        <w:t>• Age 18 years or older.</w:t>
      </w:r>
    </w:p>
    <w:p>
      <w:pPr>
        <w:spacing w:after="40"/>
        <w:ind w:left="360" w:hanging="259"/>
      </w:pPr>
      <w:r>
        <w:rPr>
          <w:rFonts w:ascii="Arial" w:hAnsi="Arial"/>
          <w:b w:val="0"/>
        </w:rPr>
        <w:t>• Able to provide informed consent in English.</w:t>
      </w:r>
    </w:p>
    <w:p>
      <w:pPr>
        <w:spacing w:after="40"/>
        <w:ind w:left="360" w:hanging="259"/>
      </w:pPr>
      <w:r>
        <w:rPr>
          <w:rFonts w:ascii="Arial" w:hAnsi="Arial"/>
          <w:b w:val="0"/>
        </w:rPr>
        <w:t>• Able to understand spoken English study instructions and prompts.</w:t>
      </w:r>
    </w:p>
    <w:p>
      <w:pPr>
        <w:spacing w:after="40"/>
        <w:ind w:left="360" w:hanging="259"/>
      </w:pPr>
      <w:r>
        <w:rPr>
          <w:rFonts w:ascii="Arial" w:hAnsi="Arial"/>
          <w:b w:val="0"/>
        </w:rPr>
        <w:t>• Able to wear the headset and perform the seated or stationary visual-search task with or without ordinary vision correction compatible with the headset.</w:t>
      </w:r>
    </w:p>
    <w:p>
      <w:pPr>
        <w:spacing w:after="40"/>
        <w:ind w:left="360" w:hanging="259"/>
      </w:pPr>
      <w:r>
        <w:rPr>
          <w:rFonts w:ascii="Arial" w:hAnsi="Arial"/>
          <w:b w:val="0"/>
        </w:rPr>
        <w:t>• Willing to provide a short recording of their own voice and authorize creation of a study-limited synthetic voice.</w:t>
      </w:r>
    </w:p>
    <w:p>
      <w:r>
        <w:rPr>
          <w:rFonts w:ascii="Arial" w:hAnsi="Arial"/>
          <w:b w:val="0"/>
        </w:rPr>
        <w:t>Proposed exclusion criteria, subject to PI/UCF confirmation:</w:t>
      </w:r>
    </w:p>
    <w:p>
      <w:pPr>
        <w:spacing w:after="40"/>
        <w:ind w:left="360" w:hanging="259"/>
      </w:pPr>
      <w:r>
        <w:rPr>
          <w:rFonts w:ascii="Arial" w:hAnsi="Arial"/>
          <w:b w:val="0"/>
        </w:rPr>
        <w:t>• History of photosensitive seizure/epilepsy or a clinician’s instruction to avoid immersive displays.</w:t>
      </w:r>
    </w:p>
    <w:p>
      <w:pPr>
        <w:spacing w:after="40"/>
        <w:ind w:left="360" w:hanging="259"/>
      </w:pPr>
      <w:r>
        <w:rPr>
          <w:rFonts w:ascii="Arial" w:hAnsi="Arial"/>
          <w:b w:val="0"/>
        </w:rPr>
        <w:t>• Current severe dizziness, nausea, migraine, eye pain/infection, or other condition that makes headset use unsafe or intolerable.</w:t>
      </w:r>
    </w:p>
    <w:p>
      <w:pPr>
        <w:spacing w:after="40"/>
        <w:ind w:left="360" w:hanging="259"/>
      </w:pPr>
      <w:r>
        <w:rPr>
          <w:rFonts w:ascii="Arial" w:hAnsi="Arial"/>
          <w:b w:val="0"/>
        </w:rPr>
        <w:t>• Inability to obtain a minimally usable eye-tracking calibration after the pre-specified retry procedure. This is a technical eligibility criterion, not a health diagnosis.</w:t>
      </w:r>
    </w:p>
    <w:p>
      <w:pPr>
        <w:spacing w:after="40"/>
        <w:ind w:left="360" w:hanging="259"/>
      </w:pPr>
      <w:r>
        <w:rPr>
          <w:rFonts w:ascii="Arial" w:hAnsi="Arial"/>
          <w:b w:val="0"/>
        </w:rPr>
        <w:t>• Inability or unwillingness to complete required voice recording/cloning.</w:t>
      </w:r>
    </w:p>
    <w:p>
      <w:pPr>
        <w:spacing w:after="40"/>
        <w:ind w:left="360" w:hanging="259"/>
      </w:pPr>
      <w:r>
        <w:rPr>
          <w:rFonts w:ascii="Arial" w:hAnsi="Arial"/>
          <w:b w:val="0"/>
        </w:rPr>
        <w:t>• Prior participation in this experiment or prior knowledge of the deterministic target schedule that could invalidate the task.</w:t>
      </w:r>
    </w:p>
    <w:p>
      <w:r>
        <w:rPr>
          <w:rFonts w:ascii="Arial" w:hAnsi="Arial"/>
          <w:b w:val="0"/>
        </w:rPr>
        <w:t xml:space="preserve">Pregnancy is not an automatic exclusion in this draft. </w:t>
      </w:r>
      <w:r>
        <w:rPr>
          <w:rFonts w:ascii="Arial" w:hAnsi="Arial"/>
          <w:b/>
          <w:color w:val="9C0006"/>
          <w:highlight w:val="yellow"/>
        </w:rPr>
        <w:t>[OPEN DECISION: UCF/PI must confirm whether any additional scientifically justified criteria are needed.]</w:t>
      </w:r>
    </w:p>
    <w:p>
      <w:r>
        <w:rPr>
          <w:rFonts w:ascii="Arial" w:hAnsi="Arial"/>
          <w:b w:val="0"/>
        </w:rPr>
        <w:t>Vulnerable/special populations: Children, prisoners, and adults unable to consent will not be enrolled. Recruitment will not target pregnant persons, economically or educationally disadvantaged persons, or UCF employees/students under the direct authority of the recruiting investigator. Adults over 65 are not excluded solely because of age.</w:t>
      </w:r>
    </w:p>
    <w:p>
      <w:r>
        <w:rPr>
          <w:rFonts w:ascii="Arial" w:hAnsi="Arial"/>
          <w:b w:val="0"/>
        </w:rPr>
        <w:t>Additional safeguards: Recruitment and consent will emphasize voluntariness. If students are recruited, instructors will not know who participates until grades are final, and any course-credit pathway will include an equivalent alternative assignment.</w:t>
      </w:r>
    </w:p>
    <w:p>
      <w:pPr>
        <w:pStyle w:val="Heading1"/>
      </w:pPr>
      <w:r>
        <w:rPr>
          <w:rFonts w:ascii="Arial" w:hAnsi="Arial"/>
          <w:b/>
        </w:rPr>
        <w:t>Recruitment Methods</w:t>
      </w:r>
    </w:p>
    <w:p>
      <w:r>
        <w:rPr>
          <w:rFonts w:ascii="Arial" w:hAnsi="Arial"/>
          <w:b w:val="0"/>
        </w:rPr>
        <w:t xml:space="preserve">Recruitment may use IRB-approved email, flyer, research-participation portal/SONA listing, and word-of-mouth referral that directs interested people to the approved materials. </w:t>
      </w:r>
      <w:r>
        <w:rPr>
          <w:rFonts w:ascii="Arial" w:hAnsi="Arial"/>
          <w:b/>
          <w:color w:val="9C0006"/>
          <w:highlight w:val="yellow"/>
        </w:rPr>
        <w:t>[OPEN DECISION: select exact methods in Huron and remove unused methods.]</w:t>
      </w:r>
    </w:p>
    <w:p>
      <w:r>
        <w:rPr>
          <w:rFonts w:ascii="Arial" w:hAnsi="Arial"/>
          <w:b w:val="0"/>
        </w:rPr>
        <w:t>Materials will disclose the in-person laboratory visit, mixed-reality headset, eye tracking, short voice recording and synthetic voice creation, estimated duration, basic eligibility, compensation if any, and researcher contact. Recruitment will not claim guaranteed benefit. The team will not recruit before approval and will not use unapproved social-media direct messaging.</w:t>
      </w:r>
    </w:p>
    <w:p>
      <w:r>
        <w:rPr>
          <w:rFonts w:ascii="Arial" w:hAnsi="Arial"/>
          <w:b w:val="0"/>
        </w:rPr>
        <w:t>Potential participants may contact the study team or open an approved screening form. Contact and screening records will be stored separately from research data. Recruitment will avoid undue influence from supervisory, employment, instructional, or grading relationships.</w:t>
      </w:r>
    </w:p>
    <w:p>
      <w:pPr>
        <w:pStyle w:val="Heading1"/>
      </w:pPr>
      <w:r>
        <w:rPr>
          <w:rFonts w:ascii="Arial" w:hAnsi="Arial"/>
          <w:b/>
        </w:rPr>
        <w:t>Consent Process</w:t>
      </w:r>
    </w:p>
    <w:p>
      <w:r>
        <w:rPr>
          <w:rFonts w:ascii="Arial" w:hAnsi="Arial"/>
          <w:b w:val="0"/>
        </w:rPr>
        <w:t>An IRB-approved adult consent form will be used. A trained study-team member will conduct consent in a private lab area before screening procedures that collect research information, voice recording, headset fitting, or data collection. The researcher will explain the study purpose, procedures, eye tracking, voice cloning, third-party processing, risks, compensation, confidentiality limits, voluntary nature, and withdrawal options. The participant will have time to read the form, ask questions, and decide without pressure.</w:t>
      </w:r>
    </w:p>
    <w:p>
      <w:r>
        <w:rPr>
          <w:rFonts w:ascii="Arial" w:hAnsi="Arial"/>
          <w:b w:val="0"/>
        </w:rPr>
        <w:t>The researcher will check comprehension with neutral questions about voluntariness, voice use, third-party upload, withdrawal, and whom to contact. Incorrect responses will be reviewed; the person will not enroll unless they demonstrate understanding and provide consent.</w:t>
      </w:r>
    </w:p>
    <w:p>
      <w:r>
        <w:rPr>
          <w:rFonts w:ascii="Arial" w:hAnsi="Arial"/>
          <w:b w:val="0"/>
        </w:rPr>
        <w:t xml:space="preserve">Electronic consent: </w:t>
      </w:r>
      <w:r>
        <w:rPr>
          <w:rFonts w:ascii="Arial" w:hAnsi="Arial"/>
          <w:b/>
          <w:color w:val="9C0006"/>
          <w:highlight w:val="yellow"/>
        </w:rPr>
        <w:t>[OPEN DECISION: paper signature versus UCF-approved electronic consent; if electronic, specify platform, identity verification, copy delivery, and signature workflow in Huron.]</w:t>
      </w:r>
    </w:p>
    <w:p>
      <w:r>
        <w:rPr>
          <w:rFonts w:ascii="Arial" w:hAnsi="Arial"/>
          <w:b w:val="0"/>
        </w:rPr>
        <w:t>Documentation of consent: A signed and dated consent will be obtained unless UCF grants a waiver of documentation. The participant will receive a copy. The research record will note the consent version, date/time, consenting team member, and whether voice-cloning authorization was provided. A separate voice-authorization initial line is included in the draft consent for clarity; UCF must approve its use.</w:t>
      </w:r>
    </w:p>
    <w:p>
      <w:r>
        <w:rPr>
          <w:rFonts w:ascii="Arial" w:hAnsi="Arial"/>
          <w:b w:val="0"/>
        </w:rPr>
        <w:t>Waiver/alteration of consent: None proposed.</w:t>
      </w:r>
    </w:p>
    <w:p>
      <w:r>
        <w:rPr>
          <w:rFonts w:ascii="Arial" w:hAnsi="Arial"/>
          <w:b w:val="0"/>
        </w:rPr>
        <w:t xml:space="preserve">Deception/incomplete disclosure: None proposed. Consent will fully disclose eye tracking, creation/use of the participant-derived voice, third-party processing, risks, and the fact that different assistance/voice configurations are compared. To reduce expectancy bias, condition labels, the live-gaze rule, and directional hypotheses will not be emphasized before outcome measurement; no false information will be provided. The post-participation information explains the comparison. </w:t>
      </w:r>
      <w:r>
        <w:rPr>
          <w:rFonts w:ascii="Arial" w:hAnsi="Arial"/>
          <w:b/>
          <w:color w:val="9C0006"/>
          <w:highlight w:val="yellow"/>
        </w:rPr>
        <w:t>[OPEN DECISION: UCF must confirm whether this neutral description constitutes ordinary hypothesis withholding or incomplete disclosure requiring HRP-509.]</w:t>
      </w:r>
    </w:p>
    <w:p>
      <w:r>
        <w:rPr>
          <w:rFonts w:ascii="Arial" w:hAnsi="Arial"/>
          <w:b w:val="0"/>
        </w:rPr>
        <w:t xml:space="preserve">Language: English only. </w:t>
      </w:r>
      <w:r>
        <w:rPr>
          <w:rFonts w:ascii="Arial" w:hAnsi="Arial"/>
          <w:b/>
          <w:color w:val="9C0006"/>
          <w:highlight w:val="yellow"/>
        </w:rPr>
        <w:t>[OPEN DECISION: justify scientifically and confirm with UCF; otherwise translate materials and add qualified language support.]</w:t>
      </w:r>
    </w:p>
    <w:p>
      <w:pPr>
        <w:pStyle w:val="Heading1"/>
      </w:pPr>
      <w:r>
        <w:rPr>
          <w:rFonts w:ascii="Arial" w:hAnsi="Arial"/>
          <w:b/>
        </w:rPr>
        <w:t>HIPAA (From medical records only. If data is not coming from medical records, check N/A and skip to the FERPA section)</w:t>
      </w:r>
    </w:p>
    <w:p>
      <w:r>
        <w:rPr>
          <w:rFonts w:ascii="Arial" w:hAnsi="Arial"/>
          <w:b w:val="0"/>
        </w:rPr>
        <w:t>N/A. The study does not access medical records, covered-entity records, or protected health information. Safety screening is collected directly from participants and is limited to present eligibility/safety needs.</w:t>
      </w:r>
    </w:p>
    <w:p>
      <w:pPr>
        <w:pStyle w:val="Heading1"/>
      </w:pPr>
      <w:r>
        <w:rPr>
          <w:rFonts w:ascii="Arial" w:hAnsi="Arial"/>
          <w:b/>
        </w:rPr>
        <w:t>FERPA (From educational records only. If data is not coming from educational records, check N/A and skip to the Study Procedures section)</w:t>
      </w:r>
    </w:p>
    <w:p>
      <w:r>
        <w:rPr>
          <w:rFonts w:ascii="Arial" w:hAnsi="Arial"/>
          <w:b w:val="0"/>
        </w:rPr>
        <w:t xml:space="preserve">N/A. The study does not access educational records. If a research-participation portal or course credit is used, participation/credit administration will be handled under the approved separation and alternative-assignment safeguards without importing grades or educational records into the research dataset. </w:t>
      </w:r>
      <w:r>
        <w:rPr>
          <w:rFonts w:ascii="Arial" w:hAnsi="Arial"/>
          <w:b/>
          <w:color w:val="9C0006"/>
          <w:highlight w:val="yellow"/>
        </w:rPr>
        <w:t>[OPEN DECISION: confirm recruitment/credit plan.]</w:t>
      </w:r>
    </w:p>
    <w:p>
      <w:pPr>
        <w:pStyle w:val="Heading1"/>
      </w:pPr>
      <w:r>
        <w:rPr>
          <w:rFonts w:ascii="Arial" w:hAnsi="Arial"/>
          <w:b/>
        </w:rPr>
        <w:t>Study Procedures (after the consent process)</w:t>
      </w:r>
    </w:p>
    <w:p>
      <w:r>
        <w:rPr>
          <w:rFonts w:ascii="Arial" w:hAnsi="Arial"/>
          <w:b/>
        </w:rPr>
        <w:t>Protocol proposal:</w:t>
      </w:r>
      <w:r>
        <w:rPr>
          <w:rFonts w:ascii="Arial" w:hAnsi="Arial"/>
          <w:b w:val="0"/>
        </w:rPr>
        <w:t xml:space="preserve"> The following numbered procedure is intended study behavior and is not participant-ready until every study-readiness gate and open decision in this protocol is resolved, implemented, verified with non-participant data, and approved by UCF.</w:t>
      </w:r>
    </w:p>
    <w:p>
      <w:pPr>
        <w:spacing w:after="40"/>
        <w:ind w:left="360" w:hanging="259"/>
      </w:pPr>
      <w:r>
        <w:rPr>
          <w:rFonts w:ascii="Arial" w:hAnsi="Arial"/>
          <w:b w:val="0"/>
        </w:rPr>
        <w:t>1. Confirm consent and assign the next sequential study ID, containing no name, initials, or contact information. Map the enrollment sequence to the frozen counterbalancing schedule.</w:t>
      </w:r>
    </w:p>
    <w:p>
      <w:pPr>
        <w:spacing w:after="40"/>
        <w:ind w:left="360" w:hanging="259"/>
      </w:pPr>
      <w:r>
        <w:rPr>
          <w:rFonts w:ascii="Arial" w:hAnsi="Arial"/>
          <w:b w:val="0"/>
        </w:rPr>
        <w:t>2. Complete eligibility and current-symptom screening. A person who is ineligible will not begin headset or voice procedures and will receive any compensation required by the approved plan, if compensation is offered.</w:t>
      </w:r>
    </w:p>
    <w:p>
      <w:pPr>
        <w:spacing w:after="40"/>
        <w:ind w:left="360" w:hanging="259"/>
      </w:pPr>
      <w:r>
        <w:rPr>
          <w:rFonts w:ascii="Arial" w:hAnsi="Arial"/>
          <w:b w:val="0"/>
        </w:rPr>
        <w:t>3. Record approximately 1–2 minutes of the participant reading the approved neutral script in a private room using an institution-managed encrypted workstation. The file name will contain only the study ID and session/run identifier. Automatic cloud backup/synchronization will be disabled for the temporary recording location.</w:t>
      </w:r>
    </w:p>
    <w:p>
      <w:pPr>
        <w:spacing w:after="40"/>
        <w:ind w:left="360" w:hanging="259"/>
      </w:pPr>
      <w:r>
        <w:rPr>
          <w:rFonts w:ascii="Arial" w:hAnsi="Arial"/>
          <w:b w:val="0"/>
        </w:rPr>
        <w:t>4. Upload the recording over an encrypted TLS connection to ElevenLabs IVC or the final institution-approved provider. Before collection, the research account will have model-improvement sharing disabled. The clone will use a non-identifying alias, will remain private, and will never be published or shared to a voice library. Provider access will be limited to designated staff using individual least-privilege accounts, multi-factor authentication when supported, and revocable credentials.</w:t>
      </w:r>
    </w:p>
    <w:p>
      <w:pPr>
        <w:spacing w:after="40"/>
        <w:ind w:left="360" w:hanging="259"/>
      </w:pPr>
      <w:r>
        <w:rPr>
          <w:rFonts w:ascii="Arial" w:hAnsi="Arial"/>
          <w:b w:val="0"/>
        </w:rPr>
        <w:t>5. On the approved staff-controlled workstation, generate only the pre-enumerated study prompt library needed for that participant and record each generation in the restricted provider/deletion log. Copy the prepared audio clips to the headset under the study ID. The headset release build will contain no provider credential, make no provider API call, and accept no free-form synthesis text. Provider interfaces will not be used to generate speech outside the approved prompt library.</w:t>
      </w:r>
    </w:p>
    <w:p>
      <w:pPr>
        <w:spacing w:after="40"/>
        <w:ind w:left="360" w:hanging="259"/>
      </w:pPr>
      <w:r>
        <w:rPr>
          <w:rFonts w:ascii="Arial" w:hAnsi="Arial"/>
          <w:b w:val="0"/>
        </w:rPr>
        <w:t>6. Fit and sanitize the HTC Vive Focus Vision, explain passthrough, adjust fit/vision correction, establish a clear play area, and perform manufacturer/system eye calibration. Before the visit, verify VIVE Room Setup and confirm in the release-build smoke test that the study table is detected as a usable horizontal placeable plane. Record plane check, calibration result, and retry count; abort startup if either required check fails.</w:t>
      </w:r>
    </w:p>
    <w:p>
      <w:pPr>
        <w:spacing w:after="40"/>
        <w:ind w:left="360" w:hanging="259"/>
      </w:pPr>
      <w:r>
        <w:rPr>
          <w:rFonts w:ascii="Arial" w:hAnsi="Arial"/>
          <w:b w:val="0"/>
        </w:rPr>
        <w:t>7. Complete standardized practice trials that are not analyzed with the main trials. Confirm that the participant can hear prompts and select objects using gaze dwell.</w:t>
      </w:r>
    </w:p>
    <w:p>
      <w:pPr>
        <w:spacing w:after="40"/>
        <w:ind w:left="360" w:hanging="259"/>
      </w:pPr>
      <w:r>
        <w:rPr>
          <w:rFonts w:ascii="Arial" w:hAnsi="Arial"/>
          <w:b w:val="0"/>
        </w:rPr>
        <w:t xml:space="preserve">8. Complete four experimental blocks representing gaze-contingent/generic voice, gaze-contingent/self-similar voice, gaze-unaware/generic voice, and gaze-unaware/self-similar voice. </w:t>
      </w:r>
      <w:r>
        <w:rPr>
          <w:rFonts w:ascii="Arial" w:hAnsi="Arial"/>
          <w:b/>
          <w:color w:val="9C0006"/>
          <w:highlight w:val="yellow"/>
        </w:rPr>
        <w:t>[OPEN DECISION: final trials per block; proposed four analyzed trials per block for 16 total.]</w:t>
      </w:r>
      <w:r>
        <w:rPr>
          <w:rFonts w:ascii="Arial" w:hAnsi="Arial"/>
          <w:b w:val="0"/>
        </w:rPr>
        <w:t xml:space="preserve"> A frozen balanced Latin-square schedule will map sequential study IDs to condition order; the mapping and deviations will be logged. Each trial will use a distinct deterministic target and object-position manifest, with no within-session layout repetition, and manifests will be balanced across conditions/sequences.</w:t>
      </w:r>
    </w:p>
    <w:p>
      <w:pPr>
        <w:spacing w:after="40"/>
        <w:ind w:left="360" w:hanging="259"/>
      </w:pPr>
      <w:r>
        <w:rPr>
          <w:rFonts w:ascii="Arial" w:hAnsi="Arial"/>
          <w:b w:val="0"/>
        </w:rPr>
        <w:t xml:space="preserve">9. In each trial, a fixation/transition display appears, the target is announced, and a 56-object deterministic search array appears. The participant finds one target among distractors and selects by maintaining gaze dwell for approximately 1.6 seconds. A “hint opportunity” is a pre-scheduled time at which one prompt should play; “hint exposure” is a prompt that actually completed playback. Opportunities, onset, interval, maximum count, duration range, and broad content class will be matched across assistance conditions, and actual exposures/failures will be logged. The gaze-contingent condition will select spatial/task hint content from the approved library using current gaze-object relations; the gaze-unaware condition will select a semantically matched approved hint without using current gaze. </w:t>
      </w:r>
      <w:r>
        <w:rPr>
          <w:rFonts w:ascii="Arial" w:hAnsi="Arial"/>
          <w:b/>
          <w:color w:val="9C0006"/>
          <w:highlight w:val="yellow"/>
        </w:rPr>
        <w:t>[OPEN DECISION: finalize the matching/yoking method and fixed prompt library before submission.]</w:t>
      </w:r>
    </w:p>
    <w:p>
      <w:pPr>
        <w:spacing w:after="40"/>
        <w:ind w:left="360" w:hanging="259"/>
      </w:pPr>
      <w:r>
        <w:rPr>
          <w:rFonts w:ascii="Arial" w:hAnsi="Arial"/>
          <w:b w:val="0"/>
        </w:rPr>
        <w:t>10. Offer a break after every block and any time requested. Stop immediately for concerning symptoms or participant request.</w:t>
      </w:r>
    </w:p>
    <w:p>
      <w:pPr>
        <w:spacing w:after="40"/>
        <w:ind w:left="360" w:hanging="259"/>
      </w:pPr>
      <w:r>
        <w:rPr>
          <w:rFonts w:ascii="Arial" w:hAnsi="Arial"/>
          <w:b w:val="0"/>
        </w:rPr>
        <w:t>11. Complete the six raw NASA-TLX subscales after each block without pairwise weighting, following Hart and Staveland (1988), and brief manipulation/comfort checks. Complete demographics, experience, comparative ratings, and open-ended questions once at the end unless collected earlier as specified.</w:t>
      </w:r>
    </w:p>
    <w:p>
      <w:pPr>
        <w:spacing w:after="40"/>
        <w:ind w:left="360" w:hanging="259"/>
      </w:pPr>
      <w:r>
        <w:rPr>
          <w:rFonts w:ascii="Arial" w:hAnsi="Arial"/>
          <w:b w:val="0"/>
        </w:rPr>
        <w:t>12. Remove the headset, complete a symptom check, explain the study, answer questions, provide compensation under the approved plan if offered, and provide contact information.</w:t>
      </w:r>
    </w:p>
    <w:p>
      <w:pPr>
        <w:spacing w:after="40"/>
        <w:ind w:left="360" w:hanging="259"/>
      </w:pPr>
      <w:r>
        <w:rPr>
          <w:rFonts w:ascii="Arial" w:hAnsi="Arial"/>
          <w:b w:val="0"/>
        </w:rPr>
        <w:t>13. Verify transfer of coded research logs to approved UCF storage; delete the local source recording, private clone, source sample, generated self-similar clips/history where possible, and device TTS cache under the approved deletion procedure. Record the result. Treat any failed deletion of an identifiable voice asset as an immediate privacy incident: disable/revoke access to the clone, retry and escalate to the provider, notify the PI, assess UCF reporting, and suspend further voice collection while material exposure remains unresolved.</w:t>
      </w:r>
    </w:p>
    <w:p>
      <w:r>
        <w:rPr>
          <w:rFonts w:ascii="Arial" w:hAnsi="Arial"/>
          <w:b w:val="0"/>
        </w:rPr>
        <w:t>Participants may pause or stop at any time. No procedure involves physical contact other than optional researcher assistance adjusting the headset after permission.</w:t>
      </w:r>
    </w:p>
    <w:p>
      <w:r>
        <w:rPr>
          <w:rFonts w:ascii="Arial" w:hAnsi="Arial"/>
          <w:b w:val="0"/>
        </w:rPr>
        <w:t>Long-term follow-up: N/A.</w:t>
      </w:r>
    </w:p>
    <w:p>
      <w:r>
        <w:rPr>
          <w:rFonts w:ascii="Arial" w:hAnsi="Arial"/>
          <w:b w:val="0"/>
        </w:rPr>
        <w:t xml:space="preserve">Recontacting participants: N/A, except to provide compensation if offered or respond to a participant request. </w:t>
      </w:r>
      <w:r>
        <w:rPr>
          <w:rFonts w:ascii="Arial" w:hAnsi="Arial"/>
          <w:b/>
          <w:color w:val="9C0006"/>
          <w:highlight w:val="yellow"/>
        </w:rPr>
        <w:t>[OPEN DECISION: confirm.]</w:t>
      </w:r>
    </w:p>
    <w:p>
      <w:pPr>
        <w:pStyle w:val="Heading1"/>
      </w:pPr>
      <w:r>
        <w:rPr>
          <w:rFonts w:ascii="Arial" w:hAnsi="Arial"/>
          <w:b/>
        </w:rPr>
        <w:t>Setting</w:t>
      </w:r>
    </w:p>
    <w:p>
      <w:r>
        <w:rPr>
          <w:rFonts w:ascii="Arial" w:hAnsi="Arial"/>
          <w:b w:val="0"/>
        </w:rPr>
        <w:t xml:space="preserve">The study will occur in </w:t>
      </w:r>
      <w:r>
        <w:rPr>
          <w:rFonts w:ascii="Arial" w:hAnsi="Arial"/>
          <w:b/>
          <w:color w:val="9C0006"/>
          <w:highlight w:val="yellow"/>
        </w:rPr>
        <w:t>[OPEN DECISION: UCF building, lab, and room]</w:t>
      </w:r>
      <w:r>
        <w:rPr>
          <w:rFonts w:ascii="Arial" w:hAnsi="Arial"/>
          <w:b w:val="0"/>
        </w:rPr>
        <w:t>. The room will have a stable table, defined clear area, chair or stationary stance as approved, institution-managed encrypted researcher workstation, sanitized headset, microphone, and secure network. VIVE Room Setup will define the study table, and staff will verify the table plane before each session. The door will be closed or access controlled during voice recording. A trained researcher will remain present.</w:t>
      </w:r>
    </w:p>
    <w:p>
      <w:r>
        <w:rPr>
          <w:rFonts w:ascii="Arial" w:hAnsi="Arial"/>
          <w:b w:val="0"/>
        </w:rPr>
        <w:t>The headset uses video-passthrough cameras to render the immediate environment locally. The current application does not save or transmit passthrough frames, room video, webcam video, or face video. Raw eye-camera images are not collected. Any future camera recording or image transfer requires prior IRB modification and updated consent.</w:t>
      </w:r>
    </w:p>
    <w:p>
      <w:r>
        <w:rPr>
          <w:rFonts w:ascii="Arial" w:hAnsi="Arial"/>
          <w:b w:val="0"/>
        </w:rPr>
        <w:t>Online procedures: N/A, except any approved pre-screening or scheduling form.</w:t>
      </w:r>
    </w:p>
    <w:p>
      <w:r>
        <w:rPr>
          <w:rFonts w:ascii="Arial" w:hAnsi="Arial"/>
          <w:b w:val="0"/>
        </w:rPr>
        <w:t>International/multi-site locations: N/A.</w:t>
      </w:r>
    </w:p>
    <w:p>
      <w:pPr>
        <w:pStyle w:val="Heading1"/>
      </w:pPr>
      <w:r>
        <w:rPr>
          <w:rFonts w:ascii="Arial" w:hAnsi="Arial"/>
          <w:b/>
        </w:rPr>
        <w:t>Study Timelines</w:t>
      </w:r>
    </w:p>
    <w:p>
      <w:r>
        <w:rPr>
          <w:rFonts w:ascii="Arial" w:hAnsi="Arial"/>
          <w:b w:val="0"/>
        </w:rPr>
        <w:t xml:space="preserve">Participant duration: </w:t>
      </w:r>
      <w:r>
        <w:rPr>
          <w:rFonts w:ascii="Arial" w:hAnsi="Arial"/>
          <w:b/>
          <w:color w:val="9C0006"/>
          <w:highlight w:val="yellow"/>
        </w:rPr>
        <w:t>[OPEN DECISION: proposed 75–90 minutes in one visit.]</w:t>
      </w:r>
    </w:p>
    <w:p>
      <w:r>
        <w:rPr>
          <w:rFonts w:ascii="Arial" w:hAnsi="Arial"/>
          <w:b w:val="0"/>
        </w:rPr>
        <w:t xml:space="preserve">Enrollment period: </w:t>
      </w:r>
      <w:r>
        <w:rPr>
          <w:rFonts w:ascii="Arial" w:hAnsi="Arial"/>
          <w:b/>
          <w:color w:val="9C0006"/>
          <w:highlight w:val="yellow"/>
        </w:rPr>
        <w:t>[OPEN DECISION.]</w:t>
      </w:r>
    </w:p>
    <w:p>
      <w:r>
        <w:rPr>
          <w:rFonts w:ascii="Arial" w:hAnsi="Arial"/>
          <w:b w:val="0"/>
        </w:rPr>
        <w:t xml:space="preserve">Analysis and study completion: </w:t>
      </w:r>
      <w:r>
        <w:rPr>
          <w:rFonts w:ascii="Arial" w:hAnsi="Arial"/>
          <w:b/>
          <w:color w:val="9C0006"/>
          <w:highlight w:val="yellow"/>
        </w:rPr>
        <w:t>[OPEN DECISION.]</w:t>
      </w:r>
    </w:p>
    <w:p>
      <w:r>
        <w:rPr>
          <w:rFonts w:ascii="Arial" w:hAnsi="Arial"/>
          <w:b w:val="0"/>
        </w:rPr>
        <w:t>No recruitment or research data collection will begin before written UCF approval. The study will close or seek continuing review/status updates as UCF requires.</w:t>
      </w:r>
    </w:p>
    <w:p>
      <w:pPr>
        <w:pStyle w:val="Heading1"/>
      </w:pPr>
      <w:r>
        <w:rPr>
          <w:rFonts w:ascii="Arial" w:hAnsi="Arial"/>
          <w:b/>
        </w:rPr>
        <w:t>Resources Available</w:t>
      </w:r>
    </w:p>
    <w:p>
      <w:r>
        <w:rPr>
          <w:rFonts w:ascii="Arial" w:hAnsi="Arial"/>
          <w:b w:val="0"/>
        </w:rPr>
        <w:t>Required resources include an eligible UCF PI, trained study staff, approved lab, HTC Vive Focus Vision with verified VIVE Room Setup, institution-managed encrypted staff workstation, compatible secure network, sanitized face interface, private microphone setup, UCF-approved encrypted archival storage, licensed/approved voice provider account, secure secrets management, data-transfer/deletion procedures, and time for consent and breaks.</w:t>
      </w:r>
    </w:p>
    <w:p>
      <w:r>
        <w:rPr>
          <w:rFonts w:ascii="Arial" w:hAnsi="Arial"/>
          <w:b w:val="0"/>
        </w:rPr>
        <w:t>All team members interacting with participants or identifiable data will be listed in Huron and complete required CITI training before beginning work. Staff will be trained on consent, headset safety, calibration, symptom response, data handling, deviations, adverse events, and vendor deletion.</w:t>
      </w:r>
    </w:p>
    <w:p>
      <w:r>
        <w:rPr>
          <w:rFonts w:ascii="Arial" w:hAnsi="Arial"/>
          <w:b/>
          <w:color w:val="9C0006"/>
          <w:highlight w:val="yellow"/>
        </w:rPr>
        <w:t>OPEN DECISION:</w:t>
      </w:r>
      <w:r>
        <w:rPr>
          <w:rFonts w:ascii="Arial" w:hAnsi="Arial"/>
          <w:b w:val="0"/>
        </w:rPr>
        <w:t xml:space="preserve"> Confirm whether information-security, privacy, purchasing/contracts, export-control, accessibility, or other ancillary review is required for the voice service and headset data path.</w:t>
      </w:r>
    </w:p>
    <w:p>
      <w:pPr>
        <w:pStyle w:val="Heading1"/>
      </w:pPr>
      <w:r>
        <w:rPr>
          <w:rFonts w:ascii="Arial" w:hAnsi="Arial"/>
          <w:b/>
        </w:rPr>
        <w:t>Potential Benefits to Subjects</w:t>
      </w:r>
    </w:p>
    <w:p>
      <w:r>
        <w:rPr>
          <w:rFonts w:ascii="Arial" w:hAnsi="Arial"/>
          <w:b w:val="0"/>
        </w:rPr>
        <w:t>Participants should not expect direct benefit. They may find the task interesting or learn generally about mixed-reality research. The research may contribute knowledge about adaptive assistance and voice similarity, but benefit to others is uncertain.</w:t>
      </w:r>
    </w:p>
    <w:p>
      <w:pPr>
        <w:pStyle w:val="Heading1"/>
      </w:pPr>
      <w:r>
        <w:rPr>
          <w:rFonts w:ascii="Arial" w:hAnsi="Arial"/>
          <w:b/>
        </w:rPr>
        <w:t>Risks to Subjects</w:t>
      </w:r>
    </w:p>
    <w:p>
      <w:r>
        <w:rPr>
          <w:rFonts w:ascii="Arial" w:hAnsi="Arial"/>
          <w:b w:val="0"/>
        </w:rPr>
        <w:t>Physical and sensory risks include temporary nausea, dizziness, disorientation, eyestrain, headache, fatigue, blurred vision, balance difficulty, or discomfort from headset fit. A rare seizure may be triggered in susceptible persons. Mitigations include screening, clear area, stable posture, fit adjustment, practice, frequent breaks, researcher monitoring, immediate stopping, headset removal, seated recovery, and emergency response when needed.</w:t>
      </w:r>
    </w:p>
    <w:p>
      <w:r>
        <w:rPr>
          <w:rFonts w:ascii="Arial" w:hAnsi="Arial"/>
          <w:b w:val="0"/>
        </w:rPr>
        <w:t>Privacy/confidentiality risks include unauthorized access to contact information, gaze and performance data, or identifiable voice assets. A voice recording or clone may identify the speaker. A synthetic clone can produce speech the participant never recorded, creating an impersonation or misuse concern. Mitigations include explicit authorization, a fixed neutral script, private recording, study IDs, separate linkage, encrypted approved storage, least-privilege access, no public sharing, no Voice Library publication, model-improvement opt-out, restricted prompt set, and documented deletion.</w:t>
      </w:r>
    </w:p>
    <w:p>
      <w:r>
        <w:rPr>
          <w:rFonts w:ascii="Arial" w:hAnsi="Arial"/>
          <w:b w:val="0"/>
        </w:rPr>
        <w:t>Third-party risk: The approved voice provider will receive source audio and study-authored prompt text and will create/process voice data. Provider systems and policy may not permit the team to guarantee immediate removal from every backup, security, or legal-retention system. ElevenLabs currently states that some user data may be used to improve models unless opted out and that generated voice data may be retained for up to three years after the last interaction, subject to deletion requests and policy exceptions. No participant audio will be uploaded until UCF approves the provider and the final consent accurately states the tested deletion limits.</w:t>
      </w:r>
    </w:p>
    <w:p>
      <w:r>
        <w:rPr>
          <w:rFonts w:ascii="Arial" w:hAnsi="Arial"/>
          <w:b w:val="0"/>
        </w:rPr>
        <w:t>Psychological/social risks include discomfort, self-consciousness, or an uncanny feeling when hearing a self-similar synthetic voice; frustration with incorrect or delayed hints; and concern about being evaluated. The system is not a diagnostic test, individual scores will not be shared with instructors/employers, participants may pause/stop, and staff will use nonjudgmental language.</w:t>
      </w:r>
    </w:p>
    <w:p>
      <w:r>
        <w:rPr>
          <w:rFonts w:ascii="Arial" w:hAnsi="Arial"/>
          <w:b w:val="0"/>
        </w:rPr>
        <w:t>Unforeseeable risks are possible because mixed-reality and voice-cloning systems evolve. New material risks or vendor changes will be submitted as a modification before use.</w:t>
      </w:r>
    </w:p>
    <w:p>
      <w:r>
        <w:rPr>
          <w:rFonts w:ascii="Arial" w:hAnsi="Arial"/>
          <w:b w:val="0"/>
        </w:rPr>
        <w:t>Pregnancy risks: No pregnancy-specific risk is known beyond ordinary headset discomfort; pregnancy is not an exclusion in this draft. UCF must confirm.</w:t>
      </w:r>
    </w:p>
    <w:p>
      <w:r>
        <w:rPr>
          <w:rFonts w:ascii="Arial" w:hAnsi="Arial"/>
          <w:b w:val="0"/>
        </w:rPr>
        <w:t>Risks to others: A cloned voice could be misused if accessed. The restricted prompt set, access controls, no sharing, and deletion procedure mitigate this risk.</w:t>
      </w:r>
    </w:p>
    <w:p>
      <w:r>
        <w:rPr>
          <w:rFonts w:ascii="Arial" w:hAnsi="Arial"/>
          <w:b w:val="0"/>
        </w:rPr>
        <w:t>Minimal-risk analysis: The team expects temporary headset symptoms to be comparable in probability and magnitude to ordinary use of a consumer mixed-reality headset with the listed screening and stop controls. The identifiable voice upload, synthetic-voice impersonation potential, and residual provider retention are less routine and are the load-bearing uncertainty in the proposed minimal-risk classification. The team will provide UCF with the final provider controls, deletion test, retention terms, and restricted-prompt workflow so UCF can compare the probability and magnitude of harm with the regulatory ordinary-life/routine-examination baseline. If UCF determines the study exceeds minimal risk, the protocol and consent will be revised to include the required injury, monitoring, and review provisions before enrollment.</w:t>
      </w:r>
    </w:p>
    <w:p>
      <w:pPr>
        <w:pStyle w:val="Heading1"/>
      </w:pPr>
      <w:r>
        <w:rPr>
          <w:rFonts w:ascii="Arial" w:hAnsi="Arial"/>
          <w:b/>
        </w:rPr>
        <w:t>Compensation for Research-Related Injury (for more than minimal risk studies only—if this is a minimal risk study, check N/A and skip to the Withdrawal of Subjects section)</w:t>
      </w:r>
    </w:p>
    <w:p>
      <w:r>
        <w:rPr>
          <w:rFonts w:ascii="Arial" w:hAnsi="Arial"/>
          <w:b w:val="0"/>
        </w:rPr>
        <w:t xml:space="preserve">N/A is proposed because the study is expected to be minimal risk. </w:t>
      </w:r>
      <w:r>
        <w:rPr>
          <w:rFonts w:ascii="Arial" w:hAnsi="Arial"/>
          <w:b/>
        </w:rPr>
        <w:t>[UCF must confirm the risk level and whether specific injury/cost language is required in the protocol and consent.]</w:t>
      </w:r>
      <w:r>
        <w:rPr>
          <w:rFonts w:ascii="Arial" w:hAnsi="Arial"/>
          <w:b w:val="0"/>
        </w:rPr>
        <w:t xml:space="preserve"> Staff will follow emergency procedures and document/report research-related problems as required.</w:t>
      </w:r>
    </w:p>
    <w:p>
      <w:pPr>
        <w:pStyle w:val="Heading1"/>
      </w:pPr>
      <w:r>
        <w:rPr>
          <w:rFonts w:ascii="Arial" w:hAnsi="Arial"/>
          <w:b/>
        </w:rPr>
        <w:t>Withdrawal of Subjects</w:t>
      </w:r>
    </w:p>
    <w:p>
      <w:r>
        <w:rPr>
          <w:rFonts w:ascii="Arial" w:hAnsi="Arial"/>
          <w:b w:val="0"/>
        </w:rPr>
        <w:t>Participants may decline any nonessential question, request a break, or withdraw at any time without penalty. Because voice recording/cloning and eye tracking are core procedures, a person who declines either before starting cannot participate in the main experiment but will not be penalized.</w:t>
      </w:r>
    </w:p>
    <w:p>
      <w:r>
        <w:rPr>
          <w:rFonts w:ascii="Arial" w:hAnsi="Arial"/>
          <w:b w:val="0"/>
        </w:rPr>
        <w:t>The researcher may stop participation for concerning symptoms, inability to safely use the headset, repeated calibration failure, Room Setup/plane failure, equipment/vendor failure, protocol noncompliance that creates risk, or study suspension. If compensation is offered, stopping for safety will not reduce compensation already earned under the approved prorating plan.</w:t>
      </w:r>
    </w:p>
    <w:p>
      <w:r>
        <w:rPr>
          <w:rFonts w:ascii="Arial" w:hAnsi="Arial"/>
          <w:b w:val="0"/>
        </w:rPr>
        <w:t>On withdrawal, no new data will be collected. The participant may request deletion of identifiable source voice assets and the linkage key to the extent they remain under team control. Data already de-identified or included in aggregate analysis may not be retrievable. The consent will accurately state these limits.</w:t>
      </w:r>
    </w:p>
    <w:p>
      <w:pPr>
        <w:pStyle w:val="Heading1"/>
      </w:pPr>
      <w:r>
        <w:rPr>
          <w:rFonts w:ascii="Arial" w:hAnsi="Arial"/>
          <w:b/>
        </w:rPr>
        <w:t>Economic Burden to Subjects (If there are no economic burdens to subjects, check N/A and skip to the Compensation section)</w:t>
      </w:r>
    </w:p>
    <w:p>
      <w:r>
        <w:rPr>
          <w:rFonts w:ascii="Arial" w:hAnsi="Arial"/>
          <w:b w:val="0"/>
        </w:rPr>
        <w:t xml:space="preserve">No study fee is proposed. Participants may incur ordinary travel, parking, and time costs. </w:t>
      </w:r>
      <w:r>
        <w:rPr>
          <w:rFonts w:ascii="Arial" w:hAnsi="Arial"/>
          <w:b/>
          <w:color w:val="9C0006"/>
          <w:highlight w:val="yellow"/>
        </w:rPr>
        <w:t>[OPEN DECISION: confirm whether parking reimbursement or any participant-purchased equipment/data is involved.]</w:t>
      </w:r>
    </w:p>
    <w:p>
      <w:pPr>
        <w:pStyle w:val="Heading1"/>
      </w:pPr>
      <w:r>
        <w:rPr>
          <w:rFonts w:ascii="Arial" w:hAnsi="Arial"/>
          <w:b/>
        </w:rPr>
        <w:t>Compensation</w:t>
      </w:r>
    </w:p>
    <w:p>
      <w:r>
        <w:rPr>
          <w:rFonts w:ascii="Arial" w:hAnsi="Arial"/>
          <w:b w:val="0"/>
        </w:rPr>
        <w:t xml:space="preserve">Are participants compensated? </w:t>
      </w:r>
      <w:r>
        <w:rPr>
          <w:rFonts w:ascii="Arial" w:hAnsi="Arial"/>
          <w:b/>
          <w:color w:val="9C0006"/>
          <w:highlight w:val="yellow"/>
        </w:rPr>
        <w:t>[OPEN DECISION: yes/no.]</w:t>
      </w:r>
    </w:p>
    <w:p>
      <w:r>
        <w:rPr>
          <w:rFonts w:ascii="Arial" w:hAnsi="Arial"/>
          <w:b w:val="0"/>
        </w:rPr>
        <w:t>If yes, specify amount, form (cash/check/gift card/course credit), funding source, payment records, timing, prorating, no-show policy, and withdrawal payment. Compensation will not depend on task performance, correct responses, eye-tracking quality, voice-clone quality, or analyzability. If course credit is offered, an equivalent nonresearch alternative will be available.</w:t>
      </w:r>
    </w:p>
    <w:p>
      <w:pPr>
        <w:pStyle w:val="Heading1"/>
      </w:pPr>
      <w:r>
        <w:rPr>
          <w:rFonts w:ascii="Arial" w:hAnsi="Arial"/>
          <w:b/>
        </w:rPr>
        <w:t>Data Validity</w:t>
      </w:r>
    </w:p>
    <w:p>
      <w:r>
        <w:rPr>
          <w:rFonts w:ascii="Arial" w:hAnsi="Arial"/>
          <w:b w:val="0"/>
        </w:rPr>
        <w:t>The team will use a frozen build/configuration, nonrepeating deterministic stimulus manifests balanced across sequences, a balanced condition schedule, practice trials, calibration checks, session checklist, event logs, and automated file validation. Researcher notes will document deviations and technical failures. Each generic/self-similar prompt pair will be matched or normalized for wording, duration range, loudness, intelligibility, and delivery settings; technical quality-control results will be recorded. Provider product/model/version and synthesis settings will be recorded for every generated library. A provider/model or material quality drift will pause collection pending PI review and, when required, an IRB modification.</w:t>
      </w:r>
    </w:p>
    <w:p>
      <w:r>
        <w:rPr>
          <w:rFonts w:ascii="Arial" w:hAnsi="Arial"/>
          <w:b w:val="0"/>
        </w:rPr>
        <w:t xml:space="preserve">Before analysis, the PI will approve objective exclusion rules. Pre-assignment eligibility/calibration failures will be distinguished from post-assignment tracking failures. Proposed reason codes include: consent withdrawn; ineligible; calibration failure after specified retries; Room Setup/plane failure; post-assignment tracking availability below </w:t>
      </w:r>
      <w:r>
        <w:rPr>
          <w:rFonts w:ascii="Arial" w:hAnsi="Arial"/>
          <w:b/>
          <w:color w:val="9C0006"/>
          <w:highlight w:val="yellow"/>
        </w:rPr>
        <w:t>[OPEN DECISION threshold]</w:t>
      </w:r>
      <w:r>
        <w:rPr>
          <w:rFonts w:ascii="Arial" w:hAnsi="Arial"/>
          <w:b w:val="0"/>
        </w:rPr>
        <w:t xml:space="preserve">; missing search-onset or response event; corrupted/incomplete file; incorrect build/configuration; major interruption; and noncompletion. A wrong selection does not exclude a trial: primary search time continues from display onset through the eventual correct capture, and wrong selections are analyzed as a secondary count/outcome. The primary assignment-policy analysis will retain assigned participants/trials to the extent an outcome is observable; per-protocol and missing-data sensitivity analyses will assess tracking-dependent failures. Outlier handling and minimum valid-trial requirements are </w:t>
      </w:r>
      <w:r>
        <w:rPr>
          <w:rFonts w:ascii="Arial" w:hAnsi="Arial"/>
          <w:b/>
          <w:color w:val="9C0006"/>
          <w:highlight w:val="yellow"/>
        </w:rPr>
        <w:t>[OPEN DECISION]</w:t>
      </w:r>
      <w:r>
        <w:rPr>
          <w:rFonts w:ascii="Arial" w:hAnsi="Arial"/>
          <w:b w:val="0"/>
        </w:rPr>
        <w:t>. Exclusions will not be based on condition results, manipulation-check ratings, or voice similarity and will not affect compensation, if offered.</w:t>
      </w:r>
    </w:p>
    <w:p>
      <w:r>
        <w:rPr>
          <w:rFonts w:ascii="Arial" w:hAnsi="Arial"/>
          <w:b w:val="0"/>
        </w:rPr>
        <w:t>Participant disposition will report screened, enrolled, started, completed, withdrawn, excluded by reason, and analyzed. Coded raw task, telemetry, and questionnaire files will be retained under the approved policy so exclusions are auditable; identifiable voice assets follow their separate approved deletion schedule.</w:t>
      </w:r>
    </w:p>
    <w:p>
      <w:pPr>
        <w:pStyle w:val="Heading1"/>
      </w:pPr>
      <w:r>
        <w:rPr>
          <w:rFonts w:ascii="Arial" w:hAnsi="Arial"/>
          <w:b/>
        </w:rPr>
        <w:t>Sharing Results with Subjects</w:t>
      </w:r>
    </w:p>
    <w:p>
      <w:r>
        <w:rPr>
          <w:rFonts w:ascii="Arial" w:hAnsi="Arial"/>
          <w:b w:val="0"/>
        </w:rPr>
        <w:t xml:space="preserve">Individual performance or eye-tracking results will not be returned because they are research measures, not diagnostic assessments. Participants may request a plain-language aggregate summary after the study by contacting the team. </w:t>
      </w:r>
      <w:r>
        <w:rPr>
          <w:rFonts w:ascii="Arial" w:hAnsi="Arial"/>
          <w:b/>
          <w:color w:val="9C0006"/>
          <w:highlight w:val="yellow"/>
        </w:rPr>
        <w:t>[OPEN DECISION: whether/how summaries will be offered without retaining an unnecessary contact list.]</w:t>
      </w:r>
    </w:p>
    <w:p>
      <w:pPr>
        <w:pStyle w:val="Heading1"/>
      </w:pPr>
      <w:r>
        <w:rPr>
          <w:rFonts w:ascii="Arial" w:hAnsi="Arial"/>
          <w:b/>
        </w:rPr>
        <w:t>Data Management and Confidentiality</w:t>
      </w:r>
    </w:p>
    <w:p>
      <w:r>
        <w:rPr>
          <w:rFonts w:ascii="Arial" w:hAnsi="Arial"/>
          <w:b w:val="0"/>
        </w:rPr>
        <w:t>Identifiable data access/collection:</w:t>
      </w:r>
    </w:p>
    <w:p>
      <w:pPr>
        <w:spacing w:after="40"/>
        <w:ind w:left="360" w:hanging="259"/>
      </w:pPr>
      <w:r>
        <w:rPr>
          <w:rFonts w:ascii="Arial" w:hAnsi="Arial"/>
          <w:b w:val="0"/>
        </w:rPr>
        <w:t>• Contact/scheduling information: yes, if a participant contacts the team.</w:t>
      </w:r>
    </w:p>
    <w:p>
      <w:pPr>
        <w:spacing w:after="40"/>
        <w:ind w:left="360" w:hanging="259"/>
      </w:pPr>
      <w:r>
        <w:rPr>
          <w:rFonts w:ascii="Arial" w:hAnsi="Arial"/>
          <w:b w:val="0"/>
        </w:rPr>
        <w:t>• Signed consent and compensation records: yes.</w:t>
      </w:r>
    </w:p>
    <w:p>
      <w:pPr>
        <w:spacing w:after="40"/>
        <w:ind w:left="360" w:hanging="259"/>
      </w:pPr>
      <w:r>
        <w:rPr>
          <w:rFonts w:ascii="Arial" w:hAnsi="Arial"/>
          <w:b w:val="0"/>
        </w:rPr>
        <w:t>• Voice recording: yes.</w:t>
      </w:r>
    </w:p>
    <w:p>
      <w:pPr>
        <w:spacing w:after="40"/>
        <w:ind w:left="360" w:hanging="259"/>
      </w:pPr>
      <w:r>
        <w:rPr>
          <w:rFonts w:ascii="Arial" w:hAnsi="Arial"/>
          <w:b w:val="0"/>
        </w:rPr>
        <w:t>• Voice data/private clone and self-similar synthesized speech: yes; potentially identifiable.</w:t>
      </w:r>
    </w:p>
    <w:p>
      <w:pPr>
        <w:spacing w:after="40"/>
        <w:ind w:left="360" w:hanging="259"/>
      </w:pPr>
      <w:r>
        <w:rPr>
          <w:rFonts w:ascii="Arial" w:hAnsi="Arial"/>
          <w:b w:val="0"/>
        </w:rPr>
        <w:t>• Eye tracking, interaction telemetry, performance, questionnaires, and limited demographics: coded with a study ID.</w:t>
      </w:r>
    </w:p>
    <w:p>
      <w:pPr>
        <w:spacing w:after="40"/>
        <w:ind w:left="360" w:hanging="259"/>
      </w:pPr>
      <w:r>
        <w:rPr>
          <w:rFonts w:ascii="Arial" w:hAnsi="Arial"/>
          <w:b w:val="0"/>
        </w:rPr>
        <w:t>• Video/face/room recording: no.</w:t>
      </w:r>
    </w:p>
    <w:p>
      <w:pPr>
        <w:spacing w:after="40"/>
        <w:ind w:left="360" w:hanging="259"/>
      </w:pPr>
      <w:r>
        <w:rPr>
          <w:rFonts w:ascii="Arial" w:hAnsi="Arial"/>
          <w:b w:val="0"/>
        </w:rPr>
        <w:t>• Protected health information or medical records: no.</w:t>
      </w:r>
    </w:p>
    <w:p>
      <w:pPr>
        <w:spacing w:after="40"/>
        <w:ind w:left="360" w:hanging="259"/>
      </w:pPr>
      <w:r>
        <w:rPr>
          <w:rFonts w:ascii="Arial" w:hAnsi="Arial"/>
          <w:b w:val="0"/>
        </w:rPr>
        <w:t>• Biospecimens: no.</w:t>
      </w:r>
    </w:p>
    <w:p>
      <w:r>
        <w:rPr>
          <w:rFonts w:ascii="Arial" w:hAnsi="Arial"/>
          <w:b w:val="0"/>
        </w:rPr>
        <w:t>Data flow:</w:t>
      </w:r>
    </w:p>
    <w:p>
      <w:pPr>
        <w:spacing w:after="40"/>
        <w:ind w:left="360" w:hanging="259"/>
      </w:pPr>
      <w:r>
        <w:rPr>
          <w:rFonts w:ascii="Arial" w:hAnsi="Arial"/>
          <w:b w:val="0"/>
        </w:rPr>
        <w:t>1. Contact/screening and consent records are stored separately from research data.</w:t>
      </w:r>
    </w:p>
    <w:p>
      <w:pPr>
        <w:spacing w:after="40"/>
        <w:ind w:left="360" w:hanging="259"/>
      </w:pPr>
      <w:r>
        <w:rPr>
          <w:rFonts w:ascii="Arial" w:hAnsi="Arial"/>
          <w:b w:val="0"/>
        </w:rPr>
        <w:t xml:space="preserve">2. A study ID is assigned. The identity-to-ID key is encrypted and restricted to </w:t>
      </w:r>
      <w:r>
        <w:rPr>
          <w:rFonts w:ascii="Arial" w:hAnsi="Arial"/>
          <w:b/>
          <w:color w:val="9C0006"/>
          <w:highlight w:val="yellow"/>
        </w:rPr>
        <w:t>[OPEN DECISION: roles]</w:t>
      </w:r>
      <w:r>
        <w:rPr>
          <w:rFonts w:ascii="Arial" w:hAnsi="Arial"/>
          <w:b w:val="0"/>
        </w:rPr>
        <w:t>.</w:t>
      </w:r>
    </w:p>
    <w:p>
      <w:pPr>
        <w:spacing w:after="40"/>
        <w:ind w:left="360" w:hanging="259"/>
      </w:pPr>
      <w:r>
        <w:rPr>
          <w:rFonts w:ascii="Arial" w:hAnsi="Arial"/>
          <w:b w:val="0"/>
        </w:rPr>
        <w:t>3. The source voice file is recorded on an institution-managed encrypted workstation using only the study ID, uploaded over encrypted TLS to the approved IVC account, and used to create a private clone and fixed study prompts. The temporary folder will not synchronize to consumer/cloud backup.</w:t>
      </w:r>
    </w:p>
    <w:p>
      <w:pPr>
        <w:spacing w:after="40"/>
        <w:ind w:left="360" w:hanging="259"/>
      </w:pPr>
      <w:r>
        <w:rPr>
          <w:rFonts w:ascii="Arial" w:hAnsi="Arial"/>
          <w:b w:val="0"/>
        </w:rPr>
        <w:t>4. Prepared speech clips are copied to the headset without provider credentials. The headset writes gaze and trial files to `Application.persistentDataPath/GazeData` in participant/run folders. Generated/prepared TTS clips may be cached locally. The headset and workstation are institution-managed, encrypted or protected by an institution-approved equivalent control, access-restricted, and not configured to back up study folders automatically. These device locations are temporary working storage, not the archival repository.</w:t>
      </w:r>
    </w:p>
    <w:p>
      <w:pPr>
        <w:spacing w:after="40"/>
        <w:ind w:left="360" w:hanging="259"/>
      </w:pPr>
      <w:r>
        <w:rPr>
          <w:rFonts w:ascii="Arial" w:hAnsi="Arial"/>
          <w:b w:val="0"/>
        </w:rPr>
        <w:t xml:space="preserve">5. After the session, coded logs/questionnaires are transferred to </w:t>
      </w:r>
      <w:r>
        <w:rPr>
          <w:rFonts w:ascii="Arial" w:hAnsi="Arial"/>
          <w:b/>
          <w:color w:val="9C0006"/>
          <w:highlight w:val="yellow"/>
        </w:rPr>
        <w:t>[OPEN DECISION: approved UCF encrypted storage]</w:t>
      </w:r>
      <w:r>
        <w:rPr>
          <w:rFonts w:ascii="Arial" w:hAnsi="Arial"/>
          <w:b w:val="0"/>
        </w:rPr>
        <w:t>, checked for completeness/checksum, and removed from the headset after verified transfer.</w:t>
      </w:r>
    </w:p>
    <w:p>
      <w:pPr>
        <w:spacing w:after="40"/>
        <w:ind w:left="360" w:hanging="259"/>
      </w:pPr>
      <w:r>
        <w:rPr>
          <w:rFonts w:ascii="Arial" w:hAnsi="Arial"/>
          <w:b w:val="0"/>
        </w:rPr>
        <w:t xml:space="preserve">6. Source recording, provider sample/clone/history, self-similar generated clips, and device cache are deleted on the approved schedule, with operator/date/result recorded. A failed deletion triggers immediate access containment, PI escalation, UCF reportability assessment, and a pause on further voice collection while exposure remains unresolved. </w:t>
      </w:r>
      <w:r>
        <w:rPr>
          <w:rFonts w:ascii="Arial" w:hAnsi="Arial"/>
          <w:b/>
          <w:color w:val="9C0006"/>
          <w:highlight w:val="yellow"/>
        </w:rPr>
        <w:t>[OPEN DECISION: final timing and vendor residual-retention language.]</w:t>
      </w:r>
    </w:p>
    <w:p>
      <w:r>
        <w:rPr>
          <w:rFonts w:ascii="Arial" w:hAnsi="Arial"/>
          <w:b w:val="0"/>
        </w:rPr>
        <w:t>Access will be limited by role. Consent/payment records and the linkage key will not be stored with gaze/questionnaire data. Filenames, provider voice names, application logs, and CSV files will not contain names, emails, or initials. Provider credentials will be stored only on the approved staff workflow in an institution-approved secrets mechanism, rotated/revoked on suspected exposure or staff change, and never embedded in the headset release build or study datasets.</w:t>
      </w:r>
    </w:p>
    <w:p>
      <w:r>
        <w:rPr>
          <w:rFonts w:ascii="Arial" w:hAnsi="Arial"/>
          <w:b w:val="0"/>
        </w:rPr>
        <w:t xml:space="preserve">Retention: Coded research data, approved protocol/materials, consent records, audit logs, and analysis code will be retained for at least </w:t>
      </w:r>
      <w:r>
        <w:rPr>
          <w:rFonts w:ascii="Arial" w:hAnsi="Arial"/>
          <w:b/>
          <w:color w:val="9C0006"/>
          <w:highlight w:val="yellow"/>
        </w:rPr>
        <w:t>[OPEN DECISION: UCF-required period; working proposal is five years after study closure or publication, whichever UCF requires]</w:t>
      </w:r>
      <w:r>
        <w:rPr>
          <w:rFonts w:ascii="Arial" w:hAnsi="Arial"/>
          <w:b w:val="0"/>
        </w:rPr>
        <w:t>. The PI will ask UCF whether identifiable voice assets may/should be deleted earlier after derived measures and audit fields are secured. The consent will match the approved schedule.</w:t>
      </w:r>
    </w:p>
    <w:p>
      <w:r>
        <w:rPr>
          <w:rFonts w:ascii="Arial" w:hAnsi="Arial"/>
          <w:b w:val="0"/>
        </w:rPr>
        <w:t xml:space="preserve">Data sharing: De-identified aggregate results and possibly a de-identified coded dataset may be published. Raw voice recordings, clone identifiers, generated self-similar clips, identity key, contact information, consent/payment records, and precise raw data that UCF determines could reasonably identify a person will not be publicly shared. </w:t>
      </w:r>
      <w:r>
        <w:rPr>
          <w:rFonts w:ascii="Arial" w:hAnsi="Arial"/>
          <w:b/>
          <w:color w:val="9C0006"/>
          <w:highlight w:val="yellow"/>
        </w:rPr>
        <w:t>[OPEN DECISION: repository and data-sharing plan.]</w:t>
      </w:r>
    </w:p>
    <w:p>
      <w:r>
        <w:rPr>
          <w:rFonts w:ascii="Arial" w:hAnsi="Arial"/>
          <w:b w:val="0"/>
        </w:rPr>
        <w:t xml:space="preserve">No Certificate of Confidentiality is currently proposed. </w:t>
      </w:r>
      <w:r>
        <w:rPr>
          <w:rFonts w:ascii="Arial" w:hAnsi="Arial"/>
          <w:b/>
        </w:rPr>
        <w:t>[UCF must confirm eligibility/need.]</w:t>
      </w:r>
    </w:p>
    <w:p>
      <w:pPr>
        <w:pStyle w:val="Heading1"/>
      </w:pPr>
      <w:r>
        <w:rPr>
          <w:rFonts w:ascii="Arial" w:hAnsi="Arial"/>
          <w:b/>
        </w:rPr>
        <w:t>Long-Term Data and/or Specimen Banking (If there are no plans for long-term data and/or specimen banking, check N/A and skip to the Data Analysis Plan section)</w:t>
      </w:r>
    </w:p>
    <w:p>
      <w:r>
        <w:rPr>
          <w:rFonts w:ascii="Arial" w:hAnsi="Arial"/>
          <w:b w:val="0"/>
        </w:rPr>
        <w:t>N/A. The study does not collect specimens and does not propose a repository for future unspecified research. Retention of coded research records for reproducibility and UCF recordkeeping is described above and is not permission to reuse identifiable voice assets in another study.</w:t>
      </w:r>
    </w:p>
    <w:p>
      <w:pPr>
        <w:pStyle w:val="Heading1"/>
      </w:pPr>
      <w:r>
        <w:rPr>
          <w:rFonts w:ascii="Arial" w:hAnsi="Arial"/>
          <w:b/>
        </w:rPr>
        <w:t>Data Analysis Plan</w:t>
      </w:r>
    </w:p>
    <w:p>
      <w:r>
        <w:rPr>
          <w:rFonts w:ascii="Arial" w:hAnsi="Arial"/>
          <w:b w:val="0"/>
        </w:rPr>
        <w:t xml:space="preserve">The primary analysis will compare search time across the 2 × 2 within-participant conditions using a pre-specified repeated-measures model with participant effects and appropriate trial/block/order/prior-condition covariates. Search time will be derived from explicit search-display onset through correct capture, including time spent on any preceding wrong selections in that trial. The estimand is assignment to the complete hinting policy, not receipt of any individual hint. Pre-study technical/pilot testing with non-participant data will evaluate learning, fatigue, and voice carryover and set a stopping/revision rule if pooled within-participant main effects are not interpretable. The primary contrast, distribution/link, transformations, multiplicity correction, covariates, and sensitivity analyses are </w:t>
      </w:r>
      <w:r>
        <w:rPr>
          <w:rFonts w:ascii="Arial" w:hAnsi="Arial"/>
          <w:b/>
          <w:color w:val="9C0006"/>
          <w:highlight w:val="yellow"/>
        </w:rPr>
        <w:t>[OPEN DECISION]</w:t>
      </w:r>
      <w:r>
        <w:rPr>
          <w:rFonts w:ascii="Arial" w:hAnsi="Arial"/>
          <w:b w:val="0"/>
        </w:rPr>
        <w:t>.</w:t>
      </w:r>
    </w:p>
    <w:p>
      <w:r>
        <w:rPr>
          <w:rFonts w:ascii="Arial" w:hAnsi="Arial"/>
          <w:b w:val="0"/>
        </w:rPr>
        <w:t>Secondary analyses will examine errors, raw NASA-TLX, manipulation checks, trust/helpfulness/comfort, hint opportunity and exposure, gaze availability, and gaze-hover/dwell proxies. Models will include counterbalancing sequence/order/prior condition and will distinguish confirmatory from exploratory analyses. Missingness and exclusions will be summarized by condition. Voice-similarity checks will establish whether participants perceived the intended manipulation and support sensitivity/interpretive analyses; they will not be used as post-assignment exclusion criteria. Because participants can recognize the self-similar voice, voice-condition blinding is not possible; demand characteristics are an interpretive limitation. The design supports relative claims about gaze-contingent versus gaze-unaware hinting policies, not claims that either is better than no assistance. The analysis will not relabel XRI hover/dwell proxies as validated fixation or saccade measures.</w:t>
      </w:r>
    </w:p>
    <w:p>
      <w:r>
        <w:rPr>
          <w:rFonts w:ascii="Arial" w:hAnsi="Arial"/>
          <w:b w:val="0"/>
        </w:rPr>
        <w:t>A power or precision analysis using the primary outcome and design will determine enrollment before submission. The plan and code will be timestamped before condition-effect analysis.</w:t>
      </w:r>
    </w:p>
    <w:p>
      <w:pPr>
        <w:pStyle w:val="Heading1"/>
      </w:pPr>
      <w:r>
        <w:rPr>
          <w:rFonts w:ascii="Arial" w:hAnsi="Arial"/>
          <w:b/>
        </w:rPr>
        <w:t>Provisions to Monitor the Data to Ensure the Safety of Subjects (for more than minimal risk studies only—if this is a minimal risk study, check N/A and skip to the Provisions to Protect the Privacy Interests of Subjects section)</w:t>
      </w:r>
    </w:p>
    <w:p>
      <w:r>
        <w:rPr>
          <w:rFonts w:ascii="Arial" w:hAnsi="Arial"/>
          <w:b w:val="0"/>
        </w:rPr>
        <w:t xml:space="preserve">N/A is proposed because the study is expected to be minimal risk and no independent data-safety monitoring board is proposed. Session staff will nevertheless monitor symptoms and technical/privacy incidents in real time; the PI will review events, deviations, withdrawals, tracking failures, and deletion failures at </w:t>
      </w:r>
      <w:r>
        <w:rPr>
          <w:rFonts w:ascii="Arial" w:hAnsi="Arial"/>
          <w:b/>
          <w:color w:val="9C0006"/>
          <w:highlight w:val="yellow"/>
        </w:rPr>
        <w:t>[OPEN DECISION: specified interval]</w:t>
      </w:r>
      <w:r>
        <w:rPr>
          <w:rFonts w:ascii="Arial" w:hAnsi="Arial"/>
          <w:b w:val="0"/>
        </w:rPr>
        <w:t xml:space="preserve"> and pause the study if risk or failure patterns exceed the approved stopping criteria. UCF must confirm whether this monitoring description is sufficient.</w:t>
      </w:r>
    </w:p>
    <w:p>
      <w:pPr>
        <w:pStyle w:val="Heading1"/>
      </w:pPr>
      <w:r>
        <w:rPr>
          <w:rFonts w:ascii="Arial" w:hAnsi="Arial"/>
          <w:b/>
        </w:rPr>
        <w:t>Provisions to Protect the Privacy Interests of Subjects</w:t>
      </w:r>
    </w:p>
    <w:p>
      <w:r>
        <w:rPr>
          <w:rFonts w:ascii="Arial" w:hAnsi="Arial"/>
          <w:b w:val="0"/>
        </w:rPr>
        <w:t>Consent, screening, and voice recording will occur in a private area. Participants will be addressed respectfully and may skip nonessential questions, take breaks, or stop. Only necessary demographics will be collected. The headset view and researcher monitor will be positioned to reduce observation by passersby. No individual results will be disclosed to instructors, employers, or other participants.</w:t>
      </w:r>
    </w:p>
    <w:p>
      <w:r>
        <w:rPr>
          <w:rFonts w:ascii="Arial" w:hAnsi="Arial"/>
          <w:b w:val="0"/>
        </w:rPr>
        <w:t>The research team will explain what the headset tracks and demonstrate neutral audio output before experimental trials without revealing condition labels or directional hypotheses. The source script avoids names and sensitive content. The clone will only synthesize a fixed, approved set of neutral task phrases on the staff-controlled workflow. Provider account access will be limited to designated staff with individual least-privilege accounts, multi-factor authentication when supported, revocable credentials, and an auditable generation/deletion record. Staff will not imitate participants, generate jokes/personal statements, or use the voice outside the session.</w:t>
      </w:r>
    </w:p>
    <w:p>
      <w:pPr>
        <w:pStyle w:val="Heading1"/>
      </w:pPr>
      <w:r>
        <w:rPr>
          <w:rFonts w:ascii="Arial" w:hAnsi="Arial"/>
          <w:b/>
        </w:rPr>
        <w:t>Adverse Events, Unanticipated Problems, and Deviations</w:t>
      </w:r>
    </w:p>
    <w:p>
      <w:r>
        <w:rPr>
          <w:rFonts w:ascii="Arial" w:hAnsi="Arial"/>
          <w:b w:val="0"/>
        </w:rPr>
        <w:t>For symptoms or immediate risk, the researcher will stop the task, remove the headset, seat the participant, assess whether emergency assistance is needed, and follow UCF/lab emergency procedures. The researcher will document observations and participant-reported symptoms without making a diagnosis, notify the PI promptly, and preserve relevant device/build records.</w:t>
      </w:r>
    </w:p>
    <w:p>
      <w:r>
        <w:rPr>
          <w:rFonts w:ascii="Arial" w:hAnsi="Arial"/>
          <w:b w:val="0"/>
        </w:rPr>
        <w:t>The PI will assess and report adverse events, unanticipated problems, confidentiality incidents, and serious/continuing noncompliance according to current UCF requirements. Changes will not be implemented before UCF approval except when necessary to eliminate an immediate hazard; emergency changes will be reported promptly.</w:t>
      </w:r>
    </w:p>
    <w:p>
      <w:r>
        <w:rPr>
          <w:rFonts w:ascii="Arial" w:hAnsi="Arial"/>
          <w:b w:val="0"/>
        </w:rPr>
        <w:t>Protocol modifications requiring prior review include changes to voice provider/model/account/data use, recording duration/script, deletion/retention, camera or audio collection, telemetry fields, eligibility, recruitment, compensation, trial/block schedule, counterbalancing, hint timing/content, outcomes, sample size, sites, or study team.</w:t>
      </w:r>
    </w:p>
    <w:p>
      <w:pPr>
        <w:pStyle w:val="Heading1"/>
      </w:pPr>
      <w:r>
        <w:rPr>
          <w:rFonts w:ascii="Arial" w:hAnsi="Arial"/>
          <w:b/>
        </w:rPr>
        <w:t>Records</w:t>
      </w:r>
    </w:p>
    <w:p>
      <w:r>
        <w:rPr>
          <w:rFonts w:ascii="Arial" w:hAnsi="Arial"/>
          <w:b w:val="0"/>
        </w:rPr>
        <w:t>The PI will maintain current and superseded approvals/protocols/consents/materials; Huron correspondence; study-team/CITI/delegation records; screening/enrollment and consent logs; build/configuration and session records; counterbalancing assignments; data-transfer and deletion logs; compensation records if applicable; deviations/events and corrective actions; data dictionaries; coded raw task/telemetry/questionnaire data; analysis code/outputs; publications; and closure records for the approved retention period. Identifiable source voice recordings, provider samples/clones/history, and self-similar clips follow the separately approved early-deletion schedule and are not included in the general “raw data” retention statement.</w:t>
      </w:r>
    </w:p>
    <w:p>
      <w:pPr>
        <w:pStyle w:val="Heading1"/>
      </w:pPr>
      <w:r>
        <w:rPr>
          <w:rFonts w:ascii="Arial" w:hAnsi="Arial"/>
          <w:b/>
        </w:rPr>
        <w:t>Rationale for the Voice-Cloning Factor and Provider Path</w:t>
      </w:r>
    </w:p>
    <w:p>
      <w:r>
        <w:rPr>
          <w:rFonts w:ascii="Arial" w:hAnsi="Arial"/>
          <w:b w:val="0"/>
        </w:rPr>
        <w:t>The self-similar voice factor is a core scientific aim of the 2 × 2 design because the study tests whether voice similarity changes the effect of gaze-contingent assistance, not merely whether gaze contingency works with a generic voice. The final hypothesis hierarchy and power analysis must reflect that interaction; if it remains only a low-priority exploratory outcome, the PI will reconsider whether identifiable voice cloning is proportionate to the added risk.</w:t>
      </w:r>
    </w:p>
    <w:p>
      <w:r>
        <w:rPr>
          <w:rFonts w:ascii="Arial" w:hAnsi="Arial"/>
          <w:b/>
          <w:color w:val="9C0006"/>
          <w:highlight w:val="yellow"/>
        </w:rPr>
        <w:t>OPEN DECISION:</w:t>
      </w:r>
      <w:r>
        <w:rPr>
          <w:rFonts w:ascii="Arial" w:hAnsi="Arial"/>
          <w:b w:val="0"/>
        </w:rPr>
        <w:t xml:space="preserve"> Before submission, compare an institution-hosted/on-device voice-conversion or cloning workflow with the proposed approved cloud IVC workflow. Document voice quality, latency/session feasibility, security review, deletion control, contracting, and reproducibility. Use the lower-risk path that can validly deliver the manipulation. If no acceptable voice path is approved, remove the voice factor through a protocol revision rather than collecting identifiable voice data under an unapproved compromise.</w:t>
      </w:r>
    </w:p>
    <w:p>
      <w:pPr>
        <w:pStyle w:val="Heading1"/>
      </w:pPr>
      <w:r>
        <w:rPr>
          <w:rFonts w:ascii="Arial" w:hAnsi="Arial"/>
          <w:b/>
        </w:rPr>
        <w:t>Multi-Site Research</w:t>
      </w:r>
    </w:p>
    <w:p>
      <w:r>
        <w:rPr>
          <w:rFonts w:ascii="Arial" w:hAnsi="Arial"/>
          <w:b w:val="0"/>
        </w:rPr>
        <w:t>N/A. This is currently a single-site UCF study. Adding a site or relying institution requires a modification and reliance/IRB determination before that site begins work.</w:t>
      </w:r>
    </w:p>
    <w:p>
      <w:pPr>
        <w:pStyle w:val="Heading1"/>
      </w:pPr>
      <w:r>
        <w:rPr>
          <w:rFonts w:ascii="Arial" w:hAnsi="Arial"/>
          <w:b/>
        </w:rPr>
        <w:t>References and External Services</w:t>
      </w:r>
    </w:p>
    <w:p>
      <w:pPr>
        <w:spacing w:after="40"/>
        <w:ind w:left="360" w:hanging="259"/>
      </w:pPr>
      <w:r>
        <w:rPr>
          <w:rFonts w:ascii="Arial" w:hAnsi="Arial"/>
          <w:b w:val="0"/>
        </w:rPr>
        <w:t>• UCF Office of Research, IRB and current Huron guidance: https://www.research.ucf.edu/compliance/irb/</w:t>
      </w:r>
    </w:p>
    <w:p>
      <w:pPr>
        <w:spacing w:after="40"/>
        <w:ind w:left="360" w:hanging="259"/>
      </w:pPr>
      <w:r>
        <w:rPr>
          <w:rFonts w:ascii="Arial" w:hAnsi="Arial"/>
          <w:b w:val="0"/>
        </w:rPr>
        <w:t>• Federal Policy for the Protection of Human Subjects, 45 CFR 46: https://www.ecfr.gov/current/title-45/subtitle-A/subchapter-A/part-46</w:t>
      </w:r>
    </w:p>
    <w:p>
      <w:pPr>
        <w:spacing w:after="40"/>
        <w:ind w:left="360" w:hanging="259"/>
      </w:pPr>
      <w:r>
        <w:rPr>
          <w:rFonts w:ascii="Arial" w:hAnsi="Arial"/>
          <w:b w:val="0"/>
        </w:rPr>
        <w:t>• Hart, S. G., &amp; Staveland, L. E. (1988). Development of NASA-TLX (Task Load Index): Results of empirical and theoretical research. In P. A. Hancock &amp; N. Meshkati (Eds.), Human Mental Workload (pp. 139–183). North-Holland. https://doi.org/10.1016/S0166-4115(08)62386-9</w:t>
      </w:r>
    </w:p>
    <w:p>
      <w:pPr>
        <w:spacing w:after="40"/>
        <w:ind w:left="360" w:hanging="259"/>
      </w:pPr>
      <w:r>
        <w:rPr>
          <w:rFonts w:ascii="Arial" w:hAnsi="Arial"/>
          <w:b w:val="0"/>
        </w:rPr>
        <w:t>• ElevenLabs Instant Voice Cloning: https://elevenlabs.io/docs/eleven-creative/voices/voice-cloning/instant-voice-cloning</w:t>
      </w:r>
    </w:p>
    <w:p>
      <w:pPr>
        <w:spacing w:after="40"/>
        <w:ind w:left="360" w:hanging="259"/>
      </w:pPr>
      <w:r>
        <w:rPr>
          <w:rFonts w:ascii="Arial" w:hAnsi="Arial"/>
          <w:b w:val="0"/>
        </w:rPr>
        <w:t>• ElevenLabs voice-cloning concepts: https://elevenlabs.io/docs/eleven-api/concepts/voice-cloning</w:t>
      </w:r>
    </w:p>
    <w:p>
      <w:pPr>
        <w:spacing w:after="40"/>
        <w:ind w:left="360" w:hanging="259"/>
      </w:pPr>
      <w:r>
        <w:rPr>
          <w:rFonts w:ascii="Arial" w:hAnsi="Arial"/>
          <w:b w:val="0"/>
        </w:rPr>
        <w:t>• ElevenLabs privacy policy: https://elevenlabs.io/privacy-policy</w:t>
      </w:r>
    </w:p>
    <w:p>
      <w:pPr>
        <w:spacing w:before="240"/>
        <w:jc w:val="center"/>
      </w:pPr>
      <w:r>
        <w:rPr>
          <w:rFonts w:ascii="Arial" w:hAnsi="Arial"/>
          <w:i/>
          <w:color w:val="646464"/>
          <w:sz w:val="16"/>
        </w:rPr>
        <w:t>Draft generated from HRP-503 - TEMPLATE - Protocol.docx structure and styles. Content source: protocol.md.</w:t>
      </w:r>
    </w:p>
    <w:sectPr w:rsidR="00416A41" w:rsidRPr="00153B2F">
      <w:headerReference w:type="default" r:id="rId11"/>
      <w:footerReference w:type="default" r:id="rId12"/>
      <w:type w:val="continuous"/>
      <w:pgSz w:w="12240" w:h="15840"/>
      <w:pgMar w:top="792" w:right="1080" w:bottom="936" w:left="108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51EEF86" w14:textId="77777777" w:rsidR="00286D8B" w:rsidRDefault="00286D8B" w:rsidP="007C0AA4">
      <w:r>
        <w:separator/>
      </w:r>
    </w:p>
  </w:endnote>
  <w:endnote w:type="continuationSeparator" w:id="0">
    <w:p w14:paraId="145BF1AF" w14:textId="77777777" w:rsidR="00286D8B" w:rsidRDefault="00286D8B" w:rsidP="007C0AA4">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NNFPLJ+TimesNewRoman">
    <w:altName w:val="Cambria"/>
    <w:panose1 w:val="00000000000000000000"/>
    <w:charset w:val="00"/>
    <w:family w:val="roman"/>
    <w:notTrueType/>
    <w:pitch w:val="default"/>
    <w:sig w:usb0="00000003" w:usb1="00000000" w:usb2="00000000" w:usb3="00000000" w:csb0="00000001" w:csb1="00000000"/>
  </w:font>
  <w:font w:name="Tahoma">
    <w:panose1 w:val="020B0604030504040204"/>
    <w:charset w:val="00"/>
    <w:family w:val="swiss"/>
    <w:pitch w:val="variable"/>
    <w:sig w:usb0="E1002EFF" w:usb1="C000605B" w:usb2="00000029" w:usb3="00000000" w:csb0="000101FF" w:csb1="00000000"/>
  </w:font>
  <w:font w:name="Arial Narrow">
    <w:panose1 w:val="020B0606020202030204"/>
    <w:charset w:val="00"/>
    <w:family w:val="swiss"/>
    <w:pitch w:val="variable"/>
    <w:sig w:usb0="00000287" w:usb1="00000800" w:usb2="00000000" w:usb3="00000000" w:csb0="0000009F" w:csb1="00000000"/>
  </w:font>
  <w:font w:name="Cambria">
    <w:panose1 w:val="02040503050406030204"/>
    <w:charset w:val="00"/>
    <w:family w:val="roman"/>
    <w:pitch w:val="variable"/>
    <w:sig w:usb0="E00006FF" w:usb1="420024FF" w:usb2="02000000" w:usb3="00000000" w:csb0="0000019F" w:csb1="00000000"/>
  </w:font>
  <w:font w:name="MS Gothic">
    <w:altName w:val="ＭＳ ゴシック"/>
    <w:panose1 w:val="020B0609070205080204"/>
    <w:charset w:val="80"/>
    <w:family w:val="modern"/>
    <w:pitch w:val="fixed"/>
    <w:sig w:usb0="E00002FF" w:usb1="6AC7FDFB" w:usb2="08000012" w:usb3="00000000" w:csb0="0002009F" w:csb1="00000000"/>
  </w:font>
  <w:font w:name="Segoe UI">
    <w:panose1 w:val="020B0502040204020203"/>
    <w:charset w:val="00"/>
    <w:family w:val="swiss"/>
    <w:pitch w:val="variable"/>
    <w:sig w:usb0="E4002EFF" w:usb1="C000E47F"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 w:name="Segoe UI Symbol">
    <w:panose1 w:val="020B0502040204020203"/>
    <w:charset w:val="00"/>
    <w:family w:val="swiss"/>
    <w:pitch w:val="variable"/>
    <w:sig w:usb0="800001E3" w:usb1="1200FFEF" w:usb2="00040000" w:usb3="00000000" w:csb0="00000001"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DFBD414" w14:textId="52E4FF92" w:rsidR="0010378B" w:rsidRPr="00394328" w:rsidRDefault="00986DAF" w:rsidP="00986DAF">
    <w:pPr>
      <w:pStyle w:val="Footer"/>
    </w:pPr>
    <w:r w:rsidRPr="00394328">
      <w:rPr>
        <w:rFonts w:ascii="Times New Roman" w:hAnsi="Times New Roman"/>
        <w:sz w:val="18"/>
      </w:rPr>
      <w:t>UCF HRP-</w:t>
    </w:r>
    <w:r w:rsidR="00C95990" w:rsidRPr="00394328">
      <w:rPr>
        <w:rFonts w:ascii="Times New Roman" w:hAnsi="Times New Roman"/>
        <w:sz w:val="18"/>
        <w:lang w:val="en-US"/>
      </w:rPr>
      <w:t>503</w:t>
    </w:r>
    <w:r w:rsidRPr="00394328">
      <w:rPr>
        <w:rFonts w:ascii="Times New Roman" w:hAnsi="Times New Roman"/>
        <w:sz w:val="18"/>
      </w:rPr>
      <w:t xml:space="preserve"> Template v.</w:t>
    </w:r>
    <w:r w:rsidR="00C60F15" w:rsidRPr="00394328">
      <w:rPr>
        <w:rFonts w:ascii="Times New Roman" w:hAnsi="Times New Roman"/>
        <w:sz w:val="18"/>
        <w:lang w:val="en-US"/>
      </w:rPr>
      <w:t>8</w:t>
    </w:r>
    <w:r w:rsidR="00C92074" w:rsidRPr="00394328">
      <w:rPr>
        <w:rFonts w:ascii="Times New Roman" w:hAnsi="Times New Roman"/>
        <w:sz w:val="18"/>
        <w:lang w:val="en-US"/>
      </w:rPr>
      <w:t>/18/2025</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BE9169C" w14:textId="77777777" w:rsidR="00286D8B" w:rsidRDefault="00286D8B" w:rsidP="007C0AA4">
      <w:r>
        <w:separator/>
      </w:r>
    </w:p>
  </w:footnote>
  <w:footnote w:type="continuationSeparator" w:id="0">
    <w:p w14:paraId="613CCA3A" w14:textId="77777777" w:rsidR="00286D8B" w:rsidRDefault="00286D8B" w:rsidP="007C0AA4">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318336367"/>
      <w:docPartObj>
        <w:docPartGallery w:val="Page Numbers (Top of Page)"/>
        <w:docPartUnique/>
      </w:docPartObj>
    </w:sdtPr>
    <w:sdtEndPr/>
    <w:sdtContent>
      <w:p w14:paraId="78C13E35" w14:textId="6FCA0AC6" w:rsidR="00C95990" w:rsidRDefault="00C95990">
        <w:pPr>
          <w:pStyle w:val="Header"/>
          <w:jc w:val="right"/>
        </w:pPr>
        <w:r>
          <w:t xml:space="preserve">Page </w:t>
        </w:r>
        <w:r>
          <w:rPr>
            <w:b/>
            <w:bCs/>
          </w:rPr>
          <w:fldChar w:fldCharType="begin"/>
        </w:r>
        <w:r>
          <w:rPr>
            <w:b/>
            <w:bCs/>
          </w:rPr>
          <w:instrText xml:space="preserve"> PAGE </w:instrText>
        </w:r>
        <w:r>
          <w:rPr>
            <w:b/>
            <w:bCs/>
          </w:rPr>
          <w:fldChar w:fldCharType="separate"/>
        </w:r>
        <w:r w:rsidR="00F87A13">
          <w:rPr>
            <w:b/>
            <w:bCs/>
            <w:noProof/>
          </w:rPr>
          <w:t>17</w:t>
        </w:r>
        <w:r>
          <w:rPr>
            <w:b/>
            <w:bCs/>
          </w:rPr>
          <w:fldChar w:fldCharType="end"/>
        </w:r>
        <w:r>
          <w:t xml:space="preserve"> of </w:t>
        </w:r>
        <w:r>
          <w:rPr>
            <w:b/>
            <w:bCs/>
          </w:rPr>
          <w:fldChar w:fldCharType="begin"/>
        </w:r>
        <w:r>
          <w:rPr>
            <w:b/>
            <w:bCs/>
          </w:rPr>
          <w:instrText xml:space="preserve"> NUMPAGES  </w:instrText>
        </w:r>
        <w:r>
          <w:rPr>
            <w:b/>
            <w:bCs/>
          </w:rPr>
          <w:fldChar w:fldCharType="separate"/>
        </w:r>
        <w:r w:rsidR="00F87A13">
          <w:rPr>
            <w:b/>
            <w:bCs/>
            <w:noProof/>
          </w:rPr>
          <w:t>18</w:t>
        </w:r>
        <w:r>
          <w:rPr>
            <w:b/>
            <w:bCs/>
          </w:rPr>
          <w:fldChar w:fldCharType="end"/>
        </w:r>
      </w:p>
    </w:sdtContent>
  </w:sdt>
  <w:p w14:paraId="7DFBD412" w14:textId="372DF29D" w:rsidR="0010378B" w:rsidRDefault="0010378B" w:rsidP="00986DAF">
    <w:pPr>
      <w:pStyle w:val="Header"/>
      <w:jc w:val="cent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81"/>
    <w:multiLevelType w:val="singleLevel"/>
    <w:tmpl w:val="E6B8B572"/>
    <w:lvl w:ilvl="0">
      <w:start w:val="1"/>
      <w:numFmt w:val="bullet"/>
      <w:pStyle w:val="ListBullet4"/>
      <w:lvlText w:val=""/>
      <w:lvlJc w:val="left"/>
      <w:pPr>
        <w:tabs>
          <w:tab w:val="num" w:pos="1440"/>
        </w:tabs>
        <w:ind w:left="1440" w:hanging="360"/>
      </w:pPr>
      <w:rPr>
        <w:rFonts w:ascii="Symbol" w:hAnsi="Symbol" w:hint="default"/>
      </w:rPr>
    </w:lvl>
  </w:abstractNum>
  <w:abstractNum w:abstractNumId="1" w15:restartNumberingAfterBreak="0">
    <w:nsid w:val="FFFFFF82"/>
    <w:multiLevelType w:val="singleLevel"/>
    <w:tmpl w:val="81262D44"/>
    <w:lvl w:ilvl="0">
      <w:start w:val="1"/>
      <w:numFmt w:val="bullet"/>
      <w:pStyle w:val="ListBullet3"/>
      <w:lvlText w:val=""/>
      <w:lvlJc w:val="left"/>
      <w:pPr>
        <w:tabs>
          <w:tab w:val="num" w:pos="1080"/>
        </w:tabs>
        <w:ind w:left="1080" w:hanging="360"/>
      </w:pPr>
      <w:rPr>
        <w:rFonts w:ascii="Symbol" w:hAnsi="Symbol" w:hint="default"/>
      </w:rPr>
    </w:lvl>
  </w:abstractNum>
  <w:abstractNum w:abstractNumId="2" w15:restartNumberingAfterBreak="0">
    <w:nsid w:val="FFFFFF83"/>
    <w:multiLevelType w:val="singleLevel"/>
    <w:tmpl w:val="8398066A"/>
    <w:lvl w:ilvl="0">
      <w:start w:val="1"/>
      <w:numFmt w:val="bullet"/>
      <w:lvlText w:val=""/>
      <w:lvlJc w:val="left"/>
      <w:pPr>
        <w:tabs>
          <w:tab w:val="num" w:pos="720"/>
        </w:tabs>
        <w:ind w:left="720" w:hanging="360"/>
      </w:pPr>
      <w:rPr>
        <w:rFonts w:ascii="Symbol" w:hAnsi="Symbol" w:hint="default"/>
      </w:rPr>
    </w:lvl>
  </w:abstractNum>
  <w:abstractNum w:abstractNumId="3" w15:restartNumberingAfterBreak="0">
    <w:nsid w:val="012E6CE0"/>
    <w:multiLevelType w:val="hybridMultilevel"/>
    <w:tmpl w:val="1F0698B6"/>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 w15:restartNumberingAfterBreak="0">
    <w:nsid w:val="023446B7"/>
    <w:multiLevelType w:val="hybridMultilevel"/>
    <w:tmpl w:val="3AAE9BE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0433587A"/>
    <w:multiLevelType w:val="hybridMultilevel"/>
    <w:tmpl w:val="1BC49B0A"/>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 w15:restartNumberingAfterBreak="0">
    <w:nsid w:val="07B4455E"/>
    <w:multiLevelType w:val="hybridMultilevel"/>
    <w:tmpl w:val="D0D4FAB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 w15:restartNumberingAfterBreak="0">
    <w:nsid w:val="0861143B"/>
    <w:multiLevelType w:val="hybridMultilevel"/>
    <w:tmpl w:val="DCF438CC"/>
    <w:lvl w:ilvl="0" w:tplc="59242818">
      <w:start w:val="1"/>
      <w:numFmt w:val="bullet"/>
      <w:lvlText w:val=""/>
      <w:lvlJc w:val="left"/>
      <w:pPr>
        <w:ind w:left="1800" w:hanging="360"/>
      </w:pPr>
      <w:rPr>
        <w:rFonts w:ascii="Symbol" w:hAnsi="Symbol" w:hint="default"/>
        <w:color w:val="000000" w:themeColor="text1"/>
      </w:rPr>
    </w:lvl>
    <w:lvl w:ilvl="1" w:tplc="04090003">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8" w15:restartNumberingAfterBreak="0">
    <w:nsid w:val="09386C87"/>
    <w:multiLevelType w:val="hybridMultilevel"/>
    <w:tmpl w:val="B0B0C56C"/>
    <w:lvl w:ilvl="0" w:tplc="0409000F">
      <w:start w:val="1"/>
      <w:numFmt w:val="decimal"/>
      <w:lvlText w:val="%1."/>
      <w:lvlJc w:val="left"/>
      <w:pPr>
        <w:ind w:left="1620" w:hanging="360"/>
      </w:pPr>
    </w:lvl>
    <w:lvl w:ilvl="1" w:tplc="04090019" w:tentative="1">
      <w:start w:val="1"/>
      <w:numFmt w:val="lowerLetter"/>
      <w:lvlText w:val="%2."/>
      <w:lvlJc w:val="left"/>
      <w:pPr>
        <w:ind w:left="2340" w:hanging="360"/>
      </w:pPr>
    </w:lvl>
    <w:lvl w:ilvl="2" w:tplc="0409001B" w:tentative="1">
      <w:start w:val="1"/>
      <w:numFmt w:val="lowerRoman"/>
      <w:lvlText w:val="%3."/>
      <w:lvlJc w:val="right"/>
      <w:pPr>
        <w:ind w:left="3060" w:hanging="180"/>
      </w:pPr>
    </w:lvl>
    <w:lvl w:ilvl="3" w:tplc="0409000F" w:tentative="1">
      <w:start w:val="1"/>
      <w:numFmt w:val="decimal"/>
      <w:lvlText w:val="%4."/>
      <w:lvlJc w:val="left"/>
      <w:pPr>
        <w:ind w:left="3780" w:hanging="360"/>
      </w:pPr>
    </w:lvl>
    <w:lvl w:ilvl="4" w:tplc="04090019" w:tentative="1">
      <w:start w:val="1"/>
      <w:numFmt w:val="lowerLetter"/>
      <w:lvlText w:val="%5."/>
      <w:lvlJc w:val="left"/>
      <w:pPr>
        <w:ind w:left="4500" w:hanging="360"/>
      </w:pPr>
    </w:lvl>
    <w:lvl w:ilvl="5" w:tplc="0409001B" w:tentative="1">
      <w:start w:val="1"/>
      <w:numFmt w:val="lowerRoman"/>
      <w:lvlText w:val="%6."/>
      <w:lvlJc w:val="right"/>
      <w:pPr>
        <w:ind w:left="5220" w:hanging="180"/>
      </w:pPr>
    </w:lvl>
    <w:lvl w:ilvl="6" w:tplc="0409000F" w:tentative="1">
      <w:start w:val="1"/>
      <w:numFmt w:val="decimal"/>
      <w:lvlText w:val="%7."/>
      <w:lvlJc w:val="left"/>
      <w:pPr>
        <w:ind w:left="5940" w:hanging="360"/>
      </w:pPr>
    </w:lvl>
    <w:lvl w:ilvl="7" w:tplc="04090019" w:tentative="1">
      <w:start w:val="1"/>
      <w:numFmt w:val="lowerLetter"/>
      <w:lvlText w:val="%8."/>
      <w:lvlJc w:val="left"/>
      <w:pPr>
        <w:ind w:left="6660" w:hanging="360"/>
      </w:pPr>
    </w:lvl>
    <w:lvl w:ilvl="8" w:tplc="0409001B" w:tentative="1">
      <w:start w:val="1"/>
      <w:numFmt w:val="lowerRoman"/>
      <w:lvlText w:val="%9."/>
      <w:lvlJc w:val="right"/>
      <w:pPr>
        <w:ind w:left="7380" w:hanging="180"/>
      </w:pPr>
    </w:lvl>
  </w:abstractNum>
  <w:abstractNum w:abstractNumId="9" w15:restartNumberingAfterBreak="0">
    <w:nsid w:val="0B4750C7"/>
    <w:multiLevelType w:val="hybridMultilevel"/>
    <w:tmpl w:val="5DFADDDC"/>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0" w15:restartNumberingAfterBreak="0">
    <w:nsid w:val="0DA93F31"/>
    <w:multiLevelType w:val="hybridMultilevel"/>
    <w:tmpl w:val="489A8DB6"/>
    <w:lvl w:ilvl="0" w:tplc="0D5AAF5E">
      <w:start w:val="1"/>
      <w:numFmt w:val="bullet"/>
      <w:lvlText w:val=""/>
      <w:lvlJc w:val="left"/>
      <w:pPr>
        <w:ind w:left="1800" w:hanging="360"/>
      </w:pPr>
      <w:rPr>
        <w:rFonts w:ascii="Symbol" w:hAnsi="Symbol" w:hint="default"/>
        <w:color w:val="000000" w:themeColor="text1"/>
      </w:rPr>
    </w:lvl>
    <w:lvl w:ilvl="1" w:tplc="04090003">
      <w:start w:val="1"/>
      <w:numFmt w:val="bullet"/>
      <w:lvlText w:val="o"/>
      <w:lvlJc w:val="left"/>
      <w:pPr>
        <w:ind w:left="2520" w:hanging="360"/>
      </w:pPr>
      <w:rPr>
        <w:rFonts w:ascii="Courier New" w:hAnsi="Courier New" w:cs="Courier New" w:hint="default"/>
      </w:rPr>
    </w:lvl>
    <w:lvl w:ilvl="2" w:tplc="04090005">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11" w15:restartNumberingAfterBreak="0">
    <w:nsid w:val="0EDC3B05"/>
    <w:multiLevelType w:val="multilevel"/>
    <w:tmpl w:val="C3C2A0C6"/>
    <w:lvl w:ilvl="0">
      <w:start w:val="1"/>
      <w:numFmt w:val="decimal"/>
      <w:lvlText w:val="%1.0"/>
      <w:lvlJc w:val="left"/>
      <w:pPr>
        <w:ind w:left="1710" w:firstLine="990"/>
      </w:pPr>
      <w:rPr>
        <w:rFonts w:ascii="Times New Roman" w:eastAsia="Times New Roman" w:hAnsi="Times New Roman" w:cs="Times New Roman"/>
        <w:sz w:val="28"/>
        <w:szCs w:val="28"/>
      </w:rPr>
    </w:lvl>
    <w:lvl w:ilvl="1">
      <w:start w:val="1"/>
      <w:numFmt w:val="decimal"/>
      <w:lvlText w:val="%1.%2"/>
      <w:lvlJc w:val="left"/>
      <w:pPr>
        <w:ind w:left="720" w:firstLine="720"/>
      </w:pPr>
    </w:lvl>
    <w:lvl w:ilvl="2">
      <w:start w:val="1"/>
      <w:numFmt w:val="bullet"/>
      <w:lvlText w:val="●"/>
      <w:lvlJc w:val="left"/>
      <w:pPr>
        <w:ind w:left="2160" w:firstLine="1980"/>
      </w:pPr>
      <w:rPr>
        <w:rFonts w:ascii="Arial" w:eastAsia="Arial" w:hAnsi="Arial" w:cs="Arial"/>
        <w:color w:val="000000"/>
      </w:rPr>
    </w:lvl>
    <w:lvl w:ilvl="3">
      <w:start w:val="1"/>
      <w:numFmt w:val="bullet"/>
      <w:lvlText w:val="o"/>
      <w:lvlJc w:val="left"/>
      <w:pPr>
        <w:ind w:left="2880" w:firstLine="2520"/>
      </w:pPr>
      <w:rPr>
        <w:rFonts w:ascii="Arial" w:eastAsia="Arial" w:hAnsi="Arial" w:cs="Arial"/>
        <w:color w:val="000000"/>
      </w:r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12" w15:restartNumberingAfterBreak="0">
    <w:nsid w:val="107807FD"/>
    <w:multiLevelType w:val="hybridMultilevel"/>
    <w:tmpl w:val="65667954"/>
    <w:lvl w:ilvl="0" w:tplc="04090001">
      <w:start w:val="1"/>
      <w:numFmt w:val="bullet"/>
      <w:lvlText w:val=""/>
      <w:lvlJc w:val="left"/>
      <w:pPr>
        <w:ind w:left="1620" w:hanging="360"/>
      </w:pPr>
      <w:rPr>
        <w:rFonts w:ascii="Symbol" w:hAnsi="Symbol" w:hint="default"/>
      </w:rPr>
    </w:lvl>
    <w:lvl w:ilvl="1" w:tplc="04090003" w:tentative="1">
      <w:start w:val="1"/>
      <w:numFmt w:val="bullet"/>
      <w:lvlText w:val="o"/>
      <w:lvlJc w:val="left"/>
      <w:pPr>
        <w:ind w:left="2340" w:hanging="360"/>
      </w:pPr>
      <w:rPr>
        <w:rFonts w:ascii="Courier New" w:hAnsi="Courier New" w:cs="Courier New" w:hint="default"/>
      </w:rPr>
    </w:lvl>
    <w:lvl w:ilvl="2" w:tplc="04090005" w:tentative="1">
      <w:start w:val="1"/>
      <w:numFmt w:val="bullet"/>
      <w:lvlText w:val=""/>
      <w:lvlJc w:val="left"/>
      <w:pPr>
        <w:ind w:left="3060" w:hanging="360"/>
      </w:pPr>
      <w:rPr>
        <w:rFonts w:ascii="Wingdings" w:hAnsi="Wingdings" w:hint="default"/>
      </w:rPr>
    </w:lvl>
    <w:lvl w:ilvl="3" w:tplc="04090001" w:tentative="1">
      <w:start w:val="1"/>
      <w:numFmt w:val="bullet"/>
      <w:lvlText w:val=""/>
      <w:lvlJc w:val="left"/>
      <w:pPr>
        <w:ind w:left="3780" w:hanging="360"/>
      </w:pPr>
      <w:rPr>
        <w:rFonts w:ascii="Symbol" w:hAnsi="Symbol" w:hint="default"/>
      </w:rPr>
    </w:lvl>
    <w:lvl w:ilvl="4" w:tplc="04090003" w:tentative="1">
      <w:start w:val="1"/>
      <w:numFmt w:val="bullet"/>
      <w:lvlText w:val="o"/>
      <w:lvlJc w:val="left"/>
      <w:pPr>
        <w:ind w:left="4500" w:hanging="360"/>
      </w:pPr>
      <w:rPr>
        <w:rFonts w:ascii="Courier New" w:hAnsi="Courier New" w:cs="Courier New" w:hint="default"/>
      </w:rPr>
    </w:lvl>
    <w:lvl w:ilvl="5" w:tplc="04090005" w:tentative="1">
      <w:start w:val="1"/>
      <w:numFmt w:val="bullet"/>
      <w:lvlText w:val=""/>
      <w:lvlJc w:val="left"/>
      <w:pPr>
        <w:ind w:left="5220" w:hanging="360"/>
      </w:pPr>
      <w:rPr>
        <w:rFonts w:ascii="Wingdings" w:hAnsi="Wingdings" w:hint="default"/>
      </w:rPr>
    </w:lvl>
    <w:lvl w:ilvl="6" w:tplc="04090001" w:tentative="1">
      <w:start w:val="1"/>
      <w:numFmt w:val="bullet"/>
      <w:lvlText w:val=""/>
      <w:lvlJc w:val="left"/>
      <w:pPr>
        <w:ind w:left="5940" w:hanging="360"/>
      </w:pPr>
      <w:rPr>
        <w:rFonts w:ascii="Symbol" w:hAnsi="Symbol" w:hint="default"/>
      </w:rPr>
    </w:lvl>
    <w:lvl w:ilvl="7" w:tplc="04090003" w:tentative="1">
      <w:start w:val="1"/>
      <w:numFmt w:val="bullet"/>
      <w:lvlText w:val="o"/>
      <w:lvlJc w:val="left"/>
      <w:pPr>
        <w:ind w:left="6660" w:hanging="360"/>
      </w:pPr>
      <w:rPr>
        <w:rFonts w:ascii="Courier New" w:hAnsi="Courier New" w:cs="Courier New" w:hint="default"/>
      </w:rPr>
    </w:lvl>
    <w:lvl w:ilvl="8" w:tplc="04090005" w:tentative="1">
      <w:start w:val="1"/>
      <w:numFmt w:val="bullet"/>
      <w:lvlText w:val=""/>
      <w:lvlJc w:val="left"/>
      <w:pPr>
        <w:ind w:left="7380" w:hanging="360"/>
      </w:pPr>
      <w:rPr>
        <w:rFonts w:ascii="Wingdings" w:hAnsi="Wingdings" w:hint="default"/>
      </w:rPr>
    </w:lvl>
  </w:abstractNum>
  <w:abstractNum w:abstractNumId="13" w15:restartNumberingAfterBreak="0">
    <w:nsid w:val="1100573A"/>
    <w:multiLevelType w:val="hybridMultilevel"/>
    <w:tmpl w:val="3752AB64"/>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4" w15:restartNumberingAfterBreak="0">
    <w:nsid w:val="16991BF4"/>
    <w:multiLevelType w:val="multilevel"/>
    <w:tmpl w:val="84A66BE8"/>
    <w:lvl w:ilvl="0">
      <w:start w:val="1"/>
      <w:numFmt w:val="decimal"/>
      <w:lvlText w:val="%1.0"/>
      <w:lvlJc w:val="left"/>
      <w:pPr>
        <w:ind w:left="720" w:hanging="720"/>
      </w:pPr>
      <w:rPr>
        <w:rFonts w:hint="default"/>
      </w:rPr>
    </w:lvl>
    <w:lvl w:ilvl="1">
      <w:start w:val="1"/>
      <w:numFmt w:val="decimal"/>
      <w:lvlText w:val="%1.%2"/>
      <w:lvlJc w:val="left"/>
      <w:pPr>
        <w:ind w:left="720" w:firstLine="0"/>
      </w:pPr>
      <w:rPr>
        <w:rFonts w:hint="default"/>
      </w:rPr>
    </w:lvl>
    <w:lvl w:ilvl="2">
      <w:start w:val="1"/>
      <w:numFmt w:val="bullet"/>
      <w:lvlText w:val=""/>
      <w:lvlJc w:val="left"/>
      <w:pPr>
        <w:ind w:left="2160" w:firstLine="0"/>
      </w:pPr>
      <w:rPr>
        <w:rFonts w:ascii="Symbol" w:hAnsi="Symbol" w:hint="default"/>
        <w:color w:val="auto"/>
      </w:rPr>
    </w:lvl>
    <w:lvl w:ilvl="3">
      <w:start w:val="1"/>
      <w:numFmt w:val="decimal"/>
      <w:lvlText w:val="%4."/>
      <w:lvlJc w:val="left"/>
      <w:pPr>
        <w:ind w:left="2880" w:hanging="360"/>
      </w:pPr>
      <w:rPr>
        <w:rFonts w:hint="default"/>
      </w:rPr>
    </w:lvl>
    <w:lvl w:ilvl="4">
      <w:start w:val="1"/>
      <w:numFmt w:val="lowerLetter"/>
      <w:lvlText w:val="%5."/>
      <w:lvlJc w:val="left"/>
      <w:pPr>
        <w:ind w:left="3600" w:hanging="360"/>
      </w:pPr>
      <w:rPr>
        <w:rFonts w:hint="default"/>
      </w:rPr>
    </w:lvl>
    <w:lvl w:ilvl="5">
      <w:start w:val="1"/>
      <w:numFmt w:val="lowerRoman"/>
      <w:lvlText w:val="%6."/>
      <w:lvlJc w:val="right"/>
      <w:pPr>
        <w:ind w:left="4320" w:hanging="180"/>
      </w:pPr>
      <w:rPr>
        <w:rFonts w:hint="default"/>
      </w:rPr>
    </w:lvl>
    <w:lvl w:ilvl="6">
      <w:start w:val="1"/>
      <w:numFmt w:val="decimal"/>
      <w:lvlText w:val="%7."/>
      <w:lvlJc w:val="left"/>
      <w:pPr>
        <w:ind w:left="5040" w:hanging="360"/>
      </w:pPr>
      <w:rPr>
        <w:rFonts w:hint="default"/>
      </w:rPr>
    </w:lvl>
    <w:lvl w:ilvl="7">
      <w:start w:val="1"/>
      <w:numFmt w:val="lowerLetter"/>
      <w:lvlText w:val="%8."/>
      <w:lvlJc w:val="left"/>
      <w:pPr>
        <w:ind w:left="5760" w:hanging="360"/>
      </w:pPr>
      <w:rPr>
        <w:rFonts w:hint="default"/>
      </w:rPr>
    </w:lvl>
    <w:lvl w:ilvl="8">
      <w:start w:val="1"/>
      <w:numFmt w:val="lowerRoman"/>
      <w:lvlText w:val="%9."/>
      <w:lvlJc w:val="right"/>
      <w:pPr>
        <w:ind w:left="6480" w:hanging="180"/>
      </w:pPr>
      <w:rPr>
        <w:rFonts w:hint="default"/>
      </w:rPr>
    </w:lvl>
  </w:abstractNum>
  <w:abstractNum w:abstractNumId="15" w15:restartNumberingAfterBreak="0">
    <w:nsid w:val="1900588A"/>
    <w:multiLevelType w:val="hybridMultilevel"/>
    <w:tmpl w:val="262264B4"/>
    <w:lvl w:ilvl="0" w:tplc="0D1E885E">
      <w:start w:val="2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6" w15:restartNumberingAfterBreak="0">
    <w:nsid w:val="191A238C"/>
    <w:multiLevelType w:val="hybridMultilevel"/>
    <w:tmpl w:val="3910A604"/>
    <w:lvl w:ilvl="0" w:tplc="04090001">
      <w:start w:val="1"/>
      <w:numFmt w:val="bullet"/>
      <w:lvlText w:val=""/>
      <w:lvlJc w:val="left"/>
      <w:pPr>
        <w:ind w:left="2700" w:hanging="360"/>
      </w:pPr>
      <w:rPr>
        <w:rFonts w:ascii="Symbol" w:hAnsi="Symbol" w:hint="default"/>
      </w:rPr>
    </w:lvl>
    <w:lvl w:ilvl="1" w:tplc="04090003" w:tentative="1">
      <w:start w:val="1"/>
      <w:numFmt w:val="bullet"/>
      <w:lvlText w:val="o"/>
      <w:lvlJc w:val="left"/>
      <w:pPr>
        <w:ind w:left="3420" w:hanging="360"/>
      </w:pPr>
      <w:rPr>
        <w:rFonts w:ascii="Courier New" w:hAnsi="Courier New" w:cs="Courier New" w:hint="default"/>
      </w:rPr>
    </w:lvl>
    <w:lvl w:ilvl="2" w:tplc="04090005" w:tentative="1">
      <w:start w:val="1"/>
      <w:numFmt w:val="bullet"/>
      <w:lvlText w:val=""/>
      <w:lvlJc w:val="left"/>
      <w:pPr>
        <w:ind w:left="4140" w:hanging="360"/>
      </w:pPr>
      <w:rPr>
        <w:rFonts w:ascii="Wingdings" w:hAnsi="Wingdings" w:hint="default"/>
      </w:rPr>
    </w:lvl>
    <w:lvl w:ilvl="3" w:tplc="04090001" w:tentative="1">
      <w:start w:val="1"/>
      <w:numFmt w:val="bullet"/>
      <w:lvlText w:val=""/>
      <w:lvlJc w:val="left"/>
      <w:pPr>
        <w:ind w:left="4860" w:hanging="360"/>
      </w:pPr>
      <w:rPr>
        <w:rFonts w:ascii="Symbol" w:hAnsi="Symbol" w:hint="default"/>
      </w:rPr>
    </w:lvl>
    <w:lvl w:ilvl="4" w:tplc="04090003" w:tentative="1">
      <w:start w:val="1"/>
      <w:numFmt w:val="bullet"/>
      <w:lvlText w:val="o"/>
      <w:lvlJc w:val="left"/>
      <w:pPr>
        <w:ind w:left="5580" w:hanging="360"/>
      </w:pPr>
      <w:rPr>
        <w:rFonts w:ascii="Courier New" w:hAnsi="Courier New" w:cs="Courier New" w:hint="default"/>
      </w:rPr>
    </w:lvl>
    <w:lvl w:ilvl="5" w:tplc="04090005" w:tentative="1">
      <w:start w:val="1"/>
      <w:numFmt w:val="bullet"/>
      <w:lvlText w:val=""/>
      <w:lvlJc w:val="left"/>
      <w:pPr>
        <w:ind w:left="6300" w:hanging="360"/>
      </w:pPr>
      <w:rPr>
        <w:rFonts w:ascii="Wingdings" w:hAnsi="Wingdings" w:hint="default"/>
      </w:rPr>
    </w:lvl>
    <w:lvl w:ilvl="6" w:tplc="04090001" w:tentative="1">
      <w:start w:val="1"/>
      <w:numFmt w:val="bullet"/>
      <w:lvlText w:val=""/>
      <w:lvlJc w:val="left"/>
      <w:pPr>
        <w:ind w:left="7020" w:hanging="360"/>
      </w:pPr>
      <w:rPr>
        <w:rFonts w:ascii="Symbol" w:hAnsi="Symbol" w:hint="default"/>
      </w:rPr>
    </w:lvl>
    <w:lvl w:ilvl="7" w:tplc="04090003" w:tentative="1">
      <w:start w:val="1"/>
      <w:numFmt w:val="bullet"/>
      <w:lvlText w:val="o"/>
      <w:lvlJc w:val="left"/>
      <w:pPr>
        <w:ind w:left="7740" w:hanging="360"/>
      </w:pPr>
      <w:rPr>
        <w:rFonts w:ascii="Courier New" w:hAnsi="Courier New" w:cs="Courier New" w:hint="default"/>
      </w:rPr>
    </w:lvl>
    <w:lvl w:ilvl="8" w:tplc="04090005" w:tentative="1">
      <w:start w:val="1"/>
      <w:numFmt w:val="bullet"/>
      <w:lvlText w:val=""/>
      <w:lvlJc w:val="left"/>
      <w:pPr>
        <w:ind w:left="8460" w:hanging="360"/>
      </w:pPr>
      <w:rPr>
        <w:rFonts w:ascii="Wingdings" w:hAnsi="Wingdings" w:hint="default"/>
      </w:rPr>
    </w:lvl>
  </w:abstractNum>
  <w:abstractNum w:abstractNumId="17" w15:restartNumberingAfterBreak="0">
    <w:nsid w:val="1A334708"/>
    <w:multiLevelType w:val="multilevel"/>
    <w:tmpl w:val="2C4A61EE"/>
    <w:lvl w:ilvl="0">
      <w:start w:val="1"/>
      <w:numFmt w:val="decimal"/>
      <w:pStyle w:val="ListBullet2"/>
      <w:lvlText w:val="%1)"/>
      <w:lvlJc w:val="left"/>
      <w:pPr>
        <w:tabs>
          <w:tab w:val="num" w:pos="360"/>
        </w:tabs>
        <w:ind w:left="360" w:hanging="360"/>
      </w:pPr>
      <w:rPr>
        <w:rFonts w:ascii="Times New Roman" w:hAnsi="Times New Roman" w:cs="Times New Roman"/>
        <w:b w:val="0"/>
        <w:bCs w:val="0"/>
        <w:i w:val="0"/>
        <w:iCs w:val="0"/>
        <w:caps w:val="0"/>
        <w:smallCaps w:val="0"/>
        <w:strike w:val="0"/>
        <w:dstrike w:val="0"/>
        <w:noProof w:val="0"/>
        <w:snapToGrid w:val="0"/>
        <w:vanish w:val="0"/>
        <w:color w:val="000000"/>
        <w:spacing w:val="0"/>
        <w:w w:val="0"/>
        <w:kern w:val="0"/>
        <w:position w:val="0"/>
        <w:sz w:val="0"/>
        <w:szCs w:val="0"/>
        <w:u w:val="none" w:color="000000"/>
        <w:effect w:val="none"/>
        <w:bdr w:val="none" w:sz="0" w:space="0" w:color="000000"/>
        <w:shd w:val="clear" w:color="000000" w:fill="000000"/>
        <w:vertAlign w:val="baseline"/>
        <w:em w:val="none"/>
        <w:lang w:val="x-none" w:eastAsia="x-none" w:bidi="x-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1">
      <w:start w:val="1"/>
      <w:numFmt w:val="lowerLetter"/>
      <w:lvlText w:val="%2)"/>
      <w:lvlJc w:val="left"/>
      <w:pPr>
        <w:tabs>
          <w:tab w:val="num" w:pos="720"/>
        </w:tabs>
        <w:ind w:left="720" w:hanging="360"/>
      </w:pPr>
    </w:lvl>
    <w:lvl w:ilvl="2">
      <w:start w:val="1"/>
      <w:numFmt w:val="lowerRoman"/>
      <w:lvlText w:val="%3)"/>
      <w:lvlJc w:val="left"/>
      <w:pPr>
        <w:tabs>
          <w:tab w:val="num" w:pos="1080"/>
        </w:tabs>
        <w:ind w:left="1080" w:hanging="360"/>
      </w:p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18" w15:restartNumberingAfterBreak="0">
    <w:nsid w:val="1CB2137B"/>
    <w:multiLevelType w:val="hybridMultilevel"/>
    <w:tmpl w:val="15FCB860"/>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9" w15:restartNumberingAfterBreak="0">
    <w:nsid w:val="1D8A79F7"/>
    <w:multiLevelType w:val="hybridMultilevel"/>
    <w:tmpl w:val="7632C6A2"/>
    <w:lvl w:ilvl="0" w:tplc="04090001">
      <w:start w:val="1"/>
      <w:numFmt w:val="bullet"/>
      <w:lvlText w:val=""/>
      <w:lvlJc w:val="left"/>
      <w:pPr>
        <w:ind w:left="1800" w:hanging="360"/>
      </w:pPr>
      <w:rPr>
        <w:rFonts w:ascii="Symbol" w:hAnsi="Symbol"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20" w15:restartNumberingAfterBreak="0">
    <w:nsid w:val="1DA04356"/>
    <w:multiLevelType w:val="hybridMultilevel"/>
    <w:tmpl w:val="3A5A1996"/>
    <w:lvl w:ilvl="0" w:tplc="04090001">
      <w:start w:val="1"/>
      <w:numFmt w:val="bullet"/>
      <w:lvlText w:val=""/>
      <w:lvlJc w:val="left"/>
      <w:pPr>
        <w:ind w:left="1620" w:hanging="360"/>
      </w:pPr>
      <w:rPr>
        <w:rFonts w:ascii="Symbol" w:hAnsi="Symbol" w:hint="default"/>
      </w:rPr>
    </w:lvl>
    <w:lvl w:ilvl="1" w:tplc="04090003" w:tentative="1">
      <w:start w:val="1"/>
      <w:numFmt w:val="bullet"/>
      <w:lvlText w:val="o"/>
      <w:lvlJc w:val="left"/>
      <w:pPr>
        <w:ind w:left="2340" w:hanging="360"/>
      </w:pPr>
      <w:rPr>
        <w:rFonts w:ascii="Courier New" w:hAnsi="Courier New" w:cs="Courier New" w:hint="default"/>
      </w:rPr>
    </w:lvl>
    <w:lvl w:ilvl="2" w:tplc="04090005" w:tentative="1">
      <w:start w:val="1"/>
      <w:numFmt w:val="bullet"/>
      <w:lvlText w:val=""/>
      <w:lvlJc w:val="left"/>
      <w:pPr>
        <w:ind w:left="3060" w:hanging="360"/>
      </w:pPr>
      <w:rPr>
        <w:rFonts w:ascii="Wingdings" w:hAnsi="Wingdings" w:hint="default"/>
      </w:rPr>
    </w:lvl>
    <w:lvl w:ilvl="3" w:tplc="04090001" w:tentative="1">
      <w:start w:val="1"/>
      <w:numFmt w:val="bullet"/>
      <w:lvlText w:val=""/>
      <w:lvlJc w:val="left"/>
      <w:pPr>
        <w:ind w:left="3780" w:hanging="360"/>
      </w:pPr>
      <w:rPr>
        <w:rFonts w:ascii="Symbol" w:hAnsi="Symbol" w:hint="default"/>
      </w:rPr>
    </w:lvl>
    <w:lvl w:ilvl="4" w:tplc="04090003" w:tentative="1">
      <w:start w:val="1"/>
      <w:numFmt w:val="bullet"/>
      <w:lvlText w:val="o"/>
      <w:lvlJc w:val="left"/>
      <w:pPr>
        <w:ind w:left="4500" w:hanging="360"/>
      </w:pPr>
      <w:rPr>
        <w:rFonts w:ascii="Courier New" w:hAnsi="Courier New" w:cs="Courier New" w:hint="default"/>
      </w:rPr>
    </w:lvl>
    <w:lvl w:ilvl="5" w:tplc="04090005" w:tentative="1">
      <w:start w:val="1"/>
      <w:numFmt w:val="bullet"/>
      <w:lvlText w:val=""/>
      <w:lvlJc w:val="left"/>
      <w:pPr>
        <w:ind w:left="5220" w:hanging="360"/>
      </w:pPr>
      <w:rPr>
        <w:rFonts w:ascii="Wingdings" w:hAnsi="Wingdings" w:hint="default"/>
      </w:rPr>
    </w:lvl>
    <w:lvl w:ilvl="6" w:tplc="04090001" w:tentative="1">
      <w:start w:val="1"/>
      <w:numFmt w:val="bullet"/>
      <w:lvlText w:val=""/>
      <w:lvlJc w:val="left"/>
      <w:pPr>
        <w:ind w:left="5940" w:hanging="360"/>
      </w:pPr>
      <w:rPr>
        <w:rFonts w:ascii="Symbol" w:hAnsi="Symbol" w:hint="default"/>
      </w:rPr>
    </w:lvl>
    <w:lvl w:ilvl="7" w:tplc="04090003" w:tentative="1">
      <w:start w:val="1"/>
      <w:numFmt w:val="bullet"/>
      <w:lvlText w:val="o"/>
      <w:lvlJc w:val="left"/>
      <w:pPr>
        <w:ind w:left="6660" w:hanging="360"/>
      </w:pPr>
      <w:rPr>
        <w:rFonts w:ascii="Courier New" w:hAnsi="Courier New" w:cs="Courier New" w:hint="default"/>
      </w:rPr>
    </w:lvl>
    <w:lvl w:ilvl="8" w:tplc="04090005" w:tentative="1">
      <w:start w:val="1"/>
      <w:numFmt w:val="bullet"/>
      <w:lvlText w:val=""/>
      <w:lvlJc w:val="left"/>
      <w:pPr>
        <w:ind w:left="7380" w:hanging="360"/>
      </w:pPr>
      <w:rPr>
        <w:rFonts w:ascii="Wingdings" w:hAnsi="Wingdings" w:hint="default"/>
      </w:rPr>
    </w:lvl>
  </w:abstractNum>
  <w:abstractNum w:abstractNumId="21" w15:restartNumberingAfterBreak="0">
    <w:nsid w:val="1E0F4C1D"/>
    <w:multiLevelType w:val="hybridMultilevel"/>
    <w:tmpl w:val="931618C0"/>
    <w:lvl w:ilvl="0" w:tplc="04090001">
      <w:start w:val="1"/>
      <w:numFmt w:val="bullet"/>
      <w:lvlText w:val=""/>
      <w:lvlJc w:val="left"/>
      <w:pPr>
        <w:ind w:left="1800" w:hanging="360"/>
      </w:pPr>
      <w:rPr>
        <w:rFonts w:ascii="Symbol" w:hAnsi="Symbol"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22" w15:restartNumberingAfterBreak="0">
    <w:nsid w:val="224141FD"/>
    <w:multiLevelType w:val="hybridMultilevel"/>
    <w:tmpl w:val="831EAADC"/>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3" w15:restartNumberingAfterBreak="0">
    <w:nsid w:val="22FF46BB"/>
    <w:multiLevelType w:val="hybridMultilevel"/>
    <w:tmpl w:val="E3E0CEE2"/>
    <w:lvl w:ilvl="0" w:tplc="04090001">
      <w:start w:val="1"/>
      <w:numFmt w:val="bullet"/>
      <w:lvlText w:val=""/>
      <w:lvlJc w:val="left"/>
      <w:pPr>
        <w:ind w:left="1088" w:hanging="360"/>
      </w:pPr>
      <w:rPr>
        <w:rFonts w:ascii="Symbol" w:hAnsi="Symbol" w:hint="default"/>
      </w:rPr>
    </w:lvl>
    <w:lvl w:ilvl="1" w:tplc="04090003" w:tentative="1">
      <w:start w:val="1"/>
      <w:numFmt w:val="bullet"/>
      <w:lvlText w:val="o"/>
      <w:lvlJc w:val="left"/>
      <w:pPr>
        <w:ind w:left="1808" w:hanging="360"/>
      </w:pPr>
      <w:rPr>
        <w:rFonts w:ascii="Courier New" w:hAnsi="Courier New" w:cs="Courier New" w:hint="default"/>
      </w:rPr>
    </w:lvl>
    <w:lvl w:ilvl="2" w:tplc="04090005" w:tentative="1">
      <w:start w:val="1"/>
      <w:numFmt w:val="bullet"/>
      <w:lvlText w:val=""/>
      <w:lvlJc w:val="left"/>
      <w:pPr>
        <w:ind w:left="2528" w:hanging="360"/>
      </w:pPr>
      <w:rPr>
        <w:rFonts w:ascii="Wingdings" w:hAnsi="Wingdings" w:hint="default"/>
      </w:rPr>
    </w:lvl>
    <w:lvl w:ilvl="3" w:tplc="04090001" w:tentative="1">
      <w:start w:val="1"/>
      <w:numFmt w:val="bullet"/>
      <w:lvlText w:val=""/>
      <w:lvlJc w:val="left"/>
      <w:pPr>
        <w:ind w:left="3248" w:hanging="360"/>
      </w:pPr>
      <w:rPr>
        <w:rFonts w:ascii="Symbol" w:hAnsi="Symbol" w:hint="default"/>
      </w:rPr>
    </w:lvl>
    <w:lvl w:ilvl="4" w:tplc="04090003" w:tentative="1">
      <w:start w:val="1"/>
      <w:numFmt w:val="bullet"/>
      <w:lvlText w:val="o"/>
      <w:lvlJc w:val="left"/>
      <w:pPr>
        <w:ind w:left="3968" w:hanging="360"/>
      </w:pPr>
      <w:rPr>
        <w:rFonts w:ascii="Courier New" w:hAnsi="Courier New" w:cs="Courier New" w:hint="default"/>
      </w:rPr>
    </w:lvl>
    <w:lvl w:ilvl="5" w:tplc="04090005" w:tentative="1">
      <w:start w:val="1"/>
      <w:numFmt w:val="bullet"/>
      <w:lvlText w:val=""/>
      <w:lvlJc w:val="left"/>
      <w:pPr>
        <w:ind w:left="4688" w:hanging="360"/>
      </w:pPr>
      <w:rPr>
        <w:rFonts w:ascii="Wingdings" w:hAnsi="Wingdings" w:hint="default"/>
      </w:rPr>
    </w:lvl>
    <w:lvl w:ilvl="6" w:tplc="04090001" w:tentative="1">
      <w:start w:val="1"/>
      <w:numFmt w:val="bullet"/>
      <w:lvlText w:val=""/>
      <w:lvlJc w:val="left"/>
      <w:pPr>
        <w:ind w:left="5408" w:hanging="360"/>
      </w:pPr>
      <w:rPr>
        <w:rFonts w:ascii="Symbol" w:hAnsi="Symbol" w:hint="default"/>
      </w:rPr>
    </w:lvl>
    <w:lvl w:ilvl="7" w:tplc="04090003" w:tentative="1">
      <w:start w:val="1"/>
      <w:numFmt w:val="bullet"/>
      <w:lvlText w:val="o"/>
      <w:lvlJc w:val="left"/>
      <w:pPr>
        <w:ind w:left="6128" w:hanging="360"/>
      </w:pPr>
      <w:rPr>
        <w:rFonts w:ascii="Courier New" w:hAnsi="Courier New" w:cs="Courier New" w:hint="default"/>
      </w:rPr>
    </w:lvl>
    <w:lvl w:ilvl="8" w:tplc="04090005" w:tentative="1">
      <w:start w:val="1"/>
      <w:numFmt w:val="bullet"/>
      <w:lvlText w:val=""/>
      <w:lvlJc w:val="left"/>
      <w:pPr>
        <w:ind w:left="6848" w:hanging="360"/>
      </w:pPr>
      <w:rPr>
        <w:rFonts w:ascii="Wingdings" w:hAnsi="Wingdings" w:hint="default"/>
      </w:rPr>
    </w:lvl>
  </w:abstractNum>
  <w:abstractNum w:abstractNumId="24" w15:restartNumberingAfterBreak="0">
    <w:nsid w:val="24F20963"/>
    <w:multiLevelType w:val="hybridMultilevel"/>
    <w:tmpl w:val="8DAEC6CC"/>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5" w15:restartNumberingAfterBreak="0">
    <w:nsid w:val="2A941917"/>
    <w:multiLevelType w:val="hybridMultilevel"/>
    <w:tmpl w:val="56520EFC"/>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6" w15:restartNumberingAfterBreak="0">
    <w:nsid w:val="31956CEB"/>
    <w:multiLevelType w:val="hybridMultilevel"/>
    <w:tmpl w:val="A95A6AEA"/>
    <w:lvl w:ilvl="0" w:tplc="0409000F">
      <w:start w:val="1"/>
      <w:numFmt w:val="decimal"/>
      <w:lvlText w:val="%1."/>
      <w:lvlJc w:val="left"/>
      <w:pPr>
        <w:ind w:left="1080" w:hanging="360"/>
      </w:p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27" w15:restartNumberingAfterBreak="0">
    <w:nsid w:val="347C26D6"/>
    <w:multiLevelType w:val="hybridMultilevel"/>
    <w:tmpl w:val="36662DBC"/>
    <w:lvl w:ilvl="0" w:tplc="0E88F53A">
      <w:start w:val="2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8" w15:restartNumberingAfterBreak="0">
    <w:nsid w:val="35CA441F"/>
    <w:multiLevelType w:val="hybridMultilevel"/>
    <w:tmpl w:val="2A6E3A9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9" w15:restartNumberingAfterBreak="0">
    <w:nsid w:val="3629063D"/>
    <w:multiLevelType w:val="hybridMultilevel"/>
    <w:tmpl w:val="ED02FFC8"/>
    <w:lvl w:ilvl="0" w:tplc="04090001">
      <w:start w:val="1"/>
      <w:numFmt w:val="bullet"/>
      <w:lvlText w:val=""/>
      <w:lvlJc w:val="left"/>
      <w:pPr>
        <w:tabs>
          <w:tab w:val="num" w:pos="720"/>
        </w:tabs>
        <w:ind w:left="720" w:hanging="360"/>
      </w:pPr>
      <w:rPr>
        <w:rFonts w:ascii="Symbol" w:hAnsi="Symbol" w:hint="default"/>
      </w:rPr>
    </w:lvl>
    <w:lvl w:ilvl="1" w:tplc="04090003">
      <w:start w:val="1"/>
      <w:numFmt w:val="bullet"/>
      <w:lvlText w:val="o"/>
      <w:lvlJc w:val="left"/>
      <w:pPr>
        <w:tabs>
          <w:tab w:val="num" w:pos="1440"/>
        </w:tabs>
        <w:ind w:left="1440" w:hanging="360"/>
      </w:pPr>
      <w:rPr>
        <w:rFonts w:ascii="Courier New" w:hAnsi="Courier New" w:cs="Courier New"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cs="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cs="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30" w15:restartNumberingAfterBreak="0">
    <w:nsid w:val="38026DF8"/>
    <w:multiLevelType w:val="hybridMultilevel"/>
    <w:tmpl w:val="070E1682"/>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1" w15:restartNumberingAfterBreak="0">
    <w:nsid w:val="3D8556D8"/>
    <w:multiLevelType w:val="hybridMultilevel"/>
    <w:tmpl w:val="C0341C7E"/>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2" w15:restartNumberingAfterBreak="0">
    <w:nsid w:val="3DB92953"/>
    <w:multiLevelType w:val="hybridMultilevel"/>
    <w:tmpl w:val="FFA2AC80"/>
    <w:lvl w:ilvl="0" w:tplc="04090001">
      <w:start w:val="1"/>
      <w:numFmt w:val="bullet"/>
      <w:lvlText w:val=""/>
      <w:lvlJc w:val="left"/>
      <w:pPr>
        <w:tabs>
          <w:tab w:val="num" w:pos="840"/>
        </w:tabs>
        <w:ind w:left="840" w:hanging="360"/>
      </w:pPr>
      <w:rPr>
        <w:rFonts w:ascii="Symbol" w:hAnsi="Symbol" w:hint="default"/>
      </w:rPr>
    </w:lvl>
    <w:lvl w:ilvl="1" w:tplc="04090003" w:tentative="1">
      <w:start w:val="1"/>
      <w:numFmt w:val="bullet"/>
      <w:lvlText w:val="o"/>
      <w:lvlJc w:val="left"/>
      <w:pPr>
        <w:tabs>
          <w:tab w:val="num" w:pos="1560"/>
        </w:tabs>
        <w:ind w:left="1560" w:hanging="360"/>
      </w:pPr>
      <w:rPr>
        <w:rFonts w:ascii="Courier New" w:hAnsi="Courier New" w:hint="default"/>
      </w:rPr>
    </w:lvl>
    <w:lvl w:ilvl="2" w:tplc="04090005" w:tentative="1">
      <w:start w:val="1"/>
      <w:numFmt w:val="bullet"/>
      <w:lvlText w:val=""/>
      <w:lvlJc w:val="left"/>
      <w:pPr>
        <w:tabs>
          <w:tab w:val="num" w:pos="2280"/>
        </w:tabs>
        <w:ind w:left="2280" w:hanging="360"/>
      </w:pPr>
      <w:rPr>
        <w:rFonts w:ascii="Wingdings" w:hAnsi="Wingdings" w:hint="default"/>
      </w:rPr>
    </w:lvl>
    <w:lvl w:ilvl="3" w:tplc="04090001" w:tentative="1">
      <w:start w:val="1"/>
      <w:numFmt w:val="bullet"/>
      <w:lvlText w:val=""/>
      <w:lvlJc w:val="left"/>
      <w:pPr>
        <w:tabs>
          <w:tab w:val="num" w:pos="3000"/>
        </w:tabs>
        <w:ind w:left="3000" w:hanging="360"/>
      </w:pPr>
      <w:rPr>
        <w:rFonts w:ascii="Symbol" w:hAnsi="Symbol" w:hint="default"/>
      </w:rPr>
    </w:lvl>
    <w:lvl w:ilvl="4" w:tplc="04090003" w:tentative="1">
      <w:start w:val="1"/>
      <w:numFmt w:val="bullet"/>
      <w:lvlText w:val="o"/>
      <w:lvlJc w:val="left"/>
      <w:pPr>
        <w:tabs>
          <w:tab w:val="num" w:pos="3720"/>
        </w:tabs>
        <w:ind w:left="3720" w:hanging="360"/>
      </w:pPr>
      <w:rPr>
        <w:rFonts w:ascii="Courier New" w:hAnsi="Courier New" w:hint="default"/>
      </w:rPr>
    </w:lvl>
    <w:lvl w:ilvl="5" w:tplc="04090005" w:tentative="1">
      <w:start w:val="1"/>
      <w:numFmt w:val="bullet"/>
      <w:lvlText w:val=""/>
      <w:lvlJc w:val="left"/>
      <w:pPr>
        <w:tabs>
          <w:tab w:val="num" w:pos="4440"/>
        </w:tabs>
        <w:ind w:left="4440" w:hanging="360"/>
      </w:pPr>
      <w:rPr>
        <w:rFonts w:ascii="Wingdings" w:hAnsi="Wingdings" w:hint="default"/>
      </w:rPr>
    </w:lvl>
    <w:lvl w:ilvl="6" w:tplc="04090001" w:tentative="1">
      <w:start w:val="1"/>
      <w:numFmt w:val="bullet"/>
      <w:lvlText w:val=""/>
      <w:lvlJc w:val="left"/>
      <w:pPr>
        <w:tabs>
          <w:tab w:val="num" w:pos="5160"/>
        </w:tabs>
        <w:ind w:left="5160" w:hanging="360"/>
      </w:pPr>
      <w:rPr>
        <w:rFonts w:ascii="Symbol" w:hAnsi="Symbol" w:hint="default"/>
      </w:rPr>
    </w:lvl>
    <w:lvl w:ilvl="7" w:tplc="04090003" w:tentative="1">
      <w:start w:val="1"/>
      <w:numFmt w:val="bullet"/>
      <w:lvlText w:val="o"/>
      <w:lvlJc w:val="left"/>
      <w:pPr>
        <w:tabs>
          <w:tab w:val="num" w:pos="5880"/>
        </w:tabs>
        <w:ind w:left="5880" w:hanging="360"/>
      </w:pPr>
      <w:rPr>
        <w:rFonts w:ascii="Courier New" w:hAnsi="Courier New" w:hint="default"/>
      </w:rPr>
    </w:lvl>
    <w:lvl w:ilvl="8" w:tplc="04090005" w:tentative="1">
      <w:start w:val="1"/>
      <w:numFmt w:val="bullet"/>
      <w:lvlText w:val=""/>
      <w:lvlJc w:val="left"/>
      <w:pPr>
        <w:tabs>
          <w:tab w:val="num" w:pos="6600"/>
        </w:tabs>
        <w:ind w:left="6600" w:hanging="360"/>
      </w:pPr>
      <w:rPr>
        <w:rFonts w:ascii="Wingdings" w:hAnsi="Wingdings" w:hint="default"/>
      </w:rPr>
    </w:lvl>
  </w:abstractNum>
  <w:abstractNum w:abstractNumId="33" w15:restartNumberingAfterBreak="0">
    <w:nsid w:val="3EC14229"/>
    <w:multiLevelType w:val="hybridMultilevel"/>
    <w:tmpl w:val="61D22AE4"/>
    <w:lvl w:ilvl="0" w:tplc="14BE1E3C">
      <w:start w:val="2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4" w15:restartNumberingAfterBreak="0">
    <w:nsid w:val="3F8F1D03"/>
    <w:multiLevelType w:val="hybridMultilevel"/>
    <w:tmpl w:val="7BCCCF1A"/>
    <w:lvl w:ilvl="0" w:tplc="0409000F">
      <w:start w:val="1"/>
      <w:numFmt w:val="decimal"/>
      <w:lvlText w:val="%1."/>
      <w:lvlJc w:val="left"/>
      <w:pPr>
        <w:ind w:left="1440" w:hanging="360"/>
      </w:p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35" w15:restartNumberingAfterBreak="0">
    <w:nsid w:val="410F1696"/>
    <w:multiLevelType w:val="hybridMultilevel"/>
    <w:tmpl w:val="3C76ED4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6" w15:restartNumberingAfterBreak="0">
    <w:nsid w:val="41C03445"/>
    <w:multiLevelType w:val="hybridMultilevel"/>
    <w:tmpl w:val="EB2EE69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7" w15:restartNumberingAfterBreak="0">
    <w:nsid w:val="43A27059"/>
    <w:multiLevelType w:val="hybridMultilevel"/>
    <w:tmpl w:val="A59E468A"/>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8" w15:restartNumberingAfterBreak="0">
    <w:nsid w:val="43F37EC2"/>
    <w:multiLevelType w:val="hybridMultilevel"/>
    <w:tmpl w:val="72B4D3B2"/>
    <w:lvl w:ilvl="0" w:tplc="367CAE04">
      <w:start w:val="2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9" w15:restartNumberingAfterBreak="0">
    <w:nsid w:val="47BE7F7D"/>
    <w:multiLevelType w:val="hybridMultilevel"/>
    <w:tmpl w:val="705ABF56"/>
    <w:lvl w:ilvl="0" w:tplc="8B0AA716">
      <w:start w:val="2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0" w15:restartNumberingAfterBreak="0">
    <w:nsid w:val="480073BE"/>
    <w:multiLevelType w:val="hybridMultilevel"/>
    <w:tmpl w:val="014CF7E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1" w15:restartNumberingAfterBreak="0">
    <w:nsid w:val="4B4312C5"/>
    <w:multiLevelType w:val="hybridMultilevel"/>
    <w:tmpl w:val="621C5EC6"/>
    <w:lvl w:ilvl="0" w:tplc="C5D06E8A">
      <w:start w:val="22"/>
      <w:numFmt w:val="decimal"/>
      <w:lvlText w:val="%1."/>
      <w:lvlJc w:val="left"/>
      <w:pPr>
        <w:ind w:left="108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2" w15:restartNumberingAfterBreak="0">
    <w:nsid w:val="4B792305"/>
    <w:multiLevelType w:val="hybridMultilevel"/>
    <w:tmpl w:val="7852738C"/>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3" w15:restartNumberingAfterBreak="0">
    <w:nsid w:val="4DB27BA0"/>
    <w:multiLevelType w:val="hybridMultilevel"/>
    <w:tmpl w:val="1F5421B4"/>
    <w:lvl w:ilvl="0" w:tplc="7332E24C">
      <w:start w:val="1"/>
      <w:numFmt w:val="bullet"/>
      <w:lvlText w:val=""/>
      <w:lvlJc w:val="left"/>
      <w:pPr>
        <w:ind w:left="1800" w:hanging="360"/>
      </w:pPr>
      <w:rPr>
        <w:rFonts w:ascii="Symbol" w:hAnsi="Symbol" w:hint="default"/>
        <w:color w:val="000000" w:themeColor="text1"/>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44" w15:restartNumberingAfterBreak="0">
    <w:nsid w:val="50F768BD"/>
    <w:multiLevelType w:val="hybridMultilevel"/>
    <w:tmpl w:val="CA70A484"/>
    <w:lvl w:ilvl="0" w:tplc="04090001">
      <w:start w:val="1"/>
      <w:numFmt w:val="bullet"/>
      <w:lvlText w:val=""/>
      <w:lvlJc w:val="left"/>
      <w:pPr>
        <w:ind w:left="1980" w:hanging="360"/>
      </w:pPr>
      <w:rPr>
        <w:rFonts w:ascii="Symbol" w:hAnsi="Symbol" w:hint="default"/>
      </w:rPr>
    </w:lvl>
    <w:lvl w:ilvl="1" w:tplc="04090003" w:tentative="1">
      <w:start w:val="1"/>
      <w:numFmt w:val="bullet"/>
      <w:lvlText w:val="o"/>
      <w:lvlJc w:val="left"/>
      <w:pPr>
        <w:ind w:left="2700" w:hanging="360"/>
      </w:pPr>
      <w:rPr>
        <w:rFonts w:ascii="Courier New" w:hAnsi="Courier New" w:cs="Courier New" w:hint="default"/>
      </w:rPr>
    </w:lvl>
    <w:lvl w:ilvl="2" w:tplc="04090005" w:tentative="1">
      <w:start w:val="1"/>
      <w:numFmt w:val="bullet"/>
      <w:lvlText w:val=""/>
      <w:lvlJc w:val="left"/>
      <w:pPr>
        <w:ind w:left="3420" w:hanging="360"/>
      </w:pPr>
      <w:rPr>
        <w:rFonts w:ascii="Wingdings" w:hAnsi="Wingdings" w:hint="default"/>
      </w:rPr>
    </w:lvl>
    <w:lvl w:ilvl="3" w:tplc="04090001" w:tentative="1">
      <w:start w:val="1"/>
      <w:numFmt w:val="bullet"/>
      <w:lvlText w:val=""/>
      <w:lvlJc w:val="left"/>
      <w:pPr>
        <w:ind w:left="4140" w:hanging="360"/>
      </w:pPr>
      <w:rPr>
        <w:rFonts w:ascii="Symbol" w:hAnsi="Symbol" w:hint="default"/>
      </w:rPr>
    </w:lvl>
    <w:lvl w:ilvl="4" w:tplc="04090003" w:tentative="1">
      <w:start w:val="1"/>
      <w:numFmt w:val="bullet"/>
      <w:lvlText w:val="o"/>
      <w:lvlJc w:val="left"/>
      <w:pPr>
        <w:ind w:left="4860" w:hanging="360"/>
      </w:pPr>
      <w:rPr>
        <w:rFonts w:ascii="Courier New" w:hAnsi="Courier New" w:cs="Courier New" w:hint="default"/>
      </w:rPr>
    </w:lvl>
    <w:lvl w:ilvl="5" w:tplc="04090005" w:tentative="1">
      <w:start w:val="1"/>
      <w:numFmt w:val="bullet"/>
      <w:lvlText w:val=""/>
      <w:lvlJc w:val="left"/>
      <w:pPr>
        <w:ind w:left="5580" w:hanging="360"/>
      </w:pPr>
      <w:rPr>
        <w:rFonts w:ascii="Wingdings" w:hAnsi="Wingdings" w:hint="default"/>
      </w:rPr>
    </w:lvl>
    <w:lvl w:ilvl="6" w:tplc="04090001" w:tentative="1">
      <w:start w:val="1"/>
      <w:numFmt w:val="bullet"/>
      <w:lvlText w:val=""/>
      <w:lvlJc w:val="left"/>
      <w:pPr>
        <w:ind w:left="6300" w:hanging="360"/>
      </w:pPr>
      <w:rPr>
        <w:rFonts w:ascii="Symbol" w:hAnsi="Symbol" w:hint="default"/>
      </w:rPr>
    </w:lvl>
    <w:lvl w:ilvl="7" w:tplc="04090003" w:tentative="1">
      <w:start w:val="1"/>
      <w:numFmt w:val="bullet"/>
      <w:lvlText w:val="o"/>
      <w:lvlJc w:val="left"/>
      <w:pPr>
        <w:ind w:left="7020" w:hanging="360"/>
      </w:pPr>
      <w:rPr>
        <w:rFonts w:ascii="Courier New" w:hAnsi="Courier New" w:cs="Courier New" w:hint="default"/>
      </w:rPr>
    </w:lvl>
    <w:lvl w:ilvl="8" w:tplc="04090005" w:tentative="1">
      <w:start w:val="1"/>
      <w:numFmt w:val="bullet"/>
      <w:lvlText w:val=""/>
      <w:lvlJc w:val="left"/>
      <w:pPr>
        <w:ind w:left="7740" w:hanging="360"/>
      </w:pPr>
      <w:rPr>
        <w:rFonts w:ascii="Wingdings" w:hAnsi="Wingdings" w:hint="default"/>
      </w:rPr>
    </w:lvl>
  </w:abstractNum>
  <w:abstractNum w:abstractNumId="45" w15:restartNumberingAfterBreak="0">
    <w:nsid w:val="58062434"/>
    <w:multiLevelType w:val="hybridMultilevel"/>
    <w:tmpl w:val="27D80256"/>
    <w:lvl w:ilvl="0" w:tplc="7040E5F2">
      <w:start w:val="1"/>
      <w:numFmt w:val="bullet"/>
      <w:pStyle w:val="List"/>
      <w:lvlText w:val=""/>
      <w:lvlJc w:val="left"/>
      <w:pPr>
        <w:ind w:left="1440" w:hanging="360"/>
      </w:pPr>
      <w:rPr>
        <w:rFonts w:ascii="Symbol" w:hAnsi="Symbol" w:hint="default"/>
      </w:rPr>
    </w:lvl>
    <w:lvl w:ilvl="1" w:tplc="6E36A046">
      <w:start w:val="1"/>
      <w:numFmt w:val="bullet"/>
      <w:pStyle w:val="List2"/>
      <w:lvlText w:val="o"/>
      <w:lvlJc w:val="left"/>
      <w:pPr>
        <w:ind w:left="2160" w:hanging="360"/>
      </w:pPr>
      <w:rPr>
        <w:rFonts w:ascii="Courier New" w:hAnsi="Courier New" w:cs="Courier New" w:hint="default"/>
      </w:rPr>
    </w:lvl>
    <w:lvl w:ilvl="2" w:tplc="C1686812">
      <w:start w:val="1"/>
      <w:numFmt w:val="bullet"/>
      <w:lvlRestart w:val="0"/>
      <w:lvlText w:val=""/>
      <w:lvlJc w:val="left"/>
      <w:pPr>
        <w:tabs>
          <w:tab w:val="num" w:pos="2880"/>
        </w:tabs>
        <w:ind w:left="2880" w:hanging="360"/>
      </w:pPr>
      <w:rPr>
        <w:rFonts w:ascii="Symbol" w:hAnsi="Symbol"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6" w15:restartNumberingAfterBreak="0">
    <w:nsid w:val="5E0000AA"/>
    <w:multiLevelType w:val="hybridMultilevel"/>
    <w:tmpl w:val="57A83172"/>
    <w:lvl w:ilvl="0" w:tplc="6FCA1664">
      <w:start w:val="1"/>
      <w:numFmt w:val="bullet"/>
      <w:lvlText w:val=""/>
      <w:lvlJc w:val="left"/>
      <w:pPr>
        <w:ind w:left="1800" w:hanging="360"/>
      </w:pPr>
      <w:rPr>
        <w:rFonts w:ascii="Symbol" w:hAnsi="Symbol" w:hint="default"/>
        <w:color w:val="000000" w:themeColor="text1"/>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47" w15:restartNumberingAfterBreak="0">
    <w:nsid w:val="62187438"/>
    <w:multiLevelType w:val="hybridMultilevel"/>
    <w:tmpl w:val="CBFCFD46"/>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48" w15:restartNumberingAfterBreak="0">
    <w:nsid w:val="63E47E5B"/>
    <w:multiLevelType w:val="hybridMultilevel"/>
    <w:tmpl w:val="FFEA4004"/>
    <w:lvl w:ilvl="0" w:tplc="4C862F70">
      <w:start w:val="1"/>
      <w:numFmt w:val="bullet"/>
      <w:lvlText w:val=""/>
      <w:lvlJc w:val="left"/>
      <w:pPr>
        <w:ind w:left="1800" w:hanging="360"/>
      </w:pPr>
      <w:rPr>
        <w:rFonts w:ascii="Symbol" w:hAnsi="Symbol" w:hint="default"/>
        <w:color w:val="C00000"/>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49" w15:restartNumberingAfterBreak="0">
    <w:nsid w:val="64FF64D1"/>
    <w:multiLevelType w:val="hybridMultilevel"/>
    <w:tmpl w:val="7B1C86B8"/>
    <w:lvl w:ilvl="0" w:tplc="0220BF0A">
      <w:start w:val="2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0" w15:restartNumberingAfterBreak="0">
    <w:nsid w:val="667555DF"/>
    <w:multiLevelType w:val="hybridMultilevel"/>
    <w:tmpl w:val="987C6770"/>
    <w:lvl w:ilvl="0" w:tplc="AA5E5F6E">
      <w:start w:val="1"/>
      <w:numFmt w:val="bullet"/>
      <w:lvlText w:val=""/>
      <w:lvlJc w:val="left"/>
      <w:pPr>
        <w:ind w:left="1800" w:hanging="360"/>
      </w:pPr>
      <w:rPr>
        <w:rFonts w:ascii="Symbol" w:hAnsi="Symbol" w:hint="default"/>
        <w:color w:val="000000" w:themeColor="text1"/>
      </w:rPr>
    </w:lvl>
    <w:lvl w:ilvl="1" w:tplc="04090003">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51" w15:restartNumberingAfterBreak="0">
    <w:nsid w:val="68752ED8"/>
    <w:multiLevelType w:val="hybridMultilevel"/>
    <w:tmpl w:val="8BF2578C"/>
    <w:lvl w:ilvl="0" w:tplc="0409000F">
      <w:start w:val="1"/>
      <w:numFmt w:val="decimal"/>
      <w:lvlText w:val="%1."/>
      <w:lvlJc w:val="left"/>
      <w:pPr>
        <w:ind w:left="1440" w:hanging="360"/>
      </w:p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52" w15:restartNumberingAfterBreak="0">
    <w:nsid w:val="69AF2448"/>
    <w:multiLevelType w:val="hybridMultilevel"/>
    <w:tmpl w:val="A06AADE8"/>
    <w:lvl w:ilvl="0" w:tplc="04090001">
      <w:start w:val="1"/>
      <w:numFmt w:val="bullet"/>
      <w:lvlText w:val=""/>
      <w:lvlJc w:val="left"/>
      <w:pPr>
        <w:ind w:left="720" w:hanging="360"/>
      </w:pPr>
      <w:rPr>
        <w:rFonts w:ascii="Symbol" w:hAnsi="Symbol" w:hint="default"/>
      </w:rPr>
    </w:lvl>
    <w:lvl w:ilvl="1" w:tplc="04090001">
      <w:start w:val="1"/>
      <w:numFmt w:val="bullet"/>
      <w:lvlText w:val=""/>
      <w:lvlJc w:val="left"/>
      <w:pPr>
        <w:ind w:left="1440" w:hanging="360"/>
      </w:pPr>
      <w:rPr>
        <w:rFonts w:ascii="Symbol" w:hAnsi="Symbol"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3" w15:restartNumberingAfterBreak="0">
    <w:nsid w:val="6B8B7ACE"/>
    <w:multiLevelType w:val="hybridMultilevel"/>
    <w:tmpl w:val="02641414"/>
    <w:lvl w:ilvl="0" w:tplc="A6FA657E">
      <w:start w:val="2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54" w15:restartNumberingAfterBreak="0">
    <w:nsid w:val="6DA1092A"/>
    <w:multiLevelType w:val="hybridMultilevel"/>
    <w:tmpl w:val="6682E754"/>
    <w:lvl w:ilvl="0" w:tplc="04090001">
      <w:start w:val="1"/>
      <w:numFmt w:val="bullet"/>
      <w:lvlText w:val=""/>
      <w:lvlJc w:val="left"/>
      <w:pPr>
        <w:ind w:left="2520" w:hanging="360"/>
      </w:pPr>
      <w:rPr>
        <w:rFonts w:ascii="Symbol" w:hAnsi="Symbol" w:hint="default"/>
      </w:rPr>
    </w:lvl>
    <w:lvl w:ilvl="1" w:tplc="04090003" w:tentative="1">
      <w:start w:val="1"/>
      <w:numFmt w:val="bullet"/>
      <w:lvlText w:val="o"/>
      <w:lvlJc w:val="left"/>
      <w:pPr>
        <w:ind w:left="3240" w:hanging="360"/>
      </w:pPr>
      <w:rPr>
        <w:rFonts w:ascii="Courier New" w:hAnsi="Courier New" w:cs="Courier New" w:hint="default"/>
      </w:rPr>
    </w:lvl>
    <w:lvl w:ilvl="2" w:tplc="04090005" w:tentative="1">
      <w:start w:val="1"/>
      <w:numFmt w:val="bullet"/>
      <w:lvlText w:val=""/>
      <w:lvlJc w:val="left"/>
      <w:pPr>
        <w:ind w:left="3960" w:hanging="360"/>
      </w:pPr>
      <w:rPr>
        <w:rFonts w:ascii="Wingdings" w:hAnsi="Wingdings" w:hint="default"/>
      </w:rPr>
    </w:lvl>
    <w:lvl w:ilvl="3" w:tplc="04090001" w:tentative="1">
      <w:start w:val="1"/>
      <w:numFmt w:val="bullet"/>
      <w:lvlText w:val=""/>
      <w:lvlJc w:val="left"/>
      <w:pPr>
        <w:ind w:left="4680" w:hanging="360"/>
      </w:pPr>
      <w:rPr>
        <w:rFonts w:ascii="Symbol" w:hAnsi="Symbol" w:hint="default"/>
      </w:rPr>
    </w:lvl>
    <w:lvl w:ilvl="4" w:tplc="04090003" w:tentative="1">
      <w:start w:val="1"/>
      <w:numFmt w:val="bullet"/>
      <w:lvlText w:val="o"/>
      <w:lvlJc w:val="left"/>
      <w:pPr>
        <w:ind w:left="5400" w:hanging="360"/>
      </w:pPr>
      <w:rPr>
        <w:rFonts w:ascii="Courier New" w:hAnsi="Courier New" w:cs="Courier New" w:hint="default"/>
      </w:rPr>
    </w:lvl>
    <w:lvl w:ilvl="5" w:tplc="04090005" w:tentative="1">
      <w:start w:val="1"/>
      <w:numFmt w:val="bullet"/>
      <w:lvlText w:val=""/>
      <w:lvlJc w:val="left"/>
      <w:pPr>
        <w:ind w:left="6120" w:hanging="360"/>
      </w:pPr>
      <w:rPr>
        <w:rFonts w:ascii="Wingdings" w:hAnsi="Wingdings" w:hint="default"/>
      </w:rPr>
    </w:lvl>
    <w:lvl w:ilvl="6" w:tplc="04090001" w:tentative="1">
      <w:start w:val="1"/>
      <w:numFmt w:val="bullet"/>
      <w:lvlText w:val=""/>
      <w:lvlJc w:val="left"/>
      <w:pPr>
        <w:ind w:left="6840" w:hanging="360"/>
      </w:pPr>
      <w:rPr>
        <w:rFonts w:ascii="Symbol" w:hAnsi="Symbol" w:hint="default"/>
      </w:rPr>
    </w:lvl>
    <w:lvl w:ilvl="7" w:tplc="04090003" w:tentative="1">
      <w:start w:val="1"/>
      <w:numFmt w:val="bullet"/>
      <w:lvlText w:val="o"/>
      <w:lvlJc w:val="left"/>
      <w:pPr>
        <w:ind w:left="7560" w:hanging="360"/>
      </w:pPr>
      <w:rPr>
        <w:rFonts w:ascii="Courier New" w:hAnsi="Courier New" w:cs="Courier New" w:hint="default"/>
      </w:rPr>
    </w:lvl>
    <w:lvl w:ilvl="8" w:tplc="04090005" w:tentative="1">
      <w:start w:val="1"/>
      <w:numFmt w:val="bullet"/>
      <w:lvlText w:val=""/>
      <w:lvlJc w:val="left"/>
      <w:pPr>
        <w:ind w:left="8280" w:hanging="360"/>
      </w:pPr>
      <w:rPr>
        <w:rFonts w:ascii="Wingdings" w:hAnsi="Wingdings" w:hint="default"/>
      </w:rPr>
    </w:lvl>
  </w:abstractNum>
  <w:abstractNum w:abstractNumId="55" w15:restartNumberingAfterBreak="0">
    <w:nsid w:val="71DF40D5"/>
    <w:multiLevelType w:val="hybridMultilevel"/>
    <w:tmpl w:val="F5FA2B6E"/>
    <w:lvl w:ilvl="0" w:tplc="04090001">
      <w:start w:val="1"/>
      <w:numFmt w:val="bullet"/>
      <w:lvlText w:val=""/>
      <w:lvlJc w:val="left"/>
      <w:pPr>
        <w:ind w:left="1080" w:hanging="360"/>
      </w:pPr>
      <w:rPr>
        <w:rFonts w:ascii="Symbol" w:hAnsi="Symbol" w:hint="default"/>
      </w:rPr>
    </w:lvl>
    <w:lvl w:ilvl="1" w:tplc="04090003">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56" w15:restartNumberingAfterBreak="0">
    <w:nsid w:val="7308581E"/>
    <w:multiLevelType w:val="multilevel"/>
    <w:tmpl w:val="AB4ADF52"/>
    <w:lvl w:ilvl="0">
      <w:start w:val="1"/>
      <w:numFmt w:val="decimal"/>
      <w:pStyle w:val="Heading1"/>
      <w:lvlText w:val="%1.0"/>
      <w:lvlJc w:val="left"/>
      <w:pPr>
        <w:ind w:left="720" w:hanging="720"/>
      </w:pPr>
      <w:rPr>
        <w:rFonts w:ascii="Arial" w:hAnsi="Arial" w:cs="Arial" w:hint="default"/>
        <w:b/>
        <w:bCs w:val="0"/>
        <w:i w:val="0"/>
        <w:iCs w:val="0"/>
        <w:color w:val="000000" w:themeColor="text1"/>
        <w:sz w:val="24"/>
        <w:szCs w:val="24"/>
      </w:rPr>
    </w:lvl>
    <w:lvl w:ilvl="1">
      <w:start w:val="1"/>
      <w:numFmt w:val="decimal"/>
      <w:lvlText w:val="%1.%2"/>
      <w:lvlJc w:val="left"/>
      <w:pPr>
        <w:ind w:left="1440" w:hanging="720"/>
      </w:pPr>
      <w:rPr>
        <w:rFonts w:ascii="Arial" w:hAnsi="Arial" w:cs="Arial" w:hint="default"/>
        <w:b w:val="0"/>
        <w:bCs w:val="0"/>
        <w:i w:val="0"/>
        <w:iCs w:val="0"/>
        <w:color w:val="000000" w:themeColor="text1"/>
        <w:sz w:val="24"/>
        <w:szCs w:val="24"/>
      </w:rPr>
    </w:lvl>
    <w:lvl w:ilvl="2">
      <w:start w:val="1"/>
      <w:numFmt w:val="bullet"/>
      <w:lvlText w:val=""/>
      <w:lvlJc w:val="left"/>
      <w:pPr>
        <w:ind w:left="1440" w:firstLine="0"/>
      </w:pPr>
      <w:rPr>
        <w:rFonts w:ascii="Symbol" w:hAnsi="Symbol" w:hint="default"/>
        <w:color w:val="auto"/>
      </w:rPr>
    </w:lvl>
    <w:lvl w:ilvl="3">
      <w:start w:val="1"/>
      <w:numFmt w:val="bullet"/>
      <w:lvlText w:val="o"/>
      <w:lvlJc w:val="left"/>
      <w:pPr>
        <w:ind w:left="2880" w:hanging="720"/>
      </w:pPr>
      <w:rPr>
        <w:rFonts w:ascii="Courier New" w:hAnsi="Courier New" w:cs="Courier New" w:hint="default"/>
        <w:color w:val="auto"/>
      </w:rPr>
    </w:lvl>
    <w:lvl w:ilvl="4">
      <w:start w:val="1"/>
      <w:numFmt w:val="lowerLetter"/>
      <w:lvlText w:val="%5."/>
      <w:lvlJc w:val="left"/>
      <w:pPr>
        <w:ind w:left="3600" w:hanging="720"/>
      </w:pPr>
      <w:rPr>
        <w:rFonts w:hint="default"/>
      </w:rPr>
    </w:lvl>
    <w:lvl w:ilvl="5">
      <w:start w:val="1"/>
      <w:numFmt w:val="lowerRoman"/>
      <w:lvlText w:val="%6."/>
      <w:lvlJc w:val="right"/>
      <w:pPr>
        <w:ind w:left="4320" w:hanging="720"/>
      </w:pPr>
      <w:rPr>
        <w:rFonts w:hint="default"/>
      </w:rPr>
    </w:lvl>
    <w:lvl w:ilvl="6">
      <w:start w:val="1"/>
      <w:numFmt w:val="decimal"/>
      <w:lvlText w:val="%7."/>
      <w:lvlJc w:val="left"/>
      <w:pPr>
        <w:ind w:left="5040" w:hanging="720"/>
      </w:pPr>
      <w:rPr>
        <w:rFonts w:hint="default"/>
      </w:rPr>
    </w:lvl>
    <w:lvl w:ilvl="7">
      <w:start w:val="1"/>
      <w:numFmt w:val="lowerLetter"/>
      <w:lvlText w:val="%8."/>
      <w:lvlJc w:val="left"/>
      <w:pPr>
        <w:ind w:left="5760" w:hanging="720"/>
      </w:pPr>
      <w:rPr>
        <w:rFonts w:hint="default"/>
      </w:rPr>
    </w:lvl>
    <w:lvl w:ilvl="8">
      <w:start w:val="1"/>
      <w:numFmt w:val="lowerRoman"/>
      <w:lvlText w:val="%9."/>
      <w:lvlJc w:val="right"/>
      <w:pPr>
        <w:ind w:left="6480" w:hanging="720"/>
      </w:pPr>
      <w:rPr>
        <w:rFonts w:hint="default"/>
      </w:rPr>
    </w:lvl>
  </w:abstractNum>
  <w:abstractNum w:abstractNumId="57" w15:restartNumberingAfterBreak="0">
    <w:nsid w:val="76917481"/>
    <w:multiLevelType w:val="hybridMultilevel"/>
    <w:tmpl w:val="F0048924"/>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start w:val="1"/>
      <w:numFmt w:val="decimal"/>
      <w:lvlText w:val="%4."/>
      <w:lvlJc w:val="left"/>
      <w:pPr>
        <w:ind w:left="2880" w:hanging="360"/>
      </w:pPr>
    </w:lvl>
    <w:lvl w:ilvl="4" w:tplc="04090019">
      <w:start w:val="1"/>
      <w:numFmt w:val="lowerLetter"/>
      <w:lvlText w:val="%5."/>
      <w:lvlJc w:val="left"/>
      <w:pPr>
        <w:ind w:left="3600" w:hanging="360"/>
      </w:pPr>
    </w:lvl>
    <w:lvl w:ilvl="5" w:tplc="0409001B">
      <w:start w:val="1"/>
      <w:numFmt w:val="lowerRoman"/>
      <w:lvlText w:val="%6."/>
      <w:lvlJc w:val="right"/>
      <w:pPr>
        <w:ind w:left="4320" w:hanging="180"/>
      </w:pPr>
    </w:lvl>
    <w:lvl w:ilvl="6" w:tplc="0409000F">
      <w:start w:val="1"/>
      <w:numFmt w:val="decimal"/>
      <w:lvlText w:val="%7."/>
      <w:lvlJc w:val="left"/>
      <w:pPr>
        <w:ind w:left="5040" w:hanging="360"/>
      </w:pPr>
    </w:lvl>
    <w:lvl w:ilvl="7" w:tplc="04090019">
      <w:start w:val="1"/>
      <w:numFmt w:val="lowerLetter"/>
      <w:lvlText w:val="%8."/>
      <w:lvlJc w:val="left"/>
      <w:pPr>
        <w:ind w:left="5760" w:hanging="360"/>
      </w:pPr>
    </w:lvl>
    <w:lvl w:ilvl="8" w:tplc="0409001B">
      <w:start w:val="1"/>
      <w:numFmt w:val="lowerRoman"/>
      <w:lvlText w:val="%9."/>
      <w:lvlJc w:val="right"/>
      <w:pPr>
        <w:ind w:left="6480" w:hanging="180"/>
      </w:pPr>
    </w:lvl>
  </w:abstractNum>
  <w:abstractNum w:abstractNumId="58" w15:restartNumberingAfterBreak="0">
    <w:nsid w:val="7C226AEA"/>
    <w:multiLevelType w:val="hybridMultilevel"/>
    <w:tmpl w:val="E2DC9C04"/>
    <w:lvl w:ilvl="0" w:tplc="B810B37E">
      <w:start w:val="1"/>
      <w:numFmt w:val="bullet"/>
      <w:pStyle w:val="ChecklistSimpleChecked"/>
      <w:lvlText w:val="☑"/>
      <w:lvlJc w:val="left"/>
      <w:pPr>
        <w:tabs>
          <w:tab w:val="num" w:pos="360"/>
        </w:tabs>
        <w:ind w:left="360" w:hanging="360"/>
      </w:pPr>
      <w:rPr>
        <w:rFonts w:ascii="Arial Unicode MS" w:eastAsia="Arial Unicode MS" w:hAnsi="Arial Unicode MS" w:hint="eastAsia"/>
      </w:rPr>
    </w:lvl>
    <w:lvl w:ilvl="1" w:tplc="04090003" w:tentative="1">
      <w:start w:val="1"/>
      <w:numFmt w:val="bullet"/>
      <w:lvlText w:val="o"/>
      <w:lvlJc w:val="left"/>
      <w:pPr>
        <w:tabs>
          <w:tab w:val="num" w:pos="1440"/>
        </w:tabs>
        <w:ind w:left="1440" w:hanging="360"/>
      </w:pPr>
      <w:rPr>
        <w:rFonts w:ascii="Courier New" w:hAnsi="Courier New" w:cs="Courier New"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cs="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cs="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59" w15:restartNumberingAfterBreak="0">
    <w:nsid w:val="7D21255E"/>
    <w:multiLevelType w:val="hybridMultilevel"/>
    <w:tmpl w:val="775EBB9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0" w15:restartNumberingAfterBreak="0">
    <w:nsid w:val="7DD6565B"/>
    <w:multiLevelType w:val="hybridMultilevel"/>
    <w:tmpl w:val="3EE40578"/>
    <w:lvl w:ilvl="0" w:tplc="04090001">
      <w:start w:val="1"/>
      <w:numFmt w:val="bullet"/>
      <w:lvlText w:val=""/>
      <w:lvlJc w:val="left"/>
      <w:pPr>
        <w:ind w:left="1980" w:hanging="360"/>
      </w:pPr>
      <w:rPr>
        <w:rFonts w:ascii="Symbol" w:hAnsi="Symbol" w:hint="default"/>
      </w:rPr>
    </w:lvl>
    <w:lvl w:ilvl="1" w:tplc="04090003" w:tentative="1">
      <w:start w:val="1"/>
      <w:numFmt w:val="bullet"/>
      <w:lvlText w:val="o"/>
      <w:lvlJc w:val="left"/>
      <w:pPr>
        <w:ind w:left="2700" w:hanging="360"/>
      </w:pPr>
      <w:rPr>
        <w:rFonts w:ascii="Courier New" w:hAnsi="Courier New" w:cs="Courier New" w:hint="default"/>
      </w:rPr>
    </w:lvl>
    <w:lvl w:ilvl="2" w:tplc="04090005" w:tentative="1">
      <w:start w:val="1"/>
      <w:numFmt w:val="bullet"/>
      <w:lvlText w:val=""/>
      <w:lvlJc w:val="left"/>
      <w:pPr>
        <w:ind w:left="3420" w:hanging="360"/>
      </w:pPr>
      <w:rPr>
        <w:rFonts w:ascii="Wingdings" w:hAnsi="Wingdings" w:hint="default"/>
      </w:rPr>
    </w:lvl>
    <w:lvl w:ilvl="3" w:tplc="04090001" w:tentative="1">
      <w:start w:val="1"/>
      <w:numFmt w:val="bullet"/>
      <w:lvlText w:val=""/>
      <w:lvlJc w:val="left"/>
      <w:pPr>
        <w:ind w:left="4140" w:hanging="360"/>
      </w:pPr>
      <w:rPr>
        <w:rFonts w:ascii="Symbol" w:hAnsi="Symbol" w:hint="default"/>
      </w:rPr>
    </w:lvl>
    <w:lvl w:ilvl="4" w:tplc="04090003" w:tentative="1">
      <w:start w:val="1"/>
      <w:numFmt w:val="bullet"/>
      <w:lvlText w:val="o"/>
      <w:lvlJc w:val="left"/>
      <w:pPr>
        <w:ind w:left="4860" w:hanging="360"/>
      </w:pPr>
      <w:rPr>
        <w:rFonts w:ascii="Courier New" w:hAnsi="Courier New" w:cs="Courier New" w:hint="default"/>
      </w:rPr>
    </w:lvl>
    <w:lvl w:ilvl="5" w:tplc="04090005" w:tentative="1">
      <w:start w:val="1"/>
      <w:numFmt w:val="bullet"/>
      <w:lvlText w:val=""/>
      <w:lvlJc w:val="left"/>
      <w:pPr>
        <w:ind w:left="5580" w:hanging="360"/>
      </w:pPr>
      <w:rPr>
        <w:rFonts w:ascii="Wingdings" w:hAnsi="Wingdings" w:hint="default"/>
      </w:rPr>
    </w:lvl>
    <w:lvl w:ilvl="6" w:tplc="04090001" w:tentative="1">
      <w:start w:val="1"/>
      <w:numFmt w:val="bullet"/>
      <w:lvlText w:val=""/>
      <w:lvlJc w:val="left"/>
      <w:pPr>
        <w:ind w:left="6300" w:hanging="360"/>
      </w:pPr>
      <w:rPr>
        <w:rFonts w:ascii="Symbol" w:hAnsi="Symbol" w:hint="default"/>
      </w:rPr>
    </w:lvl>
    <w:lvl w:ilvl="7" w:tplc="04090003" w:tentative="1">
      <w:start w:val="1"/>
      <w:numFmt w:val="bullet"/>
      <w:lvlText w:val="o"/>
      <w:lvlJc w:val="left"/>
      <w:pPr>
        <w:ind w:left="7020" w:hanging="360"/>
      </w:pPr>
      <w:rPr>
        <w:rFonts w:ascii="Courier New" w:hAnsi="Courier New" w:cs="Courier New" w:hint="default"/>
      </w:rPr>
    </w:lvl>
    <w:lvl w:ilvl="8" w:tplc="04090005" w:tentative="1">
      <w:start w:val="1"/>
      <w:numFmt w:val="bullet"/>
      <w:lvlText w:val=""/>
      <w:lvlJc w:val="left"/>
      <w:pPr>
        <w:ind w:left="7740" w:hanging="360"/>
      </w:pPr>
      <w:rPr>
        <w:rFonts w:ascii="Wingdings" w:hAnsi="Wingdings" w:hint="default"/>
      </w:rPr>
    </w:lvl>
  </w:abstractNum>
  <w:abstractNum w:abstractNumId="61" w15:restartNumberingAfterBreak="0">
    <w:nsid w:val="7EEE3C90"/>
    <w:multiLevelType w:val="hybridMultilevel"/>
    <w:tmpl w:val="55949D90"/>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2118401588">
    <w:abstractNumId w:val="58"/>
  </w:num>
  <w:num w:numId="2" w16cid:durableId="97912484">
    <w:abstractNumId w:val="2"/>
  </w:num>
  <w:num w:numId="3" w16cid:durableId="2032605017">
    <w:abstractNumId w:val="1"/>
  </w:num>
  <w:num w:numId="4" w16cid:durableId="1888175019">
    <w:abstractNumId w:val="0"/>
  </w:num>
  <w:num w:numId="5" w16cid:durableId="57292679">
    <w:abstractNumId w:val="17"/>
  </w:num>
  <w:num w:numId="6" w16cid:durableId="2089304493">
    <w:abstractNumId w:val="45"/>
  </w:num>
  <w:num w:numId="7" w16cid:durableId="1183008623">
    <w:abstractNumId w:val="23"/>
  </w:num>
  <w:num w:numId="8" w16cid:durableId="1622111304">
    <w:abstractNumId w:val="36"/>
  </w:num>
  <w:num w:numId="9" w16cid:durableId="587882510">
    <w:abstractNumId w:val="40"/>
  </w:num>
  <w:num w:numId="10" w16cid:durableId="233899906">
    <w:abstractNumId w:val="28"/>
  </w:num>
  <w:num w:numId="11" w16cid:durableId="832262449">
    <w:abstractNumId w:val="9"/>
  </w:num>
  <w:num w:numId="12" w16cid:durableId="1632512847">
    <w:abstractNumId w:val="29"/>
  </w:num>
  <w:num w:numId="13" w16cid:durableId="843670827">
    <w:abstractNumId w:val="35"/>
  </w:num>
  <w:num w:numId="14" w16cid:durableId="1074474324">
    <w:abstractNumId w:val="55"/>
  </w:num>
  <w:num w:numId="15" w16cid:durableId="840005147">
    <w:abstractNumId w:val="59"/>
  </w:num>
  <w:num w:numId="16" w16cid:durableId="1290093076">
    <w:abstractNumId w:val="56"/>
  </w:num>
  <w:num w:numId="17" w16cid:durableId="1361977503">
    <w:abstractNumId w:val="39"/>
  </w:num>
  <w:num w:numId="18" w16cid:durableId="1886138528">
    <w:abstractNumId w:val="27"/>
  </w:num>
  <w:num w:numId="19" w16cid:durableId="1413509385">
    <w:abstractNumId w:val="38"/>
  </w:num>
  <w:num w:numId="20" w16cid:durableId="801970874">
    <w:abstractNumId w:val="33"/>
  </w:num>
  <w:num w:numId="21" w16cid:durableId="1139424143">
    <w:abstractNumId w:val="15"/>
  </w:num>
  <w:num w:numId="22" w16cid:durableId="848911909">
    <w:abstractNumId w:val="49"/>
  </w:num>
  <w:num w:numId="23" w16cid:durableId="1366754903">
    <w:abstractNumId w:val="53"/>
  </w:num>
  <w:num w:numId="24" w16cid:durableId="768886544">
    <w:abstractNumId w:val="14"/>
  </w:num>
  <w:num w:numId="25" w16cid:durableId="2012289206">
    <w:abstractNumId w:val="16"/>
  </w:num>
  <w:num w:numId="26" w16cid:durableId="1704865916">
    <w:abstractNumId w:val="11"/>
  </w:num>
  <w:num w:numId="27" w16cid:durableId="19553113">
    <w:abstractNumId w:val="20"/>
  </w:num>
  <w:num w:numId="28" w16cid:durableId="1933974497">
    <w:abstractNumId w:val="32"/>
  </w:num>
  <w:num w:numId="29" w16cid:durableId="671831690">
    <w:abstractNumId w:val="54"/>
  </w:num>
  <w:num w:numId="30" w16cid:durableId="89202297">
    <w:abstractNumId w:val="45"/>
  </w:num>
  <w:num w:numId="31" w16cid:durableId="623192166">
    <w:abstractNumId w:val="4"/>
  </w:num>
  <w:num w:numId="32" w16cid:durableId="1604336423">
    <w:abstractNumId w:val="60"/>
  </w:num>
  <w:num w:numId="33" w16cid:durableId="10649083">
    <w:abstractNumId w:val="44"/>
  </w:num>
  <w:num w:numId="34" w16cid:durableId="1890143981">
    <w:abstractNumId w:val="45"/>
  </w:num>
  <w:num w:numId="35" w16cid:durableId="71700170">
    <w:abstractNumId w:val="18"/>
  </w:num>
  <w:num w:numId="36" w16cid:durableId="1070074748">
    <w:abstractNumId w:val="42"/>
  </w:num>
  <w:num w:numId="37" w16cid:durableId="882981738">
    <w:abstractNumId w:val="13"/>
  </w:num>
  <w:num w:numId="38" w16cid:durableId="502596585">
    <w:abstractNumId w:val="31"/>
  </w:num>
  <w:num w:numId="39" w16cid:durableId="1977684687">
    <w:abstractNumId w:val="43"/>
  </w:num>
  <w:num w:numId="40" w16cid:durableId="2088258263">
    <w:abstractNumId w:val="46"/>
  </w:num>
  <w:num w:numId="41" w16cid:durableId="451365305">
    <w:abstractNumId w:val="10"/>
  </w:num>
  <w:num w:numId="42" w16cid:durableId="104276013">
    <w:abstractNumId w:val="7"/>
  </w:num>
  <w:num w:numId="43" w16cid:durableId="784271973">
    <w:abstractNumId w:val="50"/>
  </w:num>
  <w:num w:numId="44" w16cid:durableId="1015034436">
    <w:abstractNumId w:val="12"/>
  </w:num>
  <w:num w:numId="45" w16cid:durableId="1402026856">
    <w:abstractNumId w:val="30"/>
  </w:num>
  <w:num w:numId="46" w16cid:durableId="2091004760">
    <w:abstractNumId w:val="5"/>
  </w:num>
  <w:num w:numId="47" w16cid:durableId="863056203">
    <w:abstractNumId w:val="37"/>
  </w:num>
  <w:num w:numId="48" w16cid:durableId="2017150532">
    <w:abstractNumId w:val="51"/>
  </w:num>
  <w:num w:numId="49" w16cid:durableId="1748186421">
    <w:abstractNumId w:val="61"/>
  </w:num>
  <w:num w:numId="50" w16cid:durableId="1293947688">
    <w:abstractNumId w:val="24"/>
  </w:num>
  <w:num w:numId="51" w16cid:durableId="1987851080">
    <w:abstractNumId w:val="3"/>
  </w:num>
  <w:num w:numId="52" w16cid:durableId="447508070">
    <w:abstractNumId w:val="56"/>
    <w:lvlOverride w:ilvl="0">
      <w:startOverride w:val="26"/>
    </w:lvlOverride>
    <w:lvlOverride w:ilvl="1"/>
  </w:num>
  <w:num w:numId="53" w16cid:durableId="1219173905">
    <w:abstractNumId w:val="26"/>
  </w:num>
  <w:num w:numId="54" w16cid:durableId="541139237">
    <w:abstractNumId w:val="41"/>
  </w:num>
  <w:num w:numId="55" w16cid:durableId="371223512">
    <w:abstractNumId w:val="45"/>
  </w:num>
  <w:num w:numId="56" w16cid:durableId="440608376">
    <w:abstractNumId w:val="45"/>
  </w:num>
  <w:num w:numId="57" w16cid:durableId="782260806">
    <w:abstractNumId w:val="52"/>
  </w:num>
  <w:num w:numId="58" w16cid:durableId="879125798">
    <w:abstractNumId w:val="19"/>
  </w:num>
  <w:num w:numId="59" w16cid:durableId="218522320">
    <w:abstractNumId w:val="6"/>
  </w:num>
  <w:num w:numId="60" w16cid:durableId="1119255005">
    <w:abstractNumId w:val="48"/>
  </w:num>
  <w:num w:numId="61" w16cid:durableId="1572078159">
    <w:abstractNumId w:val="34"/>
  </w:num>
  <w:num w:numId="62" w16cid:durableId="2023627481">
    <w:abstractNumId w:val="25"/>
  </w:num>
  <w:num w:numId="63" w16cid:durableId="715784793">
    <w:abstractNumId w:val="56"/>
    <w:lvlOverride w:ilvl="0">
      <w:lvl w:ilvl="0">
        <w:start w:val="1"/>
        <w:numFmt w:val="decimal"/>
        <w:pStyle w:val="Heading1"/>
        <w:lvlText w:val="%1.0"/>
        <w:lvlJc w:val="left"/>
        <w:pPr>
          <w:ind w:left="720" w:hanging="720"/>
        </w:pPr>
        <w:rPr>
          <w:rFonts w:ascii="Arial" w:hAnsi="Arial" w:cs="Arial" w:hint="default"/>
          <w:b/>
          <w:bCs w:val="0"/>
          <w:i w:val="0"/>
          <w:iCs w:val="0"/>
          <w:color w:val="000000" w:themeColor="text1"/>
          <w:sz w:val="28"/>
          <w:szCs w:val="28"/>
        </w:rPr>
      </w:lvl>
    </w:lvlOverride>
    <w:lvlOverride w:ilvl="1">
      <w:lvl w:ilvl="1">
        <w:start w:val="1"/>
        <w:numFmt w:val="decimal"/>
        <w:lvlText w:val="%1.%2"/>
        <w:lvlJc w:val="left"/>
        <w:pPr>
          <w:ind w:left="1440" w:hanging="720"/>
        </w:pPr>
        <w:rPr>
          <w:rFonts w:ascii="Arial" w:hAnsi="Arial" w:cs="Arial" w:hint="default"/>
          <w:b w:val="0"/>
          <w:bCs w:val="0"/>
          <w:i w:val="0"/>
          <w:iCs w:val="0"/>
          <w:color w:val="000000" w:themeColor="text1"/>
          <w:sz w:val="24"/>
          <w:szCs w:val="24"/>
        </w:rPr>
      </w:lvl>
    </w:lvlOverride>
    <w:lvlOverride w:ilvl="2">
      <w:lvl w:ilvl="2">
        <w:start w:val="1"/>
        <w:numFmt w:val="bullet"/>
        <w:lvlText w:val=""/>
        <w:lvlJc w:val="left"/>
        <w:pPr>
          <w:ind w:left="1440" w:firstLine="0"/>
        </w:pPr>
        <w:rPr>
          <w:rFonts w:ascii="Symbol" w:hAnsi="Symbol" w:hint="default"/>
          <w:color w:val="auto"/>
        </w:rPr>
      </w:lvl>
    </w:lvlOverride>
    <w:lvlOverride w:ilvl="3">
      <w:lvl w:ilvl="3">
        <w:start w:val="1"/>
        <w:numFmt w:val="bullet"/>
        <w:lvlText w:val="o"/>
        <w:lvlJc w:val="left"/>
        <w:pPr>
          <w:ind w:left="2880" w:hanging="720"/>
        </w:pPr>
        <w:rPr>
          <w:rFonts w:ascii="Courier New" w:hAnsi="Courier New" w:cs="Courier New" w:hint="default"/>
          <w:color w:val="auto"/>
        </w:rPr>
      </w:lvl>
    </w:lvlOverride>
    <w:lvlOverride w:ilvl="4">
      <w:lvl w:ilvl="4">
        <w:start w:val="1"/>
        <w:numFmt w:val="lowerLetter"/>
        <w:lvlText w:val="%5."/>
        <w:lvlJc w:val="left"/>
        <w:pPr>
          <w:ind w:left="3600" w:hanging="720"/>
        </w:pPr>
        <w:rPr>
          <w:rFonts w:hint="default"/>
        </w:rPr>
      </w:lvl>
    </w:lvlOverride>
    <w:lvlOverride w:ilvl="5">
      <w:lvl w:ilvl="5">
        <w:start w:val="1"/>
        <w:numFmt w:val="lowerRoman"/>
        <w:lvlText w:val="%6."/>
        <w:lvlJc w:val="right"/>
        <w:pPr>
          <w:ind w:left="4320" w:hanging="720"/>
        </w:pPr>
        <w:rPr>
          <w:rFonts w:hint="default"/>
        </w:rPr>
      </w:lvl>
    </w:lvlOverride>
    <w:lvlOverride w:ilvl="6">
      <w:lvl w:ilvl="6">
        <w:start w:val="1"/>
        <w:numFmt w:val="decimal"/>
        <w:lvlText w:val="%7."/>
        <w:lvlJc w:val="left"/>
        <w:pPr>
          <w:ind w:left="5040" w:hanging="720"/>
        </w:pPr>
        <w:rPr>
          <w:rFonts w:hint="default"/>
        </w:rPr>
      </w:lvl>
    </w:lvlOverride>
    <w:lvlOverride w:ilvl="7">
      <w:lvl w:ilvl="7">
        <w:start w:val="1"/>
        <w:numFmt w:val="lowerLetter"/>
        <w:lvlText w:val="%8."/>
        <w:lvlJc w:val="left"/>
        <w:pPr>
          <w:ind w:left="5760" w:hanging="720"/>
        </w:pPr>
        <w:rPr>
          <w:rFonts w:hint="default"/>
        </w:rPr>
      </w:lvl>
    </w:lvlOverride>
    <w:lvlOverride w:ilvl="8">
      <w:lvl w:ilvl="8">
        <w:start w:val="1"/>
        <w:numFmt w:val="lowerRoman"/>
        <w:lvlText w:val="%9."/>
        <w:lvlJc w:val="right"/>
        <w:pPr>
          <w:ind w:left="6480" w:hanging="720"/>
        </w:pPr>
        <w:rPr>
          <w:rFonts w:hint="default"/>
        </w:rPr>
      </w:lvl>
    </w:lvlOverride>
  </w:num>
  <w:num w:numId="64" w16cid:durableId="710308356">
    <w:abstractNumId w:val="47"/>
  </w:num>
  <w:num w:numId="65" w16cid:durableId="2070616736">
    <w:abstractNumId w:val="22"/>
  </w:num>
  <w:num w:numId="66" w16cid:durableId="306281814">
    <w:abstractNumId w:val="21"/>
  </w:num>
  <w:num w:numId="67" w16cid:durableId="453448040">
    <w:abstractNumId w:val="5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8" w16cid:durableId="821848551">
    <w:abstractNumId w:val="45"/>
  </w:num>
  <w:num w:numId="69" w16cid:durableId="577638547">
    <w:abstractNumId w:val="8"/>
  </w:num>
  <w:numIdMacAtCleanup w:val="62"/>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stylePaneFormatFilter w:val="1F08" w:allStyles="0" w:customStyles="0" w:latentStyles="0" w:stylesInUse="1" w:headingStyles="0" w:numberingStyles="0" w:tableStyles="0" w:directFormattingOnRuns="1" w:directFormattingOnParagraphs="1" w:directFormattingOnNumbering="1" w:directFormattingOnTables="1" w:clearFormatting="1" w:top3HeadingStyles="0" w:visibleStyles="0" w:alternateStyleNames="0"/>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docVars>
    <w:docVar w:name="dgnword-docGUID" w:val="{F022755E-7263-41B7-9B23-8E738C1B9A25}"/>
    <w:docVar w:name="dgnword-eventsink" w:val="186254352"/>
  </w:docVars>
  <w:rsids>
    <w:rsidRoot w:val="007C0AA4"/>
    <w:rsid w:val="00002FC2"/>
    <w:rsid w:val="00006E54"/>
    <w:rsid w:val="00011E7B"/>
    <w:rsid w:val="00012AF9"/>
    <w:rsid w:val="00014192"/>
    <w:rsid w:val="00014576"/>
    <w:rsid w:val="000176CD"/>
    <w:rsid w:val="00021416"/>
    <w:rsid w:val="000233EF"/>
    <w:rsid w:val="000279E1"/>
    <w:rsid w:val="000305D7"/>
    <w:rsid w:val="00030806"/>
    <w:rsid w:val="00033671"/>
    <w:rsid w:val="00033F6D"/>
    <w:rsid w:val="0003488B"/>
    <w:rsid w:val="00034B6D"/>
    <w:rsid w:val="00034FCE"/>
    <w:rsid w:val="00035DF7"/>
    <w:rsid w:val="000404C6"/>
    <w:rsid w:val="0004181F"/>
    <w:rsid w:val="0004331A"/>
    <w:rsid w:val="00043EC2"/>
    <w:rsid w:val="00044E5D"/>
    <w:rsid w:val="00045074"/>
    <w:rsid w:val="0004523A"/>
    <w:rsid w:val="00047BEE"/>
    <w:rsid w:val="00050011"/>
    <w:rsid w:val="00051BE9"/>
    <w:rsid w:val="00053DC2"/>
    <w:rsid w:val="00053E55"/>
    <w:rsid w:val="00055D67"/>
    <w:rsid w:val="0005669B"/>
    <w:rsid w:val="00061647"/>
    <w:rsid w:val="000623B7"/>
    <w:rsid w:val="000627A7"/>
    <w:rsid w:val="00062B05"/>
    <w:rsid w:val="000651A8"/>
    <w:rsid w:val="000664AD"/>
    <w:rsid w:val="00067879"/>
    <w:rsid w:val="000678E0"/>
    <w:rsid w:val="0007256D"/>
    <w:rsid w:val="00072838"/>
    <w:rsid w:val="00072F45"/>
    <w:rsid w:val="00074EDD"/>
    <w:rsid w:val="00077D5C"/>
    <w:rsid w:val="00080915"/>
    <w:rsid w:val="00080DF0"/>
    <w:rsid w:val="00081FCD"/>
    <w:rsid w:val="0008389B"/>
    <w:rsid w:val="00086462"/>
    <w:rsid w:val="000873C1"/>
    <w:rsid w:val="000920B5"/>
    <w:rsid w:val="00092F76"/>
    <w:rsid w:val="0009348F"/>
    <w:rsid w:val="000935EF"/>
    <w:rsid w:val="000937AB"/>
    <w:rsid w:val="00093D0C"/>
    <w:rsid w:val="00095B99"/>
    <w:rsid w:val="00096B31"/>
    <w:rsid w:val="00097E7B"/>
    <w:rsid w:val="000A0A21"/>
    <w:rsid w:val="000A0D2E"/>
    <w:rsid w:val="000A2F9E"/>
    <w:rsid w:val="000A3196"/>
    <w:rsid w:val="000A32C5"/>
    <w:rsid w:val="000A3410"/>
    <w:rsid w:val="000A3733"/>
    <w:rsid w:val="000A39D3"/>
    <w:rsid w:val="000A3F07"/>
    <w:rsid w:val="000A40D1"/>
    <w:rsid w:val="000A4F14"/>
    <w:rsid w:val="000A50CD"/>
    <w:rsid w:val="000A694C"/>
    <w:rsid w:val="000A69F0"/>
    <w:rsid w:val="000B2732"/>
    <w:rsid w:val="000B457F"/>
    <w:rsid w:val="000B5743"/>
    <w:rsid w:val="000B57CD"/>
    <w:rsid w:val="000B5B64"/>
    <w:rsid w:val="000C0B8C"/>
    <w:rsid w:val="000C0B9D"/>
    <w:rsid w:val="000C1128"/>
    <w:rsid w:val="000C2C6E"/>
    <w:rsid w:val="000C438E"/>
    <w:rsid w:val="000C4A5B"/>
    <w:rsid w:val="000C5460"/>
    <w:rsid w:val="000C6B1B"/>
    <w:rsid w:val="000D3591"/>
    <w:rsid w:val="000D3B81"/>
    <w:rsid w:val="000D3F01"/>
    <w:rsid w:val="000D5A03"/>
    <w:rsid w:val="000D5CC8"/>
    <w:rsid w:val="000D76CF"/>
    <w:rsid w:val="000E0981"/>
    <w:rsid w:val="000E1FF1"/>
    <w:rsid w:val="000E3478"/>
    <w:rsid w:val="000E5671"/>
    <w:rsid w:val="000E586E"/>
    <w:rsid w:val="000E6F07"/>
    <w:rsid w:val="000F3396"/>
    <w:rsid w:val="000F3B6D"/>
    <w:rsid w:val="000F4869"/>
    <w:rsid w:val="000F6BBF"/>
    <w:rsid w:val="000F7148"/>
    <w:rsid w:val="000F724A"/>
    <w:rsid w:val="0010129A"/>
    <w:rsid w:val="0010378B"/>
    <w:rsid w:val="0010501B"/>
    <w:rsid w:val="00105B5D"/>
    <w:rsid w:val="00105F89"/>
    <w:rsid w:val="00107AF1"/>
    <w:rsid w:val="0011070A"/>
    <w:rsid w:val="001107C4"/>
    <w:rsid w:val="001121D0"/>
    <w:rsid w:val="001122AC"/>
    <w:rsid w:val="001127B3"/>
    <w:rsid w:val="00112931"/>
    <w:rsid w:val="00112FF7"/>
    <w:rsid w:val="0011468D"/>
    <w:rsid w:val="00115104"/>
    <w:rsid w:val="0011529F"/>
    <w:rsid w:val="0011551B"/>
    <w:rsid w:val="00116F64"/>
    <w:rsid w:val="0012087E"/>
    <w:rsid w:val="001218D9"/>
    <w:rsid w:val="00124545"/>
    <w:rsid w:val="00124727"/>
    <w:rsid w:val="00130F90"/>
    <w:rsid w:val="00131E04"/>
    <w:rsid w:val="001322D4"/>
    <w:rsid w:val="001329EB"/>
    <w:rsid w:val="001329FC"/>
    <w:rsid w:val="00133768"/>
    <w:rsid w:val="001351F7"/>
    <w:rsid w:val="00136525"/>
    <w:rsid w:val="0013666A"/>
    <w:rsid w:val="001366FE"/>
    <w:rsid w:val="0013716B"/>
    <w:rsid w:val="00141633"/>
    <w:rsid w:val="00141D30"/>
    <w:rsid w:val="00142C3D"/>
    <w:rsid w:val="00143ACB"/>
    <w:rsid w:val="00144D74"/>
    <w:rsid w:val="001452AE"/>
    <w:rsid w:val="00146A7C"/>
    <w:rsid w:val="00147A76"/>
    <w:rsid w:val="0015114F"/>
    <w:rsid w:val="00152502"/>
    <w:rsid w:val="00153B2F"/>
    <w:rsid w:val="001540D1"/>
    <w:rsid w:val="0015551B"/>
    <w:rsid w:val="00155AFC"/>
    <w:rsid w:val="001563C7"/>
    <w:rsid w:val="00156731"/>
    <w:rsid w:val="001577CC"/>
    <w:rsid w:val="00160308"/>
    <w:rsid w:val="00161E74"/>
    <w:rsid w:val="00162501"/>
    <w:rsid w:val="00164540"/>
    <w:rsid w:val="0016527D"/>
    <w:rsid w:val="001660BE"/>
    <w:rsid w:val="00166FE3"/>
    <w:rsid w:val="001679D2"/>
    <w:rsid w:val="00170049"/>
    <w:rsid w:val="00170965"/>
    <w:rsid w:val="00170B0C"/>
    <w:rsid w:val="00170C7A"/>
    <w:rsid w:val="00171470"/>
    <w:rsid w:val="00171ABE"/>
    <w:rsid w:val="00173E72"/>
    <w:rsid w:val="00174884"/>
    <w:rsid w:val="00174BE3"/>
    <w:rsid w:val="00174F06"/>
    <w:rsid w:val="00174F85"/>
    <w:rsid w:val="0017658D"/>
    <w:rsid w:val="00177A3F"/>
    <w:rsid w:val="00177C29"/>
    <w:rsid w:val="001809A3"/>
    <w:rsid w:val="001813A3"/>
    <w:rsid w:val="001824D2"/>
    <w:rsid w:val="00182C98"/>
    <w:rsid w:val="00185086"/>
    <w:rsid w:val="00186FE5"/>
    <w:rsid w:val="00193A08"/>
    <w:rsid w:val="00194D67"/>
    <w:rsid w:val="00196261"/>
    <w:rsid w:val="001A27E9"/>
    <w:rsid w:val="001A49E3"/>
    <w:rsid w:val="001A513A"/>
    <w:rsid w:val="001A639E"/>
    <w:rsid w:val="001B0A22"/>
    <w:rsid w:val="001B1C5F"/>
    <w:rsid w:val="001B56EF"/>
    <w:rsid w:val="001B678E"/>
    <w:rsid w:val="001B6D07"/>
    <w:rsid w:val="001C1142"/>
    <w:rsid w:val="001C137A"/>
    <w:rsid w:val="001C15EC"/>
    <w:rsid w:val="001C1B83"/>
    <w:rsid w:val="001C5D9B"/>
    <w:rsid w:val="001C75C5"/>
    <w:rsid w:val="001C7854"/>
    <w:rsid w:val="001D019A"/>
    <w:rsid w:val="001D22A8"/>
    <w:rsid w:val="001D7559"/>
    <w:rsid w:val="001E00E0"/>
    <w:rsid w:val="001E13AB"/>
    <w:rsid w:val="001E1821"/>
    <w:rsid w:val="001E1DB4"/>
    <w:rsid w:val="001E2287"/>
    <w:rsid w:val="001E29F0"/>
    <w:rsid w:val="001E2B58"/>
    <w:rsid w:val="001E4B7C"/>
    <w:rsid w:val="001E7891"/>
    <w:rsid w:val="001F0140"/>
    <w:rsid w:val="001F03E9"/>
    <w:rsid w:val="001F1B5F"/>
    <w:rsid w:val="001F2CF2"/>
    <w:rsid w:val="001F373C"/>
    <w:rsid w:val="001F4145"/>
    <w:rsid w:val="001F42CB"/>
    <w:rsid w:val="001F44C4"/>
    <w:rsid w:val="001F5787"/>
    <w:rsid w:val="00200419"/>
    <w:rsid w:val="0020066F"/>
    <w:rsid w:val="00201F5E"/>
    <w:rsid w:val="0020222C"/>
    <w:rsid w:val="00202638"/>
    <w:rsid w:val="00202BCE"/>
    <w:rsid w:val="002037CD"/>
    <w:rsid w:val="00204CF0"/>
    <w:rsid w:val="0020504E"/>
    <w:rsid w:val="00205566"/>
    <w:rsid w:val="00205E40"/>
    <w:rsid w:val="00206455"/>
    <w:rsid w:val="002074C6"/>
    <w:rsid w:val="00207A9A"/>
    <w:rsid w:val="00207D8F"/>
    <w:rsid w:val="002144A9"/>
    <w:rsid w:val="00216949"/>
    <w:rsid w:val="002174D7"/>
    <w:rsid w:val="00217B63"/>
    <w:rsid w:val="00217DF0"/>
    <w:rsid w:val="0022279B"/>
    <w:rsid w:val="00223E7C"/>
    <w:rsid w:val="002259EE"/>
    <w:rsid w:val="002268C8"/>
    <w:rsid w:val="002273CB"/>
    <w:rsid w:val="002315F8"/>
    <w:rsid w:val="00233FC1"/>
    <w:rsid w:val="002343D7"/>
    <w:rsid w:val="00235B75"/>
    <w:rsid w:val="00235D32"/>
    <w:rsid w:val="00237977"/>
    <w:rsid w:val="00243599"/>
    <w:rsid w:val="00244DA1"/>
    <w:rsid w:val="00246617"/>
    <w:rsid w:val="00246B3A"/>
    <w:rsid w:val="00250D20"/>
    <w:rsid w:val="00250EC6"/>
    <w:rsid w:val="00257537"/>
    <w:rsid w:val="002575CD"/>
    <w:rsid w:val="00257812"/>
    <w:rsid w:val="002607F3"/>
    <w:rsid w:val="00260BCB"/>
    <w:rsid w:val="002627AC"/>
    <w:rsid w:val="00262A29"/>
    <w:rsid w:val="00262C07"/>
    <w:rsid w:val="00263164"/>
    <w:rsid w:val="00264743"/>
    <w:rsid w:val="0026513D"/>
    <w:rsid w:val="002652FB"/>
    <w:rsid w:val="0026557C"/>
    <w:rsid w:val="00265D40"/>
    <w:rsid w:val="00267DAA"/>
    <w:rsid w:val="0027103B"/>
    <w:rsid w:val="00271269"/>
    <w:rsid w:val="00272E74"/>
    <w:rsid w:val="00276D88"/>
    <w:rsid w:val="0028073C"/>
    <w:rsid w:val="00281E83"/>
    <w:rsid w:val="00282425"/>
    <w:rsid w:val="00282878"/>
    <w:rsid w:val="00283950"/>
    <w:rsid w:val="002847E3"/>
    <w:rsid w:val="002863A5"/>
    <w:rsid w:val="00286C34"/>
    <w:rsid w:val="00286D8B"/>
    <w:rsid w:val="00291E74"/>
    <w:rsid w:val="0029567D"/>
    <w:rsid w:val="00297491"/>
    <w:rsid w:val="002975C8"/>
    <w:rsid w:val="002A08FD"/>
    <w:rsid w:val="002A130F"/>
    <w:rsid w:val="002A18F2"/>
    <w:rsid w:val="002A2836"/>
    <w:rsid w:val="002A31A0"/>
    <w:rsid w:val="002A5FCD"/>
    <w:rsid w:val="002A6183"/>
    <w:rsid w:val="002A643D"/>
    <w:rsid w:val="002A7757"/>
    <w:rsid w:val="002A78FB"/>
    <w:rsid w:val="002B0FB2"/>
    <w:rsid w:val="002B1D4E"/>
    <w:rsid w:val="002B23BF"/>
    <w:rsid w:val="002C1E19"/>
    <w:rsid w:val="002C2692"/>
    <w:rsid w:val="002C2A4D"/>
    <w:rsid w:val="002C41F1"/>
    <w:rsid w:val="002C7B97"/>
    <w:rsid w:val="002D053F"/>
    <w:rsid w:val="002D055A"/>
    <w:rsid w:val="002D2395"/>
    <w:rsid w:val="002D28FC"/>
    <w:rsid w:val="002D3066"/>
    <w:rsid w:val="002D4D9A"/>
    <w:rsid w:val="002D5375"/>
    <w:rsid w:val="002D54B7"/>
    <w:rsid w:val="002D716C"/>
    <w:rsid w:val="002D78C2"/>
    <w:rsid w:val="002E32E5"/>
    <w:rsid w:val="002E6454"/>
    <w:rsid w:val="002E6CCE"/>
    <w:rsid w:val="002F11AE"/>
    <w:rsid w:val="002F3875"/>
    <w:rsid w:val="002F48F7"/>
    <w:rsid w:val="002F4BE4"/>
    <w:rsid w:val="002F751B"/>
    <w:rsid w:val="002F75AE"/>
    <w:rsid w:val="0030287E"/>
    <w:rsid w:val="00303F52"/>
    <w:rsid w:val="0030584E"/>
    <w:rsid w:val="00306512"/>
    <w:rsid w:val="0030712F"/>
    <w:rsid w:val="00311C4B"/>
    <w:rsid w:val="003125A8"/>
    <w:rsid w:val="003161E0"/>
    <w:rsid w:val="0032245B"/>
    <w:rsid w:val="0032353B"/>
    <w:rsid w:val="00324934"/>
    <w:rsid w:val="00324EAE"/>
    <w:rsid w:val="00327894"/>
    <w:rsid w:val="00331286"/>
    <w:rsid w:val="00331EFD"/>
    <w:rsid w:val="00332211"/>
    <w:rsid w:val="00334106"/>
    <w:rsid w:val="00335125"/>
    <w:rsid w:val="003354CF"/>
    <w:rsid w:val="003354E1"/>
    <w:rsid w:val="00336DA7"/>
    <w:rsid w:val="0033712B"/>
    <w:rsid w:val="0034056D"/>
    <w:rsid w:val="00342A44"/>
    <w:rsid w:val="00343DF5"/>
    <w:rsid w:val="00344435"/>
    <w:rsid w:val="0034532F"/>
    <w:rsid w:val="00350114"/>
    <w:rsid w:val="003501CA"/>
    <w:rsid w:val="00350478"/>
    <w:rsid w:val="00351CD1"/>
    <w:rsid w:val="0035267D"/>
    <w:rsid w:val="00354644"/>
    <w:rsid w:val="00355E82"/>
    <w:rsid w:val="00356980"/>
    <w:rsid w:val="003573C1"/>
    <w:rsid w:val="003603DC"/>
    <w:rsid w:val="00360C75"/>
    <w:rsid w:val="003616B0"/>
    <w:rsid w:val="00361B29"/>
    <w:rsid w:val="00362C8E"/>
    <w:rsid w:val="003640C3"/>
    <w:rsid w:val="00365239"/>
    <w:rsid w:val="00365837"/>
    <w:rsid w:val="00371026"/>
    <w:rsid w:val="003718B2"/>
    <w:rsid w:val="00371A9B"/>
    <w:rsid w:val="00371D8D"/>
    <w:rsid w:val="00372846"/>
    <w:rsid w:val="00372E36"/>
    <w:rsid w:val="0037387D"/>
    <w:rsid w:val="003745E2"/>
    <w:rsid w:val="00375D50"/>
    <w:rsid w:val="00377764"/>
    <w:rsid w:val="00377CDB"/>
    <w:rsid w:val="00381D3B"/>
    <w:rsid w:val="0038212B"/>
    <w:rsid w:val="0038397A"/>
    <w:rsid w:val="0038418A"/>
    <w:rsid w:val="003855BB"/>
    <w:rsid w:val="00390D30"/>
    <w:rsid w:val="00393FAF"/>
    <w:rsid w:val="00394162"/>
    <w:rsid w:val="00394328"/>
    <w:rsid w:val="00395E89"/>
    <w:rsid w:val="003970A1"/>
    <w:rsid w:val="00397322"/>
    <w:rsid w:val="00397991"/>
    <w:rsid w:val="003A059A"/>
    <w:rsid w:val="003A08C5"/>
    <w:rsid w:val="003A1B95"/>
    <w:rsid w:val="003A28E2"/>
    <w:rsid w:val="003A367A"/>
    <w:rsid w:val="003A5160"/>
    <w:rsid w:val="003A5604"/>
    <w:rsid w:val="003A6373"/>
    <w:rsid w:val="003B0698"/>
    <w:rsid w:val="003B0F09"/>
    <w:rsid w:val="003B15DD"/>
    <w:rsid w:val="003B1967"/>
    <w:rsid w:val="003B485B"/>
    <w:rsid w:val="003B4F10"/>
    <w:rsid w:val="003B6285"/>
    <w:rsid w:val="003C273E"/>
    <w:rsid w:val="003C275D"/>
    <w:rsid w:val="003C3F10"/>
    <w:rsid w:val="003C50CA"/>
    <w:rsid w:val="003C6509"/>
    <w:rsid w:val="003C7115"/>
    <w:rsid w:val="003C75F0"/>
    <w:rsid w:val="003C7E3D"/>
    <w:rsid w:val="003D0A23"/>
    <w:rsid w:val="003D10AA"/>
    <w:rsid w:val="003D3010"/>
    <w:rsid w:val="003D434C"/>
    <w:rsid w:val="003D4B9A"/>
    <w:rsid w:val="003D5C9C"/>
    <w:rsid w:val="003D6E02"/>
    <w:rsid w:val="003D6E8A"/>
    <w:rsid w:val="003E3419"/>
    <w:rsid w:val="003E374C"/>
    <w:rsid w:val="003E37FB"/>
    <w:rsid w:val="003E4E85"/>
    <w:rsid w:val="003E5553"/>
    <w:rsid w:val="003E6707"/>
    <w:rsid w:val="003E73A6"/>
    <w:rsid w:val="003E75C6"/>
    <w:rsid w:val="003E76C9"/>
    <w:rsid w:val="003E7894"/>
    <w:rsid w:val="003F0BD9"/>
    <w:rsid w:val="003F1AC6"/>
    <w:rsid w:val="003F2659"/>
    <w:rsid w:val="003F6668"/>
    <w:rsid w:val="00400CDC"/>
    <w:rsid w:val="00401228"/>
    <w:rsid w:val="0040129C"/>
    <w:rsid w:val="00401DCC"/>
    <w:rsid w:val="00402760"/>
    <w:rsid w:val="004029DF"/>
    <w:rsid w:val="0040316E"/>
    <w:rsid w:val="0040400E"/>
    <w:rsid w:val="00404026"/>
    <w:rsid w:val="004045FB"/>
    <w:rsid w:val="00406794"/>
    <w:rsid w:val="00406E29"/>
    <w:rsid w:val="004072BF"/>
    <w:rsid w:val="00407AAF"/>
    <w:rsid w:val="00410865"/>
    <w:rsid w:val="00410E3D"/>
    <w:rsid w:val="0041101D"/>
    <w:rsid w:val="004110A0"/>
    <w:rsid w:val="0041195A"/>
    <w:rsid w:val="00411DFF"/>
    <w:rsid w:val="00412A32"/>
    <w:rsid w:val="00414A6C"/>
    <w:rsid w:val="00414F0B"/>
    <w:rsid w:val="004168B5"/>
    <w:rsid w:val="00416A41"/>
    <w:rsid w:val="00421210"/>
    <w:rsid w:val="00421830"/>
    <w:rsid w:val="00421D8B"/>
    <w:rsid w:val="00422A89"/>
    <w:rsid w:val="00422FB1"/>
    <w:rsid w:val="00423C13"/>
    <w:rsid w:val="004253BF"/>
    <w:rsid w:val="004264B7"/>
    <w:rsid w:val="00427475"/>
    <w:rsid w:val="0043279F"/>
    <w:rsid w:val="00435436"/>
    <w:rsid w:val="004358B3"/>
    <w:rsid w:val="00440B1C"/>
    <w:rsid w:val="00440E3E"/>
    <w:rsid w:val="00442C4F"/>
    <w:rsid w:val="00443D40"/>
    <w:rsid w:val="00444000"/>
    <w:rsid w:val="0044690C"/>
    <w:rsid w:val="00447053"/>
    <w:rsid w:val="00447B8D"/>
    <w:rsid w:val="00447E6A"/>
    <w:rsid w:val="004518B0"/>
    <w:rsid w:val="004552CB"/>
    <w:rsid w:val="00455606"/>
    <w:rsid w:val="00456CAD"/>
    <w:rsid w:val="00456EED"/>
    <w:rsid w:val="00460B5C"/>
    <w:rsid w:val="004610F4"/>
    <w:rsid w:val="0046135B"/>
    <w:rsid w:val="0046208A"/>
    <w:rsid w:val="00462AA9"/>
    <w:rsid w:val="00463A0F"/>
    <w:rsid w:val="004641ED"/>
    <w:rsid w:val="0046443C"/>
    <w:rsid w:val="00464D4E"/>
    <w:rsid w:val="00466647"/>
    <w:rsid w:val="004672A2"/>
    <w:rsid w:val="00476619"/>
    <w:rsid w:val="00480DC5"/>
    <w:rsid w:val="00481417"/>
    <w:rsid w:val="00482205"/>
    <w:rsid w:val="00484228"/>
    <w:rsid w:val="00484413"/>
    <w:rsid w:val="00484A00"/>
    <w:rsid w:val="00484F74"/>
    <w:rsid w:val="00485289"/>
    <w:rsid w:val="00486AA0"/>
    <w:rsid w:val="004872EE"/>
    <w:rsid w:val="00490BEB"/>
    <w:rsid w:val="00493B4E"/>
    <w:rsid w:val="00493E0A"/>
    <w:rsid w:val="00495E35"/>
    <w:rsid w:val="00496341"/>
    <w:rsid w:val="004967D6"/>
    <w:rsid w:val="004A2411"/>
    <w:rsid w:val="004A59AB"/>
    <w:rsid w:val="004A66F8"/>
    <w:rsid w:val="004A6F3C"/>
    <w:rsid w:val="004B12E9"/>
    <w:rsid w:val="004B13FF"/>
    <w:rsid w:val="004B39F1"/>
    <w:rsid w:val="004B3FA6"/>
    <w:rsid w:val="004B43A2"/>
    <w:rsid w:val="004B45EA"/>
    <w:rsid w:val="004B4A82"/>
    <w:rsid w:val="004B4ECD"/>
    <w:rsid w:val="004C0CB6"/>
    <w:rsid w:val="004C146D"/>
    <w:rsid w:val="004C26BF"/>
    <w:rsid w:val="004C3F3E"/>
    <w:rsid w:val="004C4740"/>
    <w:rsid w:val="004C4B51"/>
    <w:rsid w:val="004C5775"/>
    <w:rsid w:val="004C6B9D"/>
    <w:rsid w:val="004C783B"/>
    <w:rsid w:val="004C7868"/>
    <w:rsid w:val="004C791F"/>
    <w:rsid w:val="004D18B5"/>
    <w:rsid w:val="004D2C49"/>
    <w:rsid w:val="004D309E"/>
    <w:rsid w:val="004D315B"/>
    <w:rsid w:val="004D7ED8"/>
    <w:rsid w:val="004E07E1"/>
    <w:rsid w:val="004E4EAC"/>
    <w:rsid w:val="004E65B9"/>
    <w:rsid w:val="004E6976"/>
    <w:rsid w:val="004E6B4B"/>
    <w:rsid w:val="004F0E24"/>
    <w:rsid w:val="004F127A"/>
    <w:rsid w:val="004F2849"/>
    <w:rsid w:val="004F2BAF"/>
    <w:rsid w:val="004F2C74"/>
    <w:rsid w:val="004F50D4"/>
    <w:rsid w:val="004F789E"/>
    <w:rsid w:val="00500D5F"/>
    <w:rsid w:val="00501ACB"/>
    <w:rsid w:val="005027CA"/>
    <w:rsid w:val="00503146"/>
    <w:rsid w:val="0050758E"/>
    <w:rsid w:val="00507766"/>
    <w:rsid w:val="00507E44"/>
    <w:rsid w:val="0051040B"/>
    <w:rsid w:val="00511595"/>
    <w:rsid w:val="00511E23"/>
    <w:rsid w:val="00513216"/>
    <w:rsid w:val="00513CC6"/>
    <w:rsid w:val="00513EB6"/>
    <w:rsid w:val="005146A1"/>
    <w:rsid w:val="00515C4D"/>
    <w:rsid w:val="00517F47"/>
    <w:rsid w:val="005207CA"/>
    <w:rsid w:val="00522E61"/>
    <w:rsid w:val="00524456"/>
    <w:rsid w:val="00525FFA"/>
    <w:rsid w:val="00526A73"/>
    <w:rsid w:val="00532C8C"/>
    <w:rsid w:val="00532D77"/>
    <w:rsid w:val="00533901"/>
    <w:rsid w:val="00534CE4"/>
    <w:rsid w:val="00535962"/>
    <w:rsid w:val="005404EF"/>
    <w:rsid w:val="0054057D"/>
    <w:rsid w:val="00540B69"/>
    <w:rsid w:val="00541290"/>
    <w:rsid w:val="00542F19"/>
    <w:rsid w:val="0054740E"/>
    <w:rsid w:val="005474F5"/>
    <w:rsid w:val="00550D01"/>
    <w:rsid w:val="005532AC"/>
    <w:rsid w:val="0055384E"/>
    <w:rsid w:val="00553872"/>
    <w:rsid w:val="00554468"/>
    <w:rsid w:val="00554CF8"/>
    <w:rsid w:val="00554E94"/>
    <w:rsid w:val="0055703F"/>
    <w:rsid w:val="005571F9"/>
    <w:rsid w:val="005611CF"/>
    <w:rsid w:val="00563FB0"/>
    <w:rsid w:val="00566791"/>
    <w:rsid w:val="00571614"/>
    <w:rsid w:val="00571684"/>
    <w:rsid w:val="005716E4"/>
    <w:rsid w:val="00571EE3"/>
    <w:rsid w:val="005740E4"/>
    <w:rsid w:val="00575B77"/>
    <w:rsid w:val="00577527"/>
    <w:rsid w:val="0058462D"/>
    <w:rsid w:val="00584788"/>
    <w:rsid w:val="0058614A"/>
    <w:rsid w:val="00590540"/>
    <w:rsid w:val="00590A69"/>
    <w:rsid w:val="00590C00"/>
    <w:rsid w:val="005933DB"/>
    <w:rsid w:val="00594D81"/>
    <w:rsid w:val="00595965"/>
    <w:rsid w:val="00596685"/>
    <w:rsid w:val="005A06C9"/>
    <w:rsid w:val="005A25F0"/>
    <w:rsid w:val="005A3D8E"/>
    <w:rsid w:val="005A467E"/>
    <w:rsid w:val="005A5B75"/>
    <w:rsid w:val="005A6C35"/>
    <w:rsid w:val="005B1DCB"/>
    <w:rsid w:val="005C1A9B"/>
    <w:rsid w:val="005C2666"/>
    <w:rsid w:val="005C51CA"/>
    <w:rsid w:val="005C616A"/>
    <w:rsid w:val="005C6E9A"/>
    <w:rsid w:val="005C734E"/>
    <w:rsid w:val="005C7844"/>
    <w:rsid w:val="005C7DFD"/>
    <w:rsid w:val="005D2B4B"/>
    <w:rsid w:val="005D4C39"/>
    <w:rsid w:val="005D4E29"/>
    <w:rsid w:val="005D6639"/>
    <w:rsid w:val="005D6F09"/>
    <w:rsid w:val="005D7940"/>
    <w:rsid w:val="005D7ADF"/>
    <w:rsid w:val="005E0471"/>
    <w:rsid w:val="005E19A0"/>
    <w:rsid w:val="005E1F7C"/>
    <w:rsid w:val="005E1F8E"/>
    <w:rsid w:val="005E2261"/>
    <w:rsid w:val="005E22DF"/>
    <w:rsid w:val="005E32F7"/>
    <w:rsid w:val="005E3E87"/>
    <w:rsid w:val="005E4BF0"/>
    <w:rsid w:val="005F1D0E"/>
    <w:rsid w:val="005F2581"/>
    <w:rsid w:val="005F28DB"/>
    <w:rsid w:val="005F4B9B"/>
    <w:rsid w:val="005F5C30"/>
    <w:rsid w:val="005F67E2"/>
    <w:rsid w:val="005F683F"/>
    <w:rsid w:val="005F6C5E"/>
    <w:rsid w:val="005F6F5B"/>
    <w:rsid w:val="005F72DA"/>
    <w:rsid w:val="005F7967"/>
    <w:rsid w:val="00602DE5"/>
    <w:rsid w:val="006038B1"/>
    <w:rsid w:val="00604179"/>
    <w:rsid w:val="006043DC"/>
    <w:rsid w:val="00604A97"/>
    <w:rsid w:val="00604C06"/>
    <w:rsid w:val="00605661"/>
    <w:rsid w:val="0060620E"/>
    <w:rsid w:val="00606211"/>
    <w:rsid w:val="0061072B"/>
    <w:rsid w:val="00610779"/>
    <w:rsid w:val="006123BA"/>
    <w:rsid w:val="006136B8"/>
    <w:rsid w:val="00621ECF"/>
    <w:rsid w:val="0062269A"/>
    <w:rsid w:val="00622E7C"/>
    <w:rsid w:val="0062677F"/>
    <w:rsid w:val="00626E38"/>
    <w:rsid w:val="00627303"/>
    <w:rsid w:val="006301A4"/>
    <w:rsid w:val="006306FB"/>
    <w:rsid w:val="00630E45"/>
    <w:rsid w:val="006314EE"/>
    <w:rsid w:val="00631E6C"/>
    <w:rsid w:val="00632D29"/>
    <w:rsid w:val="0063515C"/>
    <w:rsid w:val="00635FD6"/>
    <w:rsid w:val="00637BB4"/>
    <w:rsid w:val="00637D5B"/>
    <w:rsid w:val="0064063A"/>
    <w:rsid w:val="00640D22"/>
    <w:rsid w:val="00644470"/>
    <w:rsid w:val="00645EB3"/>
    <w:rsid w:val="0064662E"/>
    <w:rsid w:val="00646DEB"/>
    <w:rsid w:val="00646ED7"/>
    <w:rsid w:val="00647502"/>
    <w:rsid w:val="00647B3D"/>
    <w:rsid w:val="00651177"/>
    <w:rsid w:val="00652C8B"/>
    <w:rsid w:val="00655325"/>
    <w:rsid w:val="0065633A"/>
    <w:rsid w:val="0065672E"/>
    <w:rsid w:val="0065689B"/>
    <w:rsid w:val="006604A3"/>
    <w:rsid w:val="0066218B"/>
    <w:rsid w:val="00665102"/>
    <w:rsid w:val="00665A57"/>
    <w:rsid w:val="006664D1"/>
    <w:rsid w:val="006665FD"/>
    <w:rsid w:val="006677A8"/>
    <w:rsid w:val="00670FEC"/>
    <w:rsid w:val="0067547C"/>
    <w:rsid w:val="00675BAE"/>
    <w:rsid w:val="006772EE"/>
    <w:rsid w:val="0068304F"/>
    <w:rsid w:val="0068475F"/>
    <w:rsid w:val="00684A6E"/>
    <w:rsid w:val="006853D5"/>
    <w:rsid w:val="006862E2"/>
    <w:rsid w:val="00686AE6"/>
    <w:rsid w:val="00687D74"/>
    <w:rsid w:val="006908A0"/>
    <w:rsid w:val="00691215"/>
    <w:rsid w:val="00691CCC"/>
    <w:rsid w:val="00692466"/>
    <w:rsid w:val="00693EBD"/>
    <w:rsid w:val="00694F95"/>
    <w:rsid w:val="00696AA0"/>
    <w:rsid w:val="00697397"/>
    <w:rsid w:val="006A0519"/>
    <w:rsid w:val="006A23A9"/>
    <w:rsid w:val="006A2438"/>
    <w:rsid w:val="006A31CD"/>
    <w:rsid w:val="006A431D"/>
    <w:rsid w:val="006A7B8B"/>
    <w:rsid w:val="006B04C2"/>
    <w:rsid w:val="006B08BE"/>
    <w:rsid w:val="006B1BDD"/>
    <w:rsid w:val="006B2FAA"/>
    <w:rsid w:val="006B348B"/>
    <w:rsid w:val="006B4ACF"/>
    <w:rsid w:val="006B6463"/>
    <w:rsid w:val="006C3162"/>
    <w:rsid w:val="006C46B1"/>
    <w:rsid w:val="006C515D"/>
    <w:rsid w:val="006C53A4"/>
    <w:rsid w:val="006D0F7F"/>
    <w:rsid w:val="006D131F"/>
    <w:rsid w:val="006D1FA0"/>
    <w:rsid w:val="006D2F6D"/>
    <w:rsid w:val="006D3D39"/>
    <w:rsid w:val="006D46E3"/>
    <w:rsid w:val="006D795D"/>
    <w:rsid w:val="006D7CB3"/>
    <w:rsid w:val="006D7CC5"/>
    <w:rsid w:val="006E3F51"/>
    <w:rsid w:val="006E60CE"/>
    <w:rsid w:val="006E67F2"/>
    <w:rsid w:val="006F20B2"/>
    <w:rsid w:val="006F306D"/>
    <w:rsid w:val="006F3F9D"/>
    <w:rsid w:val="006F513D"/>
    <w:rsid w:val="006F5B83"/>
    <w:rsid w:val="006F60E4"/>
    <w:rsid w:val="0070080F"/>
    <w:rsid w:val="007009AD"/>
    <w:rsid w:val="007012DF"/>
    <w:rsid w:val="00702B45"/>
    <w:rsid w:val="00704436"/>
    <w:rsid w:val="007053F5"/>
    <w:rsid w:val="0070587F"/>
    <w:rsid w:val="00705DDD"/>
    <w:rsid w:val="007067C9"/>
    <w:rsid w:val="00706D33"/>
    <w:rsid w:val="00707BA0"/>
    <w:rsid w:val="00710456"/>
    <w:rsid w:val="00712E79"/>
    <w:rsid w:val="00714753"/>
    <w:rsid w:val="00715A6E"/>
    <w:rsid w:val="007163FA"/>
    <w:rsid w:val="00716A5C"/>
    <w:rsid w:val="00717AF1"/>
    <w:rsid w:val="00720A8F"/>
    <w:rsid w:val="00722A9C"/>
    <w:rsid w:val="00722C08"/>
    <w:rsid w:val="00724A7B"/>
    <w:rsid w:val="00733499"/>
    <w:rsid w:val="00735C19"/>
    <w:rsid w:val="0074237C"/>
    <w:rsid w:val="00744885"/>
    <w:rsid w:val="00744993"/>
    <w:rsid w:val="00745E2C"/>
    <w:rsid w:val="00751352"/>
    <w:rsid w:val="00751BF3"/>
    <w:rsid w:val="00752458"/>
    <w:rsid w:val="00752CBB"/>
    <w:rsid w:val="00753437"/>
    <w:rsid w:val="007548B1"/>
    <w:rsid w:val="00755E2D"/>
    <w:rsid w:val="00763166"/>
    <w:rsid w:val="007635D5"/>
    <w:rsid w:val="007667FB"/>
    <w:rsid w:val="007708C2"/>
    <w:rsid w:val="00771860"/>
    <w:rsid w:val="00771958"/>
    <w:rsid w:val="0077257B"/>
    <w:rsid w:val="00773BA5"/>
    <w:rsid w:val="007754FA"/>
    <w:rsid w:val="00776718"/>
    <w:rsid w:val="007767E1"/>
    <w:rsid w:val="007777F8"/>
    <w:rsid w:val="00780230"/>
    <w:rsid w:val="007864B2"/>
    <w:rsid w:val="0078698D"/>
    <w:rsid w:val="007909C3"/>
    <w:rsid w:val="007924DE"/>
    <w:rsid w:val="0079253E"/>
    <w:rsid w:val="00792B83"/>
    <w:rsid w:val="00792BC4"/>
    <w:rsid w:val="00795EB2"/>
    <w:rsid w:val="00797723"/>
    <w:rsid w:val="007A16F3"/>
    <w:rsid w:val="007A1785"/>
    <w:rsid w:val="007A1BB7"/>
    <w:rsid w:val="007A1E9C"/>
    <w:rsid w:val="007A24A2"/>
    <w:rsid w:val="007A3624"/>
    <w:rsid w:val="007A4021"/>
    <w:rsid w:val="007A4BF3"/>
    <w:rsid w:val="007A67D3"/>
    <w:rsid w:val="007A6A17"/>
    <w:rsid w:val="007B025A"/>
    <w:rsid w:val="007B0A7B"/>
    <w:rsid w:val="007B3F9C"/>
    <w:rsid w:val="007B4E6F"/>
    <w:rsid w:val="007B60EA"/>
    <w:rsid w:val="007B706C"/>
    <w:rsid w:val="007C0AA4"/>
    <w:rsid w:val="007C12FE"/>
    <w:rsid w:val="007C1F5B"/>
    <w:rsid w:val="007C2130"/>
    <w:rsid w:val="007C4F23"/>
    <w:rsid w:val="007C5509"/>
    <w:rsid w:val="007C5A05"/>
    <w:rsid w:val="007C5B2A"/>
    <w:rsid w:val="007C634C"/>
    <w:rsid w:val="007D1D73"/>
    <w:rsid w:val="007D2F18"/>
    <w:rsid w:val="007D3363"/>
    <w:rsid w:val="007D3B10"/>
    <w:rsid w:val="007D64C3"/>
    <w:rsid w:val="007D7DD6"/>
    <w:rsid w:val="007E2AF9"/>
    <w:rsid w:val="007E3E35"/>
    <w:rsid w:val="007E5271"/>
    <w:rsid w:val="007E5925"/>
    <w:rsid w:val="007E621F"/>
    <w:rsid w:val="007E6FA7"/>
    <w:rsid w:val="007E744C"/>
    <w:rsid w:val="007E7571"/>
    <w:rsid w:val="007F1312"/>
    <w:rsid w:val="007F3807"/>
    <w:rsid w:val="007F411D"/>
    <w:rsid w:val="007F4FC5"/>
    <w:rsid w:val="007F683F"/>
    <w:rsid w:val="007F76D4"/>
    <w:rsid w:val="008026E0"/>
    <w:rsid w:val="00803AB1"/>
    <w:rsid w:val="00805F28"/>
    <w:rsid w:val="008074E0"/>
    <w:rsid w:val="00811473"/>
    <w:rsid w:val="0081359B"/>
    <w:rsid w:val="008139D3"/>
    <w:rsid w:val="008142DD"/>
    <w:rsid w:val="008144A4"/>
    <w:rsid w:val="00814788"/>
    <w:rsid w:val="00814E0B"/>
    <w:rsid w:val="00817DA9"/>
    <w:rsid w:val="00820474"/>
    <w:rsid w:val="008217D1"/>
    <w:rsid w:val="008219FA"/>
    <w:rsid w:val="0082383C"/>
    <w:rsid w:val="008243A9"/>
    <w:rsid w:val="00825A61"/>
    <w:rsid w:val="00825E51"/>
    <w:rsid w:val="00825FAD"/>
    <w:rsid w:val="008310B9"/>
    <w:rsid w:val="00831201"/>
    <w:rsid w:val="00832E3B"/>
    <w:rsid w:val="00833782"/>
    <w:rsid w:val="00834A5D"/>
    <w:rsid w:val="00835455"/>
    <w:rsid w:val="0083754D"/>
    <w:rsid w:val="008421BF"/>
    <w:rsid w:val="008428B4"/>
    <w:rsid w:val="0084441F"/>
    <w:rsid w:val="008458D3"/>
    <w:rsid w:val="0084631F"/>
    <w:rsid w:val="00846817"/>
    <w:rsid w:val="0084693E"/>
    <w:rsid w:val="0085079A"/>
    <w:rsid w:val="00852706"/>
    <w:rsid w:val="0085319A"/>
    <w:rsid w:val="00856D06"/>
    <w:rsid w:val="00857EC9"/>
    <w:rsid w:val="00863DB2"/>
    <w:rsid w:val="00864361"/>
    <w:rsid w:val="0086703D"/>
    <w:rsid w:val="0086792A"/>
    <w:rsid w:val="008704C2"/>
    <w:rsid w:val="0087079E"/>
    <w:rsid w:val="00871E55"/>
    <w:rsid w:val="0087418A"/>
    <w:rsid w:val="00877A28"/>
    <w:rsid w:val="00877F5B"/>
    <w:rsid w:val="00880267"/>
    <w:rsid w:val="00881336"/>
    <w:rsid w:val="0088163E"/>
    <w:rsid w:val="00881970"/>
    <w:rsid w:val="00882270"/>
    <w:rsid w:val="00882B32"/>
    <w:rsid w:val="008835DF"/>
    <w:rsid w:val="00883FD7"/>
    <w:rsid w:val="00887955"/>
    <w:rsid w:val="00890396"/>
    <w:rsid w:val="0089220B"/>
    <w:rsid w:val="00896B7C"/>
    <w:rsid w:val="00897946"/>
    <w:rsid w:val="008A1BC7"/>
    <w:rsid w:val="008A2A5B"/>
    <w:rsid w:val="008A3B86"/>
    <w:rsid w:val="008A40FD"/>
    <w:rsid w:val="008A4BA9"/>
    <w:rsid w:val="008A5A1A"/>
    <w:rsid w:val="008B13A9"/>
    <w:rsid w:val="008B18FB"/>
    <w:rsid w:val="008B43DF"/>
    <w:rsid w:val="008B69F7"/>
    <w:rsid w:val="008B7A6F"/>
    <w:rsid w:val="008B7EFC"/>
    <w:rsid w:val="008C431F"/>
    <w:rsid w:val="008C463C"/>
    <w:rsid w:val="008C5A6D"/>
    <w:rsid w:val="008C5C71"/>
    <w:rsid w:val="008C6A93"/>
    <w:rsid w:val="008C6F32"/>
    <w:rsid w:val="008C6F3B"/>
    <w:rsid w:val="008D061A"/>
    <w:rsid w:val="008D3665"/>
    <w:rsid w:val="008D36C6"/>
    <w:rsid w:val="008D4DDF"/>
    <w:rsid w:val="008D5054"/>
    <w:rsid w:val="008D6227"/>
    <w:rsid w:val="008D6ADE"/>
    <w:rsid w:val="008D7AA0"/>
    <w:rsid w:val="008E07D9"/>
    <w:rsid w:val="008E16D1"/>
    <w:rsid w:val="008E2190"/>
    <w:rsid w:val="008E3733"/>
    <w:rsid w:val="008E38A9"/>
    <w:rsid w:val="008E6547"/>
    <w:rsid w:val="008E6B61"/>
    <w:rsid w:val="008E7105"/>
    <w:rsid w:val="008F0B93"/>
    <w:rsid w:val="008F1E13"/>
    <w:rsid w:val="008F33BA"/>
    <w:rsid w:val="008F4204"/>
    <w:rsid w:val="008F450C"/>
    <w:rsid w:val="008F49A5"/>
    <w:rsid w:val="008F6401"/>
    <w:rsid w:val="00902294"/>
    <w:rsid w:val="00903C9E"/>
    <w:rsid w:val="0090435D"/>
    <w:rsid w:val="009046FC"/>
    <w:rsid w:val="0090500F"/>
    <w:rsid w:val="009052E2"/>
    <w:rsid w:val="00906654"/>
    <w:rsid w:val="009066C6"/>
    <w:rsid w:val="00911F74"/>
    <w:rsid w:val="00911FC0"/>
    <w:rsid w:val="009143F3"/>
    <w:rsid w:val="0091508B"/>
    <w:rsid w:val="00922DC2"/>
    <w:rsid w:val="00926836"/>
    <w:rsid w:val="00926918"/>
    <w:rsid w:val="00926AA6"/>
    <w:rsid w:val="0092709D"/>
    <w:rsid w:val="00931414"/>
    <w:rsid w:val="00932A9C"/>
    <w:rsid w:val="00933FEE"/>
    <w:rsid w:val="0093534A"/>
    <w:rsid w:val="009356E5"/>
    <w:rsid w:val="00936BD1"/>
    <w:rsid w:val="00937BFD"/>
    <w:rsid w:val="009410A1"/>
    <w:rsid w:val="009444F8"/>
    <w:rsid w:val="00944630"/>
    <w:rsid w:val="00947F2F"/>
    <w:rsid w:val="00950770"/>
    <w:rsid w:val="00951CA3"/>
    <w:rsid w:val="0095275C"/>
    <w:rsid w:val="00952D66"/>
    <w:rsid w:val="0095373A"/>
    <w:rsid w:val="00954F27"/>
    <w:rsid w:val="00956230"/>
    <w:rsid w:val="00957EA4"/>
    <w:rsid w:val="0096065D"/>
    <w:rsid w:val="00960A07"/>
    <w:rsid w:val="00960F48"/>
    <w:rsid w:val="00964BFA"/>
    <w:rsid w:val="00965212"/>
    <w:rsid w:val="0096576B"/>
    <w:rsid w:val="00965EE8"/>
    <w:rsid w:val="009668D0"/>
    <w:rsid w:val="00966F9E"/>
    <w:rsid w:val="009670F5"/>
    <w:rsid w:val="00967F10"/>
    <w:rsid w:val="0097023D"/>
    <w:rsid w:val="00971657"/>
    <w:rsid w:val="009726B1"/>
    <w:rsid w:val="00972992"/>
    <w:rsid w:val="00973408"/>
    <w:rsid w:val="00973782"/>
    <w:rsid w:val="009769DA"/>
    <w:rsid w:val="00981030"/>
    <w:rsid w:val="00982F09"/>
    <w:rsid w:val="00984763"/>
    <w:rsid w:val="00985EB7"/>
    <w:rsid w:val="00986DAF"/>
    <w:rsid w:val="00990A93"/>
    <w:rsid w:val="009924B8"/>
    <w:rsid w:val="00993BE5"/>
    <w:rsid w:val="00994920"/>
    <w:rsid w:val="009955F4"/>
    <w:rsid w:val="00997374"/>
    <w:rsid w:val="00997964"/>
    <w:rsid w:val="0099797A"/>
    <w:rsid w:val="009979B6"/>
    <w:rsid w:val="00997FD0"/>
    <w:rsid w:val="009A06D4"/>
    <w:rsid w:val="009A1223"/>
    <w:rsid w:val="009A1394"/>
    <w:rsid w:val="009A2408"/>
    <w:rsid w:val="009A2F36"/>
    <w:rsid w:val="009A2F6E"/>
    <w:rsid w:val="009A4320"/>
    <w:rsid w:val="009A56C8"/>
    <w:rsid w:val="009A576B"/>
    <w:rsid w:val="009A6FFB"/>
    <w:rsid w:val="009A77CF"/>
    <w:rsid w:val="009B1056"/>
    <w:rsid w:val="009B16A2"/>
    <w:rsid w:val="009B1DE1"/>
    <w:rsid w:val="009B28D5"/>
    <w:rsid w:val="009B4D64"/>
    <w:rsid w:val="009B6931"/>
    <w:rsid w:val="009B7FAA"/>
    <w:rsid w:val="009C0B1A"/>
    <w:rsid w:val="009C0B80"/>
    <w:rsid w:val="009C1C64"/>
    <w:rsid w:val="009C2208"/>
    <w:rsid w:val="009C2295"/>
    <w:rsid w:val="009C559D"/>
    <w:rsid w:val="009C650D"/>
    <w:rsid w:val="009C74B0"/>
    <w:rsid w:val="009D0BDB"/>
    <w:rsid w:val="009D0CF9"/>
    <w:rsid w:val="009D2C21"/>
    <w:rsid w:val="009D2D5C"/>
    <w:rsid w:val="009D3428"/>
    <w:rsid w:val="009D5BF7"/>
    <w:rsid w:val="009D6FD5"/>
    <w:rsid w:val="009D788D"/>
    <w:rsid w:val="009E0ADE"/>
    <w:rsid w:val="009E16D5"/>
    <w:rsid w:val="009E2F5B"/>
    <w:rsid w:val="009E34B0"/>
    <w:rsid w:val="009E6504"/>
    <w:rsid w:val="009E7C18"/>
    <w:rsid w:val="009F0573"/>
    <w:rsid w:val="009F0F8B"/>
    <w:rsid w:val="009F3A32"/>
    <w:rsid w:val="009F4B39"/>
    <w:rsid w:val="009F4C8C"/>
    <w:rsid w:val="009F5F3A"/>
    <w:rsid w:val="009F7FC7"/>
    <w:rsid w:val="00A0096B"/>
    <w:rsid w:val="00A0121A"/>
    <w:rsid w:val="00A01D71"/>
    <w:rsid w:val="00A01F8B"/>
    <w:rsid w:val="00A0209C"/>
    <w:rsid w:val="00A0264E"/>
    <w:rsid w:val="00A04586"/>
    <w:rsid w:val="00A05DBB"/>
    <w:rsid w:val="00A0622B"/>
    <w:rsid w:val="00A06420"/>
    <w:rsid w:val="00A06B60"/>
    <w:rsid w:val="00A073D6"/>
    <w:rsid w:val="00A102C8"/>
    <w:rsid w:val="00A112B2"/>
    <w:rsid w:val="00A11779"/>
    <w:rsid w:val="00A11835"/>
    <w:rsid w:val="00A11E7D"/>
    <w:rsid w:val="00A1431C"/>
    <w:rsid w:val="00A14320"/>
    <w:rsid w:val="00A14A12"/>
    <w:rsid w:val="00A203E7"/>
    <w:rsid w:val="00A23DAC"/>
    <w:rsid w:val="00A300D1"/>
    <w:rsid w:val="00A310F8"/>
    <w:rsid w:val="00A32C9A"/>
    <w:rsid w:val="00A338D3"/>
    <w:rsid w:val="00A3762A"/>
    <w:rsid w:val="00A37B07"/>
    <w:rsid w:val="00A4014E"/>
    <w:rsid w:val="00A412F4"/>
    <w:rsid w:val="00A42737"/>
    <w:rsid w:val="00A42FB8"/>
    <w:rsid w:val="00A4351F"/>
    <w:rsid w:val="00A4356F"/>
    <w:rsid w:val="00A44F04"/>
    <w:rsid w:val="00A456DC"/>
    <w:rsid w:val="00A51025"/>
    <w:rsid w:val="00A5336C"/>
    <w:rsid w:val="00A533F7"/>
    <w:rsid w:val="00A537F6"/>
    <w:rsid w:val="00A552A7"/>
    <w:rsid w:val="00A553BD"/>
    <w:rsid w:val="00A557EA"/>
    <w:rsid w:val="00A56D93"/>
    <w:rsid w:val="00A57602"/>
    <w:rsid w:val="00A60349"/>
    <w:rsid w:val="00A61A7C"/>
    <w:rsid w:val="00A63E4C"/>
    <w:rsid w:val="00A63EF9"/>
    <w:rsid w:val="00A66062"/>
    <w:rsid w:val="00A67CA9"/>
    <w:rsid w:val="00A70BFF"/>
    <w:rsid w:val="00A7165D"/>
    <w:rsid w:val="00A7213B"/>
    <w:rsid w:val="00A72848"/>
    <w:rsid w:val="00A72FF1"/>
    <w:rsid w:val="00A73443"/>
    <w:rsid w:val="00A750F6"/>
    <w:rsid w:val="00A75601"/>
    <w:rsid w:val="00A77025"/>
    <w:rsid w:val="00A8226D"/>
    <w:rsid w:val="00A85244"/>
    <w:rsid w:val="00A854BD"/>
    <w:rsid w:val="00A864B2"/>
    <w:rsid w:val="00A87D10"/>
    <w:rsid w:val="00A9012C"/>
    <w:rsid w:val="00A91DDA"/>
    <w:rsid w:val="00A92272"/>
    <w:rsid w:val="00A933D0"/>
    <w:rsid w:val="00A94811"/>
    <w:rsid w:val="00A969E1"/>
    <w:rsid w:val="00A9787E"/>
    <w:rsid w:val="00A97F0B"/>
    <w:rsid w:val="00AA10B9"/>
    <w:rsid w:val="00AA1CBA"/>
    <w:rsid w:val="00AA2384"/>
    <w:rsid w:val="00AA2F71"/>
    <w:rsid w:val="00AA5095"/>
    <w:rsid w:val="00AA5C9F"/>
    <w:rsid w:val="00AA5E33"/>
    <w:rsid w:val="00AB0BFA"/>
    <w:rsid w:val="00AB2056"/>
    <w:rsid w:val="00AB2776"/>
    <w:rsid w:val="00AB2CE5"/>
    <w:rsid w:val="00AB3058"/>
    <w:rsid w:val="00AC34DD"/>
    <w:rsid w:val="00AC390C"/>
    <w:rsid w:val="00AD03CE"/>
    <w:rsid w:val="00AD09FB"/>
    <w:rsid w:val="00AD0D57"/>
    <w:rsid w:val="00AD2044"/>
    <w:rsid w:val="00AD5332"/>
    <w:rsid w:val="00AD6403"/>
    <w:rsid w:val="00AD7BF9"/>
    <w:rsid w:val="00AE0892"/>
    <w:rsid w:val="00AE234F"/>
    <w:rsid w:val="00AE3058"/>
    <w:rsid w:val="00AE47F6"/>
    <w:rsid w:val="00AE5827"/>
    <w:rsid w:val="00AE7926"/>
    <w:rsid w:val="00AF0A0E"/>
    <w:rsid w:val="00AF0D1A"/>
    <w:rsid w:val="00AF390E"/>
    <w:rsid w:val="00AF4E56"/>
    <w:rsid w:val="00AF67C7"/>
    <w:rsid w:val="00B01711"/>
    <w:rsid w:val="00B0248E"/>
    <w:rsid w:val="00B031DC"/>
    <w:rsid w:val="00B03693"/>
    <w:rsid w:val="00B04751"/>
    <w:rsid w:val="00B05575"/>
    <w:rsid w:val="00B058A7"/>
    <w:rsid w:val="00B0641F"/>
    <w:rsid w:val="00B10D05"/>
    <w:rsid w:val="00B12326"/>
    <w:rsid w:val="00B15692"/>
    <w:rsid w:val="00B179E0"/>
    <w:rsid w:val="00B21F16"/>
    <w:rsid w:val="00B21FCD"/>
    <w:rsid w:val="00B2308E"/>
    <w:rsid w:val="00B23693"/>
    <w:rsid w:val="00B247CD"/>
    <w:rsid w:val="00B2556D"/>
    <w:rsid w:val="00B25948"/>
    <w:rsid w:val="00B2636D"/>
    <w:rsid w:val="00B2698E"/>
    <w:rsid w:val="00B26E77"/>
    <w:rsid w:val="00B2753D"/>
    <w:rsid w:val="00B3154D"/>
    <w:rsid w:val="00B32FBA"/>
    <w:rsid w:val="00B3763B"/>
    <w:rsid w:val="00B37BC0"/>
    <w:rsid w:val="00B40703"/>
    <w:rsid w:val="00B40E68"/>
    <w:rsid w:val="00B42158"/>
    <w:rsid w:val="00B4216D"/>
    <w:rsid w:val="00B4239F"/>
    <w:rsid w:val="00B44084"/>
    <w:rsid w:val="00B45F3C"/>
    <w:rsid w:val="00B53DE7"/>
    <w:rsid w:val="00B56E10"/>
    <w:rsid w:val="00B57B69"/>
    <w:rsid w:val="00B606F1"/>
    <w:rsid w:val="00B61A3C"/>
    <w:rsid w:val="00B63F2C"/>
    <w:rsid w:val="00B65ECA"/>
    <w:rsid w:val="00B661D6"/>
    <w:rsid w:val="00B66DC9"/>
    <w:rsid w:val="00B710EF"/>
    <w:rsid w:val="00B71B8F"/>
    <w:rsid w:val="00B75204"/>
    <w:rsid w:val="00B7531C"/>
    <w:rsid w:val="00B7543A"/>
    <w:rsid w:val="00B77CB9"/>
    <w:rsid w:val="00B81F59"/>
    <w:rsid w:val="00B837BF"/>
    <w:rsid w:val="00B843A7"/>
    <w:rsid w:val="00B90012"/>
    <w:rsid w:val="00B90B08"/>
    <w:rsid w:val="00B91E44"/>
    <w:rsid w:val="00B92137"/>
    <w:rsid w:val="00B92185"/>
    <w:rsid w:val="00B96607"/>
    <w:rsid w:val="00BA0D13"/>
    <w:rsid w:val="00BA1CE9"/>
    <w:rsid w:val="00BA28C0"/>
    <w:rsid w:val="00BA3224"/>
    <w:rsid w:val="00BA4553"/>
    <w:rsid w:val="00BA59C5"/>
    <w:rsid w:val="00BA669D"/>
    <w:rsid w:val="00BA7B12"/>
    <w:rsid w:val="00BB0875"/>
    <w:rsid w:val="00BB2C26"/>
    <w:rsid w:val="00BB30ED"/>
    <w:rsid w:val="00BB34AA"/>
    <w:rsid w:val="00BB5681"/>
    <w:rsid w:val="00BB790D"/>
    <w:rsid w:val="00BC0D24"/>
    <w:rsid w:val="00BC2B5A"/>
    <w:rsid w:val="00BC2C23"/>
    <w:rsid w:val="00BC6E1E"/>
    <w:rsid w:val="00BD1366"/>
    <w:rsid w:val="00BD169D"/>
    <w:rsid w:val="00BD1EE5"/>
    <w:rsid w:val="00BD382A"/>
    <w:rsid w:val="00BD44EF"/>
    <w:rsid w:val="00BD4F30"/>
    <w:rsid w:val="00BD64D2"/>
    <w:rsid w:val="00BD7A28"/>
    <w:rsid w:val="00BD7A47"/>
    <w:rsid w:val="00BD7C77"/>
    <w:rsid w:val="00BD7CE2"/>
    <w:rsid w:val="00BE09CD"/>
    <w:rsid w:val="00BE4223"/>
    <w:rsid w:val="00BE5400"/>
    <w:rsid w:val="00BE6DF4"/>
    <w:rsid w:val="00BE7687"/>
    <w:rsid w:val="00BE7B93"/>
    <w:rsid w:val="00BF0045"/>
    <w:rsid w:val="00BF0326"/>
    <w:rsid w:val="00BF10CE"/>
    <w:rsid w:val="00BF1D11"/>
    <w:rsid w:val="00BF1FAE"/>
    <w:rsid w:val="00BF3AE4"/>
    <w:rsid w:val="00BF46A8"/>
    <w:rsid w:val="00BF5A42"/>
    <w:rsid w:val="00BF65D3"/>
    <w:rsid w:val="00BF6CB4"/>
    <w:rsid w:val="00BF71F8"/>
    <w:rsid w:val="00C00E89"/>
    <w:rsid w:val="00C026C9"/>
    <w:rsid w:val="00C02B80"/>
    <w:rsid w:val="00C03260"/>
    <w:rsid w:val="00C033CF"/>
    <w:rsid w:val="00C03A30"/>
    <w:rsid w:val="00C04153"/>
    <w:rsid w:val="00C04350"/>
    <w:rsid w:val="00C07CB8"/>
    <w:rsid w:val="00C135D8"/>
    <w:rsid w:val="00C168F4"/>
    <w:rsid w:val="00C16919"/>
    <w:rsid w:val="00C178C1"/>
    <w:rsid w:val="00C23BE8"/>
    <w:rsid w:val="00C246B8"/>
    <w:rsid w:val="00C24827"/>
    <w:rsid w:val="00C25507"/>
    <w:rsid w:val="00C25B30"/>
    <w:rsid w:val="00C25F68"/>
    <w:rsid w:val="00C3310A"/>
    <w:rsid w:val="00C336D4"/>
    <w:rsid w:val="00C33E7A"/>
    <w:rsid w:val="00C35ABD"/>
    <w:rsid w:val="00C3777F"/>
    <w:rsid w:val="00C37F80"/>
    <w:rsid w:val="00C406EA"/>
    <w:rsid w:val="00C40EE2"/>
    <w:rsid w:val="00C41ABB"/>
    <w:rsid w:val="00C43486"/>
    <w:rsid w:val="00C45D3A"/>
    <w:rsid w:val="00C46D71"/>
    <w:rsid w:val="00C46F13"/>
    <w:rsid w:val="00C50DCA"/>
    <w:rsid w:val="00C52070"/>
    <w:rsid w:val="00C53546"/>
    <w:rsid w:val="00C53E46"/>
    <w:rsid w:val="00C54613"/>
    <w:rsid w:val="00C54A23"/>
    <w:rsid w:val="00C55802"/>
    <w:rsid w:val="00C57243"/>
    <w:rsid w:val="00C60F15"/>
    <w:rsid w:val="00C63462"/>
    <w:rsid w:val="00C6416A"/>
    <w:rsid w:val="00C64621"/>
    <w:rsid w:val="00C6714A"/>
    <w:rsid w:val="00C707EB"/>
    <w:rsid w:val="00C719E4"/>
    <w:rsid w:val="00C71E49"/>
    <w:rsid w:val="00C728D3"/>
    <w:rsid w:val="00C73F56"/>
    <w:rsid w:val="00C754E2"/>
    <w:rsid w:val="00C763C7"/>
    <w:rsid w:val="00C76422"/>
    <w:rsid w:val="00C803A9"/>
    <w:rsid w:val="00C80B1B"/>
    <w:rsid w:val="00C812BF"/>
    <w:rsid w:val="00C81716"/>
    <w:rsid w:val="00C84415"/>
    <w:rsid w:val="00C85350"/>
    <w:rsid w:val="00C90244"/>
    <w:rsid w:val="00C9185C"/>
    <w:rsid w:val="00C92074"/>
    <w:rsid w:val="00C936A5"/>
    <w:rsid w:val="00C94CE3"/>
    <w:rsid w:val="00C956F5"/>
    <w:rsid w:val="00C95990"/>
    <w:rsid w:val="00CA00CD"/>
    <w:rsid w:val="00CA0CB1"/>
    <w:rsid w:val="00CA1C21"/>
    <w:rsid w:val="00CA56FE"/>
    <w:rsid w:val="00CB06D5"/>
    <w:rsid w:val="00CB5ED6"/>
    <w:rsid w:val="00CB76A7"/>
    <w:rsid w:val="00CB7E06"/>
    <w:rsid w:val="00CC0EE8"/>
    <w:rsid w:val="00CC0F5F"/>
    <w:rsid w:val="00CC2B7D"/>
    <w:rsid w:val="00CC3EAF"/>
    <w:rsid w:val="00CC3F6D"/>
    <w:rsid w:val="00CC45A8"/>
    <w:rsid w:val="00CC65B8"/>
    <w:rsid w:val="00CC6AB0"/>
    <w:rsid w:val="00CC70BC"/>
    <w:rsid w:val="00CC7258"/>
    <w:rsid w:val="00CC7562"/>
    <w:rsid w:val="00CD25A8"/>
    <w:rsid w:val="00CD3698"/>
    <w:rsid w:val="00CD3C24"/>
    <w:rsid w:val="00CD4619"/>
    <w:rsid w:val="00CD46EF"/>
    <w:rsid w:val="00CD6881"/>
    <w:rsid w:val="00CD69B8"/>
    <w:rsid w:val="00CE0DBE"/>
    <w:rsid w:val="00CE11CD"/>
    <w:rsid w:val="00CE2C0A"/>
    <w:rsid w:val="00CE4037"/>
    <w:rsid w:val="00CE4612"/>
    <w:rsid w:val="00CE6A43"/>
    <w:rsid w:val="00CE7B0D"/>
    <w:rsid w:val="00CF0DBF"/>
    <w:rsid w:val="00CF1112"/>
    <w:rsid w:val="00CF2AD9"/>
    <w:rsid w:val="00CF2B88"/>
    <w:rsid w:val="00CF5179"/>
    <w:rsid w:val="00CF56B7"/>
    <w:rsid w:val="00CF6EC6"/>
    <w:rsid w:val="00CF774A"/>
    <w:rsid w:val="00D001F3"/>
    <w:rsid w:val="00D0069A"/>
    <w:rsid w:val="00D02681"/>
    <w:rsid w:val="00D02779"/>
    <w:rsid w:val="00D04E61"/>
    <w:rsid w:val="00D0526B"/>
    <w:rsid w:val="00D0701C"/>
    <w:rsid w:val="00D1048B"/>
    <w:rsid w:val="00D107EE"/>
    <w:rsid w:val="00D1111A"/>
    <w:rsid w:val="00D1226D"/>
    <w:rsid w:val="00D12784"/>
    <w:rsid w:val="00D14278"/>
    <w:rsid w:val="00D1476D"/>
    <w:rsid w:val="00D216AB"/>
    <w:rsid w:val="00D2299F"/>
    <w:rsid w:val="00D2458E"/>
    <w:rsid w:val="00D24D3B"/>
    <w:rsid w:val="00D25B71"/>
    <w:rsid w:val="00D25F31"/>
    <w:rsid w:val="00D26CBA"/>
    <w:rsid w:val="00D27390"/>
    <w:rsid w:val="00D27C76"/>
    <w:rsid w:val="00D305B9"/>
    <w:rsid w:val="00D32A06"/>
    <w:rsid w:val="00D34E51"/>
    <w:rsid w:val="00D350A3"/>
    <w:rsid w:val="00D36175"/>
    <w:rsid w:val="00D379E9"/>
    <w:rsid w:val="00D37DC8"/>
    <w:rsid w:val="00D40D23"/>
    <w:rsid w:val="00D42DCB"/>
    <w:rsid w:val="00D43011"/>
    <w:rsid w:val="00D431D3"/>
    <w:rsid w:val="00D441ED"/>
    <w:rsid w:val="00D456EE"/>
    <w:rsid w:val="00D45DE4"/>
    <w:rsid w:val="00D46D6A"/>
    <w:rsid w:val="00D47D5A"/>
    <w:rsid w:val="00D50E0C"/>
    <w:rsid w:val="00D5111B"/>
    <w:rsid w:val="00D52556"/>
    <w:rsid w:val="00D53459"/>
    <w:rsid w:val="00D54B80"/>
    <w:rsid w:val="00D557AD"/>
    <w:rsid w:val="00D60007"/>
    <w:rsid w:val="00D6050E"/>
    <w:rsid w:val="00D61C58"/>
    <w:rsid w:val="00D625C5"/>
    <w:rsid w:val="00D647A4"/>
    <w:rsid w:val="00D64A67"/>
    <w:rsid w:val="00D654AF"/>
    <w:rsid w:val="00D70764"/>
    <w:rsid w:val="00D711F1"/>
    <w:rsid w:val="00D7198A"/>
    <w:rsid w:val="00D7214C"/>
    <w:rsid w:val="00D7261D"/>
    <w:rsid w:val="00D7428F"/>
    <w:rsid w:val="00D765DB"/>
    <w:rsid w:val="00D8092F"/>
    <w:rsid w:val="00D81C70"/>
    <w:rsid w:val="00D822BD"/>
    <w:rsid w:val="00D827B1"/>
    <w:rsid w:val="00D84A6C"/>
    <w:rsid w:val="00D8638F"/>
    <w:rsid w:val="00D91903"/>
    <w:rsid w:val="00D93C39"/>
    <w:rsid w:val="00D94D6B"/>
    <w:rsid w:val="00D954B2"/>
    <w:rsid w:val="00D95507"/>
    <w:rsid w:val="00D9600A"/>
    <w:rsid w:val="00D97247"/>
    <w:rsid w:val="00D97CB7"/>
    <w:rsid w:val="00DA01F8"/>
    <w:rsid w:val="00DA2242"/>
    <w:rsid w:val="00DA2F5F"/>
    <w:rsid w:val="00DA39AB"/>
    <w:rsid w:val="00DA3EF1"/>
    <w:rsid w:val="00DA41CA"/>
    <w:rsid w:val="00DA45C6"/>
    <w:rsid w:val="00DB259E"/>
    <w:rsid w:val="00DB732D"/>
    <w:rsid w:val="00DC0BF1"/>
    <w:rsid w:val="00DC17D8"/>
    <w:rsid w:val="00DC23E3"/>
    <w:rsid w:val="00DC426B"/>
    <w:rsid w:val="00DC57F7"/>
    <w:rsid w:val="00DD2527"/>
    <w:rsid w:val="00DD50D3"/>
    <w:rsid w:val="00DD5CEE"/>
    <w:rsid w:val="00DD5D1F"/>
    <w:rsid w:val="00DE07E4"/>
    <w:rsid w:val="00DE1731"/>
    <w:rsid w:val="00DE4652"/>
    <w:rsid w:val="00DE529E"/>
    <w:rsid w:val="00DF00ED"/>
    <w:rsid w:val="00DF0C52"/>
    <w:rsid w:val="00DF21C2"/>
    <w:rsid w:val="00DF3CDD"/>
    <w:rsid w:val="00DF3D3D"/>
    <w:rsid w:val="00DF4AB4"/>
    <w:rsid w:val="00DF71A6"/>
    <w:rsid w:val="00E005EF"/>
    <w:rsid w:val="00E012DD"/>
    <w:rsid w:val="00E021A4"/>
    <w:rsid w:val="00E0318F"/>
    <w:rsid w:val="00E04DBF"/>
    <w:rsid w:val="00E05367"/>
    <w:rsid w:val="00E10A46"/>
    <w:rsid w:val="00E10D47"/>
    <w:rsid w:val="00E10E08"/>
    <w:rsid w:val="00E1141A"/>
    <w:rsid w:val="00E14D3F"/>
    <w:rsid w:val="00E1566D"/>
    <w:rsid w:val="00E16050"/>
    <w:rsid w:val="00E1738F"/>
    <w:rsid w:val="00E175D3"/>
    <w:rsid w:val="00E205A2"/>
    <w:rsid w:val="00E21023"/>
    <w:rsid w:val="00E22844"/>
    <w:rsid w:val="00E22DEF"/>
    <w:rsid w:val="00E2341E"/>
    <w:rsid w:val="00E23C37"/>
    <w:rsid w:val="00E242D8"/>
    <w:rsid w:val="00E24D60"/>
    <w:rsid w:val="00E25AC4"/>
    <w:rsid w:val="00E2733F"/>
    <w:rsid w:val="00E27CEC"/>
    <w:rsid w:val="00E30155"/>
    <w:rsid w:val="00E31CE9"/>
    <w:rsid w:val="00E329DF"/>
    <w:rsid w:val="00E32CCC"/>
    <w:rsid w:val="00E346B5"/>
    <w:rsid w:val="00E35B9D"/>
    <w:rsid w:val="00E36755"/>
    <w:rsid w:val="00E37438"/>
    <w:rsid w:val="00E37DE4"/>
    <w:rsid w:val="00E41292"/>
    <w:rsid w:val="00E43664"/>
    <w:rsid w:val="00E4387F"/>
    <w:rsid w:val="00E4394A"/>
    <w:rsid w:val="00E43F70"/>
    <w:rsid w:val="00E44736"/>
    <w:rsid w:val="00E46908"/>
    <w:rsid w:val="00E46F70"/>
    <w:rsid w:val="00E52214"/>
    <w:rsid w:val="00E52DCE"/>
    <w:rsid w:val="00E5480F"/>
    <w:rsid w:val="00E54C8B"/>
    <w:rsid w:val="00E573FC"/>
    <w:rsid w:val="00E57F4B"/>
    <w:rsid w:val="00E60A31"/>
    <w:rsid w:val="00E60BF4"/>
    <w:rsid w:val="00E60CB4"/>
    <w:rsid w:val="00E62825"/>
    <w:rsid w:val="00E64921"/>
    <w:rsid w:val="00E649B3"/>
    <w:rsid w:val="00E66054"/>
    <w:rsid w:val="00E667D0"/>
    <w:rsid w:val="00E715A6"/>
    <w:rsid w:val="00E72332"/>
    <w:rsid w:val="00E73464"/>
    <w:rsid w:val="00E76DF3"/>
    <w:rsid w:val="00E8069D"/>
    <w:rsid w:val="00E815A2"/>
    <w:rsid w:val="00E81F2A"/>
    <w:rsid w:val="00E832F0"/>
    <w:rsid w:val="00E842B3"/>
    <w:rsid w:val="00E849ED"/>
    <w:rsid w:val="00E857AC"/>
    <w:rsid w:val="00E85E50"/>
    <w:rsid w:val="00E86E33"/>
    <w:rsid w:val="00E8711F"/>
    <w:rsid w:val="00E912F7"/>
    <w:rsid w:val="00E91896"/>
    <w:rsid w:val="00E91BFF"/>
    <w:rsid w:val="00E91DFB"/>
    <w:rsid w:val="00E92D92"/>
    <w:rsid w:val="00E93676"/>
    <w:rsid w:val="00E93A07"/>
    <w:rsid w:val="00E943EE"/>
    <w:rsid w:val="00E959D6"/>
    <w:rsid w:val="00E96322"/>
    <w:rsid w:val="00E96AC2"/>
    <w:rsid w:val="00E97155"/>
    <w:rsid w:val="00EA0FCC"/>
    <w:rsid w:val="00EA1564"/>
    <w:rsid w:val="00EA2720"/>
    <w:rsid w:val="00EA38BF"/>
    <w:rsid w:val="00EA3F78"/>
    <w:rsid w:val="00EA4074"/>
    <w:rsid w:val="00EA478F"/>
    <w:rsid w:val="00EA71BB"/>
    <w:rsid w:val="00EA7A20"/>
    <w:rsid w:val="00EB115A"/>
    <w:rsid w:val="00EB2943"/>
    <w:rsid w:val="00EB2C57"/>
    <w:rsid w:val="00EB4FF4"/>
    <w:rsid w:val="00EB5545"/>
    <w:rsid w:val="00EB6306"/>
    <w:rsid w:val="00EB7DB2"/>
    <w:rsid w:val="00EC0039"/>
    <w:rsid w:val="00EC06AE"/>
    <w:rsid w:val="00EC0978"/>
    <w:rsid w:val="00EC0B90"/>
    <w:rsid w:val="00EC2158"/>
    <w:rsid w:val="00EC2F52"/>
    <w:rsid w:val="00EC6C6A"/>
    <w:rsid w:val="00EC7991"/>
    <w:rsid w:val="00ED1196"/>
    <w:rsid w:val="00ED16F7"/>
    <w:rsid w:val="00ED399F"/>
    <w:rsid w:val="00ED79DD"/>
    <w:rsid w:val="00EE0D30"/>
    <w:rsid w:val="00EE13E7"/>
    <w:rsid w:val="00EE15A1"/>
    <w:rsid w:val="00EE5158"/>
    <w:rsid w:val="00EE51D3"/>
    <w:rsid w:val="00EE6030"/>
    <w:rsid w:val="00EE6AD4"/>
    <w:rsid w:val="00EF0295"/>
    <w:rsid w:val="00EF1F98"/>
    <w:rsid w:val="00EF2D69"/>
    <w:rsid w:val="00EF58CA"/>
    <w:rsid w:val="00EF6300"/>
    <w:rsid w:val="00EF6FA0"/>
    <w:rsid w:val="00F0027C"/>
    <w:rsid w:val="00F048C8"/>
    <w:rsid w:val="00F05F35"/>
    <w:rsid w:val="00F06268"/>
    <w:rsid w:val="00F07317"/>
    <w:rsid w:val="00F107CD"/>
    <w:rsid w:val="00F11C5D"/>
    <w:rsid w:val="00F12E8A"/>
    <w:rsid w:val="00F14A9E"/>
    <w:rsid w:val="00F15F00"/>
    <w:rsid w:val="00F20768"/>
    <w:rsid w:val="00F2076A"/>
    <w:rsid w:val="00F22FE3"/>
    <w:rsid w:val="00F2323A"/>
    <w:rsid w:val="00F23A19"/>
    <w:rsid w:val="00F23D6C"/>
    <w:rsid w:val="00F247D1"/>
    <w:rsid w:val="00F25205"/>
    <w:rsid w:val="00F26730"/>
    <w:rsid w:val="00F26F71"/>
    <w:rsid w:val="00F3019B"/>
    <w:rsid w:val="00F30370"/>
    <w:rsid w:val="00F317BA"/>
    <w:rsid w:val="00F31D3C"/>
    <w:rsid w:val="00F33B28"/>
    <w:rsid w:val="00F34CBE"/>
    <w:rsid w:val="00F36CE6"/>
    <w:rsid w:val="00F3739B"/>
    <w:rsid w:val="00F4118D"/>
    <w:rsid w:val="00F42618"/>
    <w:rsid w:val="00F44097"/>
    <w:rsid w:val="00F46A79"/>
    <w:rsid w:val="00F46C25"/>
    <w:rsid w:val="00F514CC"/>
    <w:rsid w:val="00F52068"/>
    <w:rsid w:val="00F5415A"/>
    <w:rsid w:val="00F5521A"/>
    <w:rsid w:val="00F5525C"/>
    <w:rsid w:val="00F55782"/>
    <w:rsid w:val="00F56C1D"/>
    <w:rsid w:val="00F60485"/>
    <w:rsid w:val="00F61711"/>
    <w:rsid w:val="00F61B41"/>
    <w:rsid w:val="00F61C3C"/>
    <w:rsid w:val="00F6236C"/>
    <w:rsid w:val="00F63842"/>
    <w:rsid w:val="00F6712A"/>
    <w:rsid w:val="00F707C2"/>
    <w:rsid w:val="00F75786"/>
    <w:rsid w:val="00F75BA4"/>
    <w:rsid w:val="00F77E7F"/>
    <w:rsid w:val="00F83829"/>
    <w:rsid w:val="00F838F0"/>
    <w:rsid w:val="00F83A9D"/>
    <w:rsid w:val="00F86C38"/>
    <w:rsid w:val="00F86EE1"/>
    <w:rsid w:val="00F87A13"/>
    <w:rsid w:val="00F902F4"/>
    <w:rsid w:val="00F91F71"/>
    <w:rsid w:val="00F9204E"/>
    <w:rsid w:val="00F93315"/>
    <w:rsid w:val="00F936FA"/>
    <w:rsid w:val="00F93A0E"/>
    <w:rsid w:val="00F9429A"/>
    <w:rsid w:val="00F95DCD"/>
    <w:rsid w:val="00F96782"/>
    <w:rsid w:val="00F97449"/>
    <w:rsid w:val="00FA08B5"/>
    <w:rsid w:val="00FA176F"/>
    <w:rsid w:val="00FA30F5"/>
    <w:rsid w:val="00FA3A93"/>
    <w:rsid w:val="00FA4846"/>
    <w:rsid w:val="00FA5370"/>
    <w:rsid w:val="00FA5780"/>
    <w:rsid w:val="00FA6F6D"/>
    <w:rsid w:val="00FB1A7D"/>
    <w:rsid w:val="00FB1A95"/>
    <w:rsid w:val="00FB1C3A"/>
    <w:rsid w:val="00FB1D74"/>
    <w:rsid w:val="00FB34D3"/>
    <w:rsid w:val="00FB438E"/>
    <w:rsid w:val="00FB46DD"/>
    <w:rsid w:val="00FB47AD"/>
    <w:rsid w:val="00FB60C3"/>
    <w:rsid w:val="00FB65CC"/>
    <w:rsid w:val="00FC03C0"/>
    <w:rsid w:val="00FC0477"/>
    <w:rsid w:val="00FC306F"/>
    <w:rsid w:val="00FC47CD"/>
    <w:rsid w:val="00FC587C"/>
    <w:rsid w:val="00FC5D78"/>
    <w:rsid w:val="00FC7A65"/>
    <w:rsid w:val="00FD1B1B"/>
    <w:rsid w:val="00FD2900"/>
    <w:rsid w:val="00FD5456"/>
    <w:rsid w:val="00FD6502"/>
    <w:rsid w:val="00FD69C1"/>
    <w:rsid w:val="00FD76E5"/>
    <w:rsid w:val="00FE2286"/>
    <w:rsid w:val="00FE2D7B"/>
    <w:rsid w:val="00FE308C"/>
    <w:rsid w:val="00FE51F7"/>
    <w:rsid w:val="00FE532E"/>
    <w:rsid w:val="00FE59A1"/>
    <w:rsid w:val="00FE7211"/>
    <w:rsid w:val="00FF009E"/>
    <w:rsid w:val="00FF47BA"/>
    <w:rsid w:val="00FF4DA8"/>
    <w:rsid w:val="00FF6942"/>
    <w:rsid w:val="00FF76EE"/>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7DFBD2E3"/>
  <w15:docId w15:val="{FDBCEF73-C323-4F2B-B30F-D65BC45D1A6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semiHidden="1" w:unhideWhenUsed="1" w:qFormat="1"/>
    <w:lsdException w:name="heading 3"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iPriority="99" w:unhideWhenUsed="1"/>
    <w:lsdException w:name="header" w:semiHidden="1" w:uiPriority="99" w:unhideWhenUsed="1"/>
    <w:lsdException w:name="footer" w:semiHidden="1" w:unhideWhenUsed="1"/>
    <w:lsdException w:name="index heading" w:semiHidden="1" w:unhideWhenUsed="1"/>
    <w:lsdException w:name="caption"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iPriority="99"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Bullet" w:semiHidden="1" w:unhideWhenUsed="1"/>
    <w:lsdException w:name="List Number"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Subtitle" w:qFormat="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99" w:unhideWhenUsed="1"/>
    <w:lsdException w:name="FollowedHyperlink" w:semiHidden="1" w:unhideWhenUsed="1"/>
    <w:lsdException w:name="Strong" w:qFormat="1"/>
    <w:lsdException w:name="Emphasis"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5E22DF"/>
    <w:pPr>
      <w:spacing w:after="120" w:line="240" w:lineRule="auto"/>
    </w:pPr>
    <w:rPr>
      <w:rFonts w:ascii="Arial" w:hAnsi="Arial"/>
      <w:sz w:val="20"/>
      <w:szCs w:val="24"/>
    </w:rPr>
  </w:style>
  <w:style w:type="paragraph" w:styleId="Heading1">
    <w:name w:val="heading 1"/>
    <w:basedOn w:val="Normal"/>
    <w:next w:val="Normal"/>
    <w:link w:val="Heading1Char"/>
    <w:qFormat/>
    <w:rsid w:val="00811473"/>
    <w:pPr>
      <w:keepNext/>
      <w:numPr>
        <w:numId w:val="16"/>
      </w:numPr>
      <w:spacing w:before="200" w:after="100"/>
      <w:outlineLvl w:val="0"/>
    </w:pPr>
    <w:rPr>
      <w:rFonts w:ascii="Arial" w:hAnsi="Arial"/>
      <w:b/>
      <w:color w:val="1F4E79"/>
      <w:sz w:val="28"/>
      <w:szCs w:val="28"/>
    </w:rPr>
  </w:style>
  <w:style w:type="paragraph" w:styleId="Heading3">
    <w:name w:val="heading 3"/>
    <w:basedOn w:val="Normal"/>
    <w:next w:val="Normal"/>
    <w:qFormat/>
    <w:rsid w:val="008D7AA0"/>
    <w:pPr>
      <w:keepNext/>
      <w:spacing w:before="200" w:after="100"/>
      <w:outlineLvl w:val="2"/>
    </w:pPr>
    <w:rPr>
      <w:rFonts w:ascii="Arial" w:hAnsi="Arial" w:cs="Arial"/>
      <w:b/>
      <w:bCs/>
      <w:color w:val="404040"/>
      <w:sz w:val="20"/>
      <w:szCs w:val="2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styleId="TableGrid">
    <w:name w:val="Table Grid"/>
    <w:basedOn w:val="TableNormal"/>
    <w:rsid w:val="007C0AA4"/>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FootnoteText">
    <w:name w:val="footnote text"/>
    <w:basedOn w:val="Normal"/>
    <w:link w:val="FootnoteTextChar"/>
    <w:semiHidden/>
    <w:rsid w:val="007C0AA4"/>
    <w:rPr>
      <w:sz w:val="20"/>
      <w:szCs w:val="20"/>
    </w:rPr>
  </w:style>
  <w:style w:type="character" w:styleId="FootnoteReference">
    <w:name w:val="footnote reference"/>
    <w:semiHidden/>
    <w:rsid w:val="007C0AA4"/>
    <w:rPr>
      <w:vertAlign w:val="superscript"/>
    </w:rPr>
  </w:style>
  <w:style w:type="paragraph" w:styleId="Header">
    <w:name w:val="header"/>
    <w:basedOn w:val="Normal"/>
    <w:link w:val="HeaderChar"/>
    <w:uiPriority w:val="99"/>
    <w:rsid w:val="00647502"/>
    <w:pPr>
      <w:tabs>
        <w:tab w:val="center" w:pos="4320"/>
        <w:tab w:val="right" w:pos="8640"/>
      </w:tabs>
    </w:pPr>
  </w:style>
  <w:style w:type="paragraph" w:styleId="Footer">
    <w:name w:val="footer"/>
    <w:basedOn w:val="Normal"/>
    <w:link w:val="FooterChar"/>
    <w:rsid w:val="00647502"/>
    <w:pPr>
      <w:tabs>
        <w:tab w:val="center" w:pos="4320"/>
        <w:tab w:val="right" w:pos="8640"/>
      </w:tabs>
    </w:pPr>
    <w:rPr>
      <w:lang w:val="x-none"/>
    </w:rPr>
  </w:style>
  <w:style w:type="character" w:styleId="PageNumber">
    <w:name w:val="page number"/>
    <w:basedOn w:val="DefaultParagraphFont"/>
    <w:rsid w:val="00647502"/>
  </w:style>
  <w:style w:type="paragraph" w:customStyle="1" w:styleId="Default">
    <w:name w:val="Default"/>
    <w:rsid w:val="005F1D0E"/>
    <w:pPr>
      <w:autoSpaceDE w:val="0"/>
      <w:autoSpaceDN w:val="0"/>
      <w:adjustRightInd w:val="0"/>
    </w:pPr>
    <w:rPr>
      <w:color w:val="000000"/>
      <w:sz w:val="24"/>
      <w:szCs w:val="24"/>
    </w:rPr>
  </w:style>
  <w:style w:type="paragraph" w:customStyle="1" w:styleId="ChecklistSimpleChecked">
    <w:name w:val="Checklist Simple Checked"/>
    <w:basedOn w:val="Normal"/>
    <w:rsid w:val="00B10D05"/>
    <w:pPr>
      <w:numPr>
        <w:numId w:val="1"/>
      </w:numPr>
    </w:pPr>
  </w:style>
  <w:style w:type="character" w:styleId="CommentReference">
    <w:name w:val="annotation reference"/>
    <w:uiPriority w:val="99"/>
    <w:semiHidden/>
    <w:rsid w:val="009D0BDB"/>
    <w:rPr>
      <w:sz w:val="16"/>
      <w:szCs w:val="16"/>
    </w:rPr>
  </w:style>
  <w:style w:type="paragraph" w:styleId="CommentText">
    <w:name w:val="annotation text"/>
    <w:basedOn w:val="Normal"/>
    <w:link w:val="CommentTextChar"/>
    <w:uiPriority w:val="99"/>
    <w:semiHidden/>
    <w:rsid w:val="009D0BDB"/>
    <w:rPr>
      <w:sz w:val="20"/>
      <w:szCs w:val="20"/>
    </w:rPr>
  </w:style>
  <w:style w:type="paragraph" w:styleId="CommentSubject">
    <w:name w:val="annotation subject"/>
    <w:basedOn w:val="CommentText"/>
    <w:next w:val="CommentText"/>
    <w:semiHidden/>
    <w:rsid w:val="009D0BDB"/>
    <w:rPr>
      <w:b/>
      <w:bCs/>
    </w:rPr>
  </w:style>
  <w:style w:type="paragraph" w:styleId="BalloonText">
    <w:name w:val="Balloon Text"/>
    <w:basedOn w:val="Normal"/>
    <w:semiHidden/>
    <w:rsid w:val="009D0BDB"/>
    <w:rPr>
      <w:rFonts w:ascii="Tahoma" w:hAnsi="Tahoma" w:cs="Tahoma"/>
      <w:sz w:val="16"/>
      <w:szCs w:val="16"/>
    </w:rPr>
  </w:style>
  <w:style w:type="paragraph" w:customStyle="1" w:styleId="ChecklistFooter">
    <w:name w:val="Checklist Footer"/>
    <w:basedOn w:val="Normal"/>
    <w:rsid w:val="00DF3CDD"/>
    <w:pPr>
      <w:jc w:val="center"/>
    </w:pPr>
    <w:rPr>
      <w:rFonts w:ascii="Arial Narrow" w:hAnsi="Arial Narrow"/>
      <w:sz w:val="18"/>
    </w:rPr>
  </w:style>
  <w:style w:type="paragraph" w:customStyle="1" w:styleId="SOPFooter">
    <w:name w:val="SOP Footer"/>
    <w:basedOn w:val="Normal"/>
    <w:rsid w:val="006B1BDD"/>
    <w:pPr>
      <w:jc w:val="center"/>
    </w:pPr>
    <w:rPr>
      <w:rFonts w:ascii="Arial" w:hAnsi="Arial" w:cs="Tahoma"/>
      <w:sz w:val="18"/>
      <w:szCs w:val="20"/>
    </w:rPr>
  </w:style>
  <w:style w:type="paragraph" w:styleId="BodyText">
    <w:name w:val="Body Text"/>
    <w:basedOn w:val="Normal"/>
    <w:link w:val="BodyTextChar"/>
    <w:rsid w:val="00393FAF"/>
    <w:pPr>
      <w:spacing w:before="120" w:after="120"/>
    </w:pPr>
    <w:rPr>
      <w:rFonts w:ascii="Times New Roman" w:hAnsi="Times New Roman"/>
      <w:lang w:val="x-none"/>
    </w:rPr>
  </w:style>
  <w:style w:type="paragraph" w:styleId="ListBullet2">
    <w:name w:val="List Bullet 2"/>
    <w:basedOn w:val="Normal"/>
    <w:rsid w:val="0011551B"/>
    <w:pPr>
      <w:keepNext/>
      <w:numPr>
        <w:numId w:val="5"/>
      </w:numPr>
      <w:tabs>
        <w:tab w:val="clear" w:pos="360"/>
      </w:tabs>
      <w:ind w:left="540" w:hanging="540"/>
    </w:pPr>
    <w:rPr>
      <w:rFonts w:ascii="Times New Roman" w:hAnsi="Times New Roman"/>
      <w:b/>
      <w:sz w:val="28"/>
    </w:rPr>
  </w:style>
  <w:style w:type="paragraph" w:styleId="ListBullet3">
    <w:name w:val="List Bullet 3"/>
    <w:basedOn w:val="Normal"/>
    <w:rsid w:val="00393FAF"/>
    <w:pPr>
      <w:numPr>
        <w:numId w:val="3"/>
      </w:numPr>
    </w:pPr>
    <w:rPr>
      <w:rFonts w:ascii="Times New Roman" w:hAnsi="Times New Roman"/>
      <w:i/>
    </w:rPr>
  </w:style>
  <w:style w:type="paragraph" w:styleId="BlockText">
    <w:name w:val="Block Text"/>
    <w:basedOn w:val="Normal"/>
    <w:link w:val="BlockTextChar"/>
    <w:rsid w:val="00393FAF"/>
    <w:pPr>
      <w:spacing w:before="120" w:after="120"/>
      <w:ind w:left="720" w:right="720"/>
    </w:pPr>
    <w:rPr>
      <w:rFonts w:ascii="Times New Roman" w:hAnsi="Times New Roman"/>
      <w:i/>
    </w:rPr>
  </w:style>
  <w:style w:type="character" w:customStyle="1" w:styleId="BlockTextChar">
    <w:name w:val="Block Text Char"/>
    <w:link w:val="BlockText"/>
    <w:rsid w:val="00393FAF"/>
    <w:rPr>
      <w:i/>
      <w:sz w:val="24"/>
      <w:szCs w:val="24"/>
      <w:lang w:val="en-US" w:eastAsia="en-US" w:bidi="ar-SA"/>
    </w:rPr>
  </w:style>
  <w:style w:type="paragraph" w:styleId="ListBullet4">
    <w:name w:val="List Bullet 4"/>
    <w:basedOn w:val="Normal"/>
    <w:rsid w:val="00393FAF"/>
    <w:pPr>
      <w:numPr>
        <w:numId w:val="4"/>
      </w:numPr>
      <w:spacing w:before="60" w:after="60"/>
    </w:pPr>
    <w:rPr>
      <w:rFonts w:ascii="Times New Roman" w:hAnsi="Times New Roman"/>
      <w:i/>
    </w:rPr>
  </w:style>
  <w:style w:type="paragraph" w:customStyle="1" w:styleId="StyleBlockTextBefore5ptAfter5pt">
    <w:name w:val="Style Block Text + Before:  5 pt After:  5 pt"/>
    <w:basedOn w:val="BlockText"/>
    <w:rsid w:val="00393FAF"/>
    <w:rPr>
      <w:i w:val="0"/>
      <w:szCs w:val="20"/>
    </w:rPr>
  </w:style>
  <w:style w:type="character" w:styleId="Hyperlink">
    <w:name w:val="Hyperlink"/>
    <w:uiPriority w:val="99"/>
    <w:rsid w:val="004F2BAF"/>
    <w:rPr>
      <w:color w:val="0000FF"/>
      <w:u w:val="single"/>
    </w:rPr>
  </w:style>
  <w:style w:type="character" w:customStyle="1" w:styleId="FooterChar">
    <w:name w:val="Footer Char"/>
    <w:link w:val="Footer"/>
    <w:rsid w:val="008458D3"/>
    <w:rPr>
      <w:rFonts w:ascii="NNFPLJ+TimesNewRoman" w:hAnsi="NNFPLJ+TimesNewRoman"/>
      <w:sz w:val="24"/>
      <w:szCs w:val="24"/>
      <w:lang w:eastAsia="en-US"/>
    </w:rPr>
  </w:style>
  <w:style w:type="character" w:customStyle="1" w:styleId="Heading1Char">
    <w:name w:val="Heading 1 Char"/>
    <w:link w:val="Heading1"/>
    <w:rsid w:val="00811473"/>
    <w:rPr>
      <w:b/>
      <w:sz w:val="28"/>
      <w:szCs w:val="28"/>
    </w:rPr>
  </w:style>
  <w:style w:type="character" w:customStyle="1" w:styleId="BodyTextChar">
    <w:name w:val="Body Text Char"/>
    <w:link w:val="BodyText"/>
    <w:rsid w:val="00463A0F"/>
    <w:rPr>
      <w:sz w:val="24"/>
      <w:szCs w:val="24"/>
      <w:lang w:eastAsia="en-US"/>
    </w:rPr>
  </w:style>
  <w:style w:type="paragraph" w:styleId="List">
    <w:name w:val="List"/>
    <w:basedOn w:val="BlockText"/>
    <w:rsid w:val="00880267"/>
    <w:pPr>
      <w:numPr>
        <w:numId w:val="6"/>
      </w:numPr>
      <w:spacing w:before="100" w:beforeAutospacing="1" w:after="100" w:afterAutospacing="1"/>
    </w:pPr>
  </w:style>
  <w:style w:type="paragraph" w:styleId="List2">
    <w:name w:val="List 2"/>
    <w:basedOn w:val="List"/>
    <w:rsid w:val="00043EC2"/>
    <w:pPr>
      <w:numPr>
        <w:ilvl w:val="1"/>
      </w:numPr>
      <w:ind w:left="1440"/>
    </w:pPr>
  </w:style>
  <w:style w:type="paragraph" w:styleId="TOCHeading">
    <w:name w:val="TOC Heading"/>
    <w:basedOn w:val="Heading1"/>
    <w:next w:val="Normal"/>
    <w:uiPriority w:val="39"/>
    <w:unhideWhenUsed/>
    <w:qFormat/>
    <w:rsid w:val="001C7854"/>
    <w:pPr>
      <w:keepNext/>
      <w:keepLines/>
      <w:numPr>
        <w:numId w:val="0"/>
      </w:numPr>
      <w:spacing w:before="480" w:line="276" w:lineRule="auto"/>
      <w:outlineLvl w:val="9"/>
    </w:pPr>
    <w:rPr>
      <w:rFonts w:ascii="Cambria" w:eastAsia="MS Gothic" w:hAnsi="Cambria"/>
      <w:bCs/>
      <w:color w:val="365F91"/>
      <w:lang w:eastAsia="ja-JP"/>
    </w:rPr>
  </w:style>
  <w:style w:type="paragraph" w:styleId="TOC1">
    <w:name w:val="toc 1"/>
    <w:basedOn w:val="Normal"/>
    <w:next w:val="Normal"/>
    <w:autoRedefine/>
    <w:uiPriority w:val="39"/>
    <w:rsid w:val="00131E04"/>
    <w:pPr>
      <w:tabs>
        <w:tab w:val="left" w:pos="720"/>
        <w:tab w:val="right" w:leader="dot" w:pos="8630"/>
      </w:tabs>
    </w:pPr>
    <w:rPr>
      <w:rFonts w:ascii="Arial" w:hAnsi="Arial" w:cs="Arial"/>
      <w:bCs/>
      <w:noProof/>
    </w:rPr>
  </w:style>
  <w:style w:type="character" w:customStyle="1" w:styleId="CommentTextChar">
    <w:name w:val="Comment Text Char"/>
    <w:basedOn w:val="DefaultParagraphFont"/>
    <w:link w:val="CommentText"/>
    <w:uiPriority w:val="99"/>
    <w:semiHidden/>
    <w:rsid w:val="00880267"/>
    <w:rPr>
      <w:rFonts w:ascii="NNFPLJ+TimesNewRoman" w:hAnsi="NNFPLJ+TimesNewRoman"/>
    </w:rPr>
  </w:style>
  <w:style w:type="paragraph" w:styleId="ListParagraph">
    <w:name w:val="List Paragraph"/>
    <w:basedOn w:val="Normal"/>
    <w:uiPriority w:val="34"/>
    <w:qFormat/>
    <w:rsid w:val="00880267"/>
    <w:pPr>
      <w:ind w:left="720"/>
      <w:contextualSpacing/>
    </w:pPr>
  </w:style>
  <w:style w:type="character" w:styleId="Emphasis">
    <w:name w:val="Emphasis"/>
    <w:basedOn w:val="DefaultParagraphFont"/>
    <w:qFormat/>
    <w:rsid w:val="00AA2F71"/>
    <w:rPr>
      <w:i/>
      <w:iCs/>
    </w:rPr>
  </w:style>
  <w:style w:type="paragraph" w:styleId="BodyTextIndent">
    <w:name w:val="Body Text Indent"/>
    <w:basedOn w:val="Normal"/>
    <w:link w:val="BodyTextIndentChar"/>
    <w:semiHidden/>
    <w:unhideWhenUsed/>
    <w:rsid w:val="00986DAF"/>
    <w:pPr>
      <w:spacing w:after="120"/>
      <w:ind w:left="360"/>
    </w:pPr>
  </w:style>
  <w:style w:type="character" w:customStyle="1" w:styleId="BodyTextIndentChar">
    <w:name w:val="Body Text Indent Char"/>
    <w:basedOn w:val="DefaultParagraphFont"/>
    <w:link w:val="BodyTextIndent"/>
    <w:semiHidden/>
    <w:rsid w:val="00986DAF"/>
    <w:rPr>
      <w:rFonts w:ascii="NNFPLJ+TimesNewRoman" w:hAnsi="NNFPLJ+TimesNewRoman"/>
      <w:sz w:val="24"/>
      <w:szCs w:val="24"/>
    </w:rPr>
  </w:style>
  <w:style w:type="character" w:customStyle="1" w:styleId="HeaderChar">
    <w:name w:val="Header Char"/>
    <w:basedOn w:val="DefaultParagraphFont"/>
    <w:link w:val="Header"/>
    <w:uiPriority w:val="99"/>
    <w:rsid w:val="00C95990"/>
    <w:rPr>
      <w:rFonts w:ascii="NNFPLJ+TimesNewRoman" w:hAnsi="NNFPLJ+TimesNewRoman"/>
      <w:sz w:val="24"/>
      <w:szCs w:val="24"/>
    </w:rPr>
  </w:style>
  <w:style w:type="character" w:customStyle="1" w:styleId="FootnoteTextChar">
    <w:name w:val="Footnote Text Char"/>
    <w:basedOn w:val="DefaultParagraphFont"/>
    <w:link w:val="FootnoteText"/>
    <w:semiHidden/>
    <w:rsid w:val="00B40E68"/>
    <w:rPr>
      <w:rFonts w:ascii="NNFPLJ+TimesNewRoman" w:hAnsi="NNFPLJ+TimesNewRoman"/>
    </w:rPr>
  </w:style>
  <w:style w:type="paragraph" w:styleId="Revision">
    <w:name w:val="Revision"/>
    <w:hidden/>
    <w:uiPriority w:val="99"/>
    <w:semiHidden/>
    <w:rsid w:val="00B40E68"/>
    <w:rPr>
      <w:rFonts w:ascii="NNFPLJ+TimesNewRoman" w:hAnsi="NNFPLJ+TimesNewRoman"/>
      <w:sz w:val="24"/>
      <w:szCs w:val="24"/>
    </w:rPr>
  </w:style>
  <w:style w:type="character" w:customStyle="1" w:styleId="cf01">
    <w:name w:val="cf01"/>
    <w:basedOn w:val="DefaultParagraphFont"/>
    <w:rsid w:val="00692466"/>
    <w:rPr>
      <w:rFonts w:ascii="Segoe UI" w:hAnsi="Segoe UI" w:cs="Segoe UI" w:hint="default"/>
      <w:sz w:val="18"/>
      <w:szCs w:val="18"/>
    </w:rPr>
  </w:style>
  <w:style w:type="paragraph" w:styleId="NormalWeb">
    <w:name w:val="Normal (Web)"/>
    <w:basedOn w:val="Normal"/>
    <w:semiHidden/>
    <w:unhideWhenUsed/>
    <w:rsid w:val="00A7165D"/>
    <w:rPr>
      <w:rFonts w:ascii="Times New Roman" w:hAnsi="Times New Roman"/>
    </w:rPr>
  </w:style>
  <w:style w:type="character" w:styleId="UnresolvedMention">
    <w:name w:val="Unresolved Mention"/>
    <w:basedOn w:val="DefaultParagraphFont"/>
    <w:uiPriority w:val="99"/>
    <w:semiHidden/>
    <w:unhideWhenUsed/>
    <w:rsid w:val="00A7165D"/>
    <w:rPr>
      <w:color w:val="605E5C"/>
      <w:shd w:val="clear" w:color="auto" w:fill="E1DFDD"/>
    </w:rPr>
  </w:style>
  <w:style w:type="character" w:styleId="LineNumber">
    <w:name w:val="line number"/>
    <w:basedOn w:val="DefaultParagraphFont"/>
    <w:semiHidden/>
    <w:unhideWhenUsed/>
    <w:rsid w:val="00FA6F6D"/>
  </w:style>
  <w:style w:type="character" w:styleId="PlaceholderText">
    <w:name w:val="Placeholder Text"/>
    <w:basedOn w:val="DefaultParagraphFont"/>
    <w:uiPriority w:val="99"/>
    <w:semiHidden/>
    <w:rsid w:val="00EE13E7"/>
    <w:rPr>
      <w:color w:val="666666"/>
    </w:rPr>
  </w:style>
  <w:style w:type="paragraph" w:customStyle="1" w:styleId="Title">
    <w:name w:val="Title"/>
    <w:pPr>
      <w:keepNext/>
      <w:spacing w:before="0" w:after="100"/>
    </w:pPr>
    <w:rPr>
      <w:rFonts w:ascii="Arial" w:hAnsi="Arial"/>
      <w:b/>
      <w:color w:val="000000"/>
      <w:sz w:val="36"/>
    </w:rPr>
  </w:style>
  <w:style w:type="paragraph" w:customStyle="1" w:styleId="Heading2">
    <w:name w:val="heading 2"/>
    <w:pPr>
      <w:keepNext/>
      <w:spacing w:before="200" w:after="100"/>
    </w:pPr>
    <w:rPr>
      <w:rFonts w:ascii="Arial" w:hAnsi="Arial"/>
      <w:b/>
      <w:color w:val="1F4E79"/>
      <w:sz w:val="22"/>
    </w:rPr>
  </w:style>
  <w:style w:type="paragraph" w:customStyle="1" w:styleId="ListBullet">
    <w:name w:val="List Bullet"/>
    <w:basedOn w:val="Normal"/>
    <w:pPr>
      <w:ind w:left="360" w:hanging="259"/>
    </w:pPr>
    <w:rPr>
      <w:rFonts w:ascii="Arial" w:hAnsi="Arial"/>
      <w:sz w:val="20"/>
    </w:rPr>
  </w:style>
  <w:style w:type="paragraph" w:customStyle="1" w:styleId="ListNumber">
    <w:name w:val="List Number"/>
    <w:basedOn w:val="Normal"/>
    <w:pPr>
      <w:ind w:left="360" w:hanging="259"/>
    </w:pPr>
    <w:rPr>
      <w:rFonts w:ascii="Arial" w:hAnsi="Arial"/>
      <w:sz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427045805">
      <w:bodyDiv w:val="1"/>
      <w:marLeft w:val="0"/>
      <w:marRight w:val="0"/>
      <w:marTop w:val="0"/>
      <w:marBottom w:val="0"/>
      <w:divBdr>
        <w:top w:val="none" w:sz="0" w:space="0" w:color="auto"/>
        <w:left w:val="none" w:sz="0" w:space="0" w:color="auto"/>
        <w:bottom w:val="none" w:sz="0" w:space="0" w:color="auto"/>
        <w:right w:val="none" w:sz="0" w:space="0" w:color="auto"/>
      </w:divBdr>
    </w:div>
    <w:div w:id="429741589">
      <w:bodyDiv w:val="1"/>
      <w:marLeft w:val="0"/>
      <w:marRight w:val="0"/>
      <w:marTop w:val="0"/>
      <w:marBottom w:val="0"/>
      <w:divBdr>
        <w:top w:val="none" w:sz="0" w:space="0" w:color="auto"/>
        <w:left w:val="none" w:sz="0" w:space="0" w:color="auto"/>
        <w:bottom w:val="none" w:sz="0" w:space="0" w:color="auto"/>
        <w:right w:val="none" w:sz="0" w:space="0" w:color="auto"/>
      </w:divBdr>
    </w:div>
    <w:div w:id="454131572">
      <w:bodyDiv w:val="1"/>
      <w:marLeft w:val="0"/>
      <w:marRight w:val="0"/>
      <w:marTop w:val="0"/>
      <w:marBottom w:val="0"/>
      <w:divBdr>
        <w:top w:val="none" w:sz="0" w:space="0" w:color="auto"/>
        <w:left w:val="none" w:sz="0" w:space="0" w:color="auto"/>
        <w:bottom w:val="none" w:sz="0" w:space="0" w:color="auto"/>
        <w:right w:val="none" w:sz="0" w:space="0" w:color="auto"/>
      </w:divBdr>
    </w:div>
    <w:div w:id="913588439">
      <w:bodyDiv w:val="1"/>
      <w:marLeft w:val="0"/>
      <w:marRight w:val="0"/>
      <w:marTop w:val="0"/>
      <w:marBottom w:val="0"/>
      <w:divBdr>
        <w:top w:val="none" w:sz="0" w:space="0" w:color="auto"/>
        <w:left w:val="none" w:sz="0" w:space="0" w:color="auto"/>
        <w:bottom w:val="none" w:sz="0" w:space="0" w:color="auto"/>
        <w:right w:val="none" w:sz="0" w:space="0" w:color="auto"/>
      </w:divBdr>
    </w:div>
    <w:div w:id="197513668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fontTable" Target="fontTable.xml"/><Relationship Id="rId3" Type="http://schemas.openxmlformats.org/officeDocument/2006/relationships/numbering" Target="numbering.xml"/><Relationship Id="rId7" Type="http://schemas.openxmlformats.org/officeDocument/2006/relationships/footnotes" Target="footnotes.xml"/><Relationship Id="rId12" Type="http://schemas.openxmlformats.org/officeDocument/2006/relationships/footer" Target="footer1.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header" Target="header1.xml"/><Relationship Id="rId5" Type="http://schemas.openxmlformats.org/officeDocument/2006/relationships/settings" Target="settings.xml"/><Relationship Id="rId10" Type="http://schemas.openxmlformats.org/officeDocument/2006/relationships/hyperlink" Target="https://www.accessdata.fda.gov/scripts/cdrh/cfdocs/cfCFR/CFRSearch.cfm?FR=812.20" TargetMode="External"/><Relationship Id="rId4" Type="http://schemas.openxmlformats.org/officeDocument/2006/relationships/styles" Target="styles.xml"/><Relationship Id="rId9" Type="http://schemas.openxmlformats.org/officeDocument/2006/relationships/image" Target="media/image1.png"/><Relationship Id="rId14"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LongProperties xmlns="http://schemas.microsoft.com/office/2006/metadata/longProperties"/>
</file>

<file path=customXml/item2.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5D3503C7-38EB-4C17-B6E1-5B470E0FF737}">
  <ds:schemaRefs>
    <ds:schemaRef ds:uri="http://schemas.microsoft.com/office/2006/metadata/longProperties"/>
  </ds:schemaRefs>
</ds:datastoreItem>
</file>

<file path=customXml/itemProps2.xml><?xml version="1.0" encoding="utf-8"?>
<ds:datastoreItem xmlns:ds="http://schemas.openxmlformats.org/officeDocument/2006/customXml" ds:itemID="{67630233-CF62-4FE8-9A52-C9DDDACBF98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TotalTime>
  <Pages>31</Pages>
  <Words>9416</Words>
  <Characters>51228</Characters>
  <Application>Microsoft Office Word</Application>
  <DocSecurity>0</DocSecurity>
  <Lines>1384</Lines>
  <Paragraphs>572</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60072</CharactersWithSpaces>
  <SharedDoc>false</SharedDoc>
  <HLinks>
    <vt:vector size="180" baseType="variant">
      <vt:variant>
        <vt:i4>1376317</vt:i4>
      </vt:variant>
      <vt:variant>
        <vt:i4>176</vt:i4>
      </vt:variant>
      <vt:variant>
        <vt:i4>0</vt:i4>
      </vt:variant>
      <vt:variant>
        <vt:i4>5</vt:i4>
      </vt:variant>
      <vt:variant>
        <vt:lpwstr/>
      </vt:variant>
      <vt:variant>
        <vt:lpwstr>_Toc367412825</vt:lpwstr>
      </vt:variant>
      <vt:variant>
        <vt:i4>1376317</vt:i4>
      </vt:variant>
      <vt:variant>
        <vt:i4>170</vt:i4>
      </vt:variant>
      <vt:variant>
        <vt:i4>0</vt:i4>
      </vt:variant>
      <vt:variant>
        <vt:i4>5</vt:i4>
      </vt:variant>
      <vt:variant>
        <vt:lpwstr/>
      </vt:variant>
      <vt:variant>
        <vt:lpwstr>_Toc367412824</vt:lpwstr>
      </vt:variant>
      <vt:variant>
        <vt:i4>1376317</vt:i4>
      </vt:variant>
      <vt:variant>
        <vt:i4>164</vt:i4>
      </vt:variant>
      <vt:variant>
        <vt:i4>0</vt:i4>
      </vt:variant>
      <vt:variant>
        <vt:i4>5</vt:i4>
      </vt:variant>
      <vt:variant>
        <vt:lpwstr/>
      </vt:variant>
      <vt:variant>
        <vt:lpwstr>_Toc367412823</vt:lpwstr>
      </vt:variant>
      <vt:variant>
        <vt:i4>1376317</vt:i4>
      </vt:variant>
      <vt:variant>
        <vt:i4>158</vt:i4>
      </vt:variant>
      <vt:variant>
        <vt:i4>0</vt:i4>
      </vt:variant>
      <vt:variant>
        <vt:i4>5</vt:i4>
      </vt:variant>
      <vt:variant>
        <vt:lpwstr/>
      </vt:variant>
      <vt:variant>
        <vt:lpwstr>_Toc367412822</vt:lpwstr>
      </vt:variant>
      <vt:variant>
        <vt:i4>1376317</vt:i4>
      </vt:variant>
      <vt:variant>
        <vt:i4>152</vt:i4>
      </vt:variant>
      <vt:variant>
        <vt:i4>0</vt:i4>
      </vt:variant>
      <vt:variant>
        <vt:i4>5</vt:i4>
      </vt:variant>
      <vt:variant>
        <vt:lpwstr/>
      </vt:variant>
      <vt:variant>
        <vt:lpwstr>_Toc367412821</vt:lpwstr>
      </vt:variant>
      <vt:variant>
        <vt:i4>1376317</vt:i4>
      </vt:variant>
      <vt:variant>
        <vt:i4>146</vt:i4>
      </vt:variant>
      <vt:variant>
        <vt:i4>0</vt:i4>
      </vt:variant>
      <vt:variant>
        <vt:i4>5</vt:i4>
      </vt:variant>
      <vt:variant>
        <vt:lpwstr/>
      </vt:variant>
      <vt:variant>
        <vt:lpwstr>_Toc367412820</vt:lpwstr>
      </vt:variant>
      <vt:variant>
        <vt:i4>1441853</vt:i4>
      </vt:variant>
      <vt:variant>
        <vt:i4>140</vt:i4>
      </vt:variant>
      <vt:variant>
        <vt:i4>0</vt:i4>
      </vt:variant>
      <vt:variant>
        <vt:i4>5</vt:i4>
      </vt:variant>
      <vt:variant>
        <vt:lpwstr/>
      </vt:variant>
      <vt:variant>
        <vt:lpwstr>_Toc367412819</vt:lpwstr>
      </vt:variant>
      <vt:variant>
        <vt:i4>1441853</vt:i4>
      </vt:variant>
      <vt:variant>
        <vt:i4>134</vt:i4>
      </vt:variant>
      <vt:variant>
        <vt:i4>0</vt:i4>
      </vt:variant>
      <vt:variant>
        <vt:i4>5</vt:i4>
      </vt:variant>
      <vt:variant>
        <vt:lpwstr/>
      </vt:variant>
      <vt:variant>
        <vt:lpwstr>_Toc367412818</vt:lpwstr>
      </vt:variant>
      <vt:variant>
        <vt:i4>1441853</vt:i4>
      </vt:variant>
      <vt:variant>
        <vt:i4>128</vt:i4>
      </vt:variant>
      <vt:variant>
        <vt:i4>0</vt:i4>
      </vt:variant>
      <vt:variant>
        <vt:i4>5</vt:i4>
      </vt:variant>
      <vt:variant>
        <vt:lpwstr/>
      </vt:variant>
      <vt:variant>
        <vt:lpwstr>_Toc367412817</vt:lpwstr>
      </vt:variant>
      <vt:variant>
        <vt:i4>1441853</vt:i4>
      </vt:variant>
      <vt:variant>
        <vt:i4>122</vt:i4>
      </vt:variant>
      <vt:variant>
        <vt:i4>0</vt:i4>
      </vt:variant>
      <vt:variant>
        <vt:i4>5</vt:i4>
      </vt:variant>
      <vt:variant>
        <vt:lpwstr/>
      </vt:variant>
      <vt:variant>
        <vt:lpwstr>_Toc367412816</vt:lpwstr>
      </vt:variant>
      <vt:variant>
        <vt:i4>1441853</vt:i4>
      </vt:variant>
      <vt:variant>
        <vt:i4>116</vt:i4>
      </vt:variant>
      <vt:variant>
        <vt:i4>0</vt:i4>
      </vt:variant>
      <vt:variant>
        <vt:i4>5</vt:i4>
      </vt:variant>
      <vt:variant>
        <vt:lpwstr/>
      </vt:variant>
      <vt:variant>
        <vt:lpwstr>_Toc367412815</vt:lpwstr>
      </vt:variant>
      <vt:variant>
        <vt:i4>1441853</vt:i4>
      </vt:variant>
      <vt:variant>
        <vt:i4>110</vt:i4>
      </vt:variant>
      <vt:variant>
        <vt:i4>0</vt:i4>
      </vt:variant>
      <vt:variant>
        <vt:i4>5</vt:i4>
      </vt:variant>
      <vt:variant>
        <vt:lpwstr/>
      </vt:variant>
      <vt:variant>
        <vt:lpwstr>_Toc367412814</vt:lpwstr>
      </vt:variant>
      <vt:variant>
        <vt:i4>1441853</vt:i4>
      </vt:variant>
      <vt:variant>
        <vt:i4>104</vt:i4>
      </vt:variant>
      <vt:variant>
        <vt:i4>0</vt:i4>
      </vt:variant>
      <vt:variant>
        <vt:i4>5</vt:i4>
      </vt:variant>
      <vt:variant>
        <vt:lpwstr/>
      </vt:variant>
      <vt:variant>
        <vt:lpwstr>_Toc367412813</vt:lpwstr>
      </vt:variant>
      <vt:variant>
        <vt:i4>1441853</vt:i4>
      </vt:variant>
      <vt:variant>
        <vt:i4>98</vt:i4>
      </vt:variant>
      <vt:variant>
        <vt:i4>0</vt:i4>
      </vt:variant>
      <vt:variant>
        <vt:i4>5</vt:i4>
      </vt:variant>
      <vt:variant>
        <vt:lpwstr/>
      </vt:variant>
      <vt:variant>
        <vt:lpwstr>_Toc367412812</vt:lpwstr>
      </vt:variant>
      <vt:variant>
        <vt:i4>1441853</vt:i4>
      </vt:variant>
      <vt:variant>
        <vt:i4>92</vt:i4>
      </vt:variant>
      <vt:variant>
        <vt:i4>0</vt:i4>
      </vt:variant>
      <vt:variant>
        <vt:i4>5</vt:i4>
      </vt:variant>
      <vt:variant>
        <vt:lpwstr/>
      </vt:variant>
      <vt:variant>
        <vt:lpwstr>_Toc367412811</vt:lpwstr>
      </vt:variant>
      <vt:variant>
        <vt:i4>1441853</vt:i4>
      </vt:variant>
      <vt:variant>
        <vt:i4>86</vt:i4>
      </vt:variant>
      <vt:variant>
        <vt:i4>0</vt:i4>
      </vt:variant>
      <vt:variant>
        <vt:i4>5</vt:i4>
      </vt:variant>
      <vt:variant>
        <vt:lpwstr/>
      </vt:variant>
      <vt:variant>
        <vt:lpwstr>_Toc367412810</vt:lpwstr>
      </vt:variant>
      <vt:variant>
        <vt:i4>1507389</vt:i4>
      </vt:variant>
      <vt:variant>
        <vt:i4>80</vt:i4>
      </vt:variant>
      <vt:variant>
        <vt:i4>0</vt:i4>
      </vt:variant>
      <vt:variant>
        <vt:i4>5</vt:i4>
      </vt:variant>
      <vt:variant>
        <vt:lpwstr/>
      </vt:variant>
      <vt:variant>
        <vt:lpwstr>_Toc367412809</vt:lpwstr>
      </vt:variant>
      <vt:variant>
        <vt:i4>1507389</vt:i4>
      </vt:variant>
      <vt:variant>
        <vt:i4>74</vt:i4>
      </vt:variant>
      <vt:variant>
        <vt:i4>0</vt:i4>
      </vt:variant>
      <vt:variant>
        <vt:i4>5</vt:i4>
      </vt:variant>
      <vt:variant>
        <vt:lpwstr/>
      </vt:variant>
      <vt:variant>
        <vt:lpwstr>_Toc367412808</vt:lpwstr>
      </vt:variant>
      <vt:variant>
        <vt:i4>1507389</vt:i4>
      </vt:variant>
      <vt:variant>
        <vt:i4>68</vt:i4>
      </vt:variant>
      <vt:variant>
        <vt:i4>0</vt:i4>
      </vt:variant>
      <vt:variant>
        <vt:i4>5</vt:i4>
      </vt:variant>
      <vt:variant>
        <vt:lpwstr/>
      </vt:variant>
      <vt:variant>
        <vt:lpwstr>_Toc367412807</vt:lpwstr>
      </vt:variant>
      <vt:variant>
        <vt:i4>1507389</vt:i4>
      </vt:variant>
      <vt:variant>
        <vt:i4>62</vt:i4>
      </vt:variant>
      <vt:variant>
        <vt:i4>0</vt:i4>
      </vt:variant>
      <vt:variant>
        <vt:i4>5</vt:i4>
      </vt:variant>
      <vt:variant>
        <vt:lpwstr/>
      </vt:variant>
      <vt:variant>
        <vt:lpwstr>_Toc367412806</vt:lpwstr>
      </vt:variant>
      <vt:variant>
        <vt:i4>1507389</vt:i4>
      </vt:variant>
      <vt:variant>
        <vt:i4>56</vt:i4>
      </vt:variant>
      <vt:variant>
        <vt:i4>0</vt:i4>
      </vt:variant>
      <vt:variant>
        <vt:i4>5</vt:i4>
      </vt:variant>
      <vt:variant>
        <vt:lpwstr/>
      </vt:variant>
      <vt:variant>
        <vt:lpwstr>_Toc367412805</vt:lpwstr>
      </vt:variant>
      <vt:variant>
        <vt:i4>1507389</vt:i4>
      </vt:variant>
      <vt:variant>
        <vt:i4>50</vt:i4>
      </vt:variant>
      <vt:variant>
        <vt:i4>0</vt:i4>
      </vt:variant>
      <vt:variant>
        <vt:i4>5</vt:i4>
      </vt:variant>
      <vt:variant>
        <vt:lpwstr/>
      </vt:variant>
      <vt:variant>
        <vt:lpwstr>_Toc367412804</vt:lpwstr>
      </vt:variant>
      <vt:variant>
        <vt:i4>1507389</vt:i4>
      </vt:variant>
      <vt:variant>
        <vt:i4>44</vt:i4>
      </vt:variant>
      <vt:variant>
        <vt:i4>0</vt:i4>
      </vt:variant>
      <vt:variant>
        <vt:i4>5</vt:i4>
      </vt:variant>
      <vt:variant>
        <vt:lpwstr/>
      </vt:variant>
      <vt:variant>
        <vt:lpwstr>_Toc367412803</vt:lpwstr>
      </vt:variant>
      <vt:variant>
        <vt:i4>1507389</vt:i4>
      </vt:variant>
      <vt:variant>
        <vt:i4>38</vt:i4>
      </vt:variant>
      <vt:variant>
        <vt:i4>0</vt:i4>
      </vt:variant>
      <vt:variant>
        <vt:i4>5</vt:i4>
      </vt:variant>
      <vt:variant>
        <vt:lpwstr/>
      </vt:variant>
      <vt:variant>
        <vt:lpwstr>_Toc367412802</vt:lpwstr>
      </vt:variant>
      <vt:variant>
        <vt:i4>1507389</vt:i4>
      </vt:variant>
      <vt:variant>
        <vt:i4>32</vt:i4>
      </vt:variant>
      <vt:variant>
        <vt:i4>0</vt:i4>
      </vt:variant>
      <vt:variant>
        <vt:i4>5</vt:i4>
      </vt:variant>
      <vt:variant>
        <vt:lpwstr/>
      </vt:variant>
      <vt:variant>
        <vt:lpwstr>_Toc367412801</vt:lpwstr>
      </vt:variant>
      <vt:variant>
        <vt:i4>1507389</vt:i4>
      </vt:variant>
      <vt:variant>
        <vt:i4>26</vt:i4>
      </vt:variant>
      <vt:variant>
        <vt:i4>0</vt:i4>
      </vt:variant>
      <vt:variant>
        <vt:i4>5</vt:i4>
      </vt:variant>
      <vt:variant>
        <vt:lpwstr/>
      </vt:variant>
      <vt:variant>
        <vt:lpwstr>_Toc367412800</vt:lpwstr>
      </vt:variant>
      <vt:variant>
        <vt:i4>1966130</vt:i4>
      </vt:variant>
      <vt:variant>
        <vt:i4>20</vt:i4>
      </vt:variant>
      <vt:variant>
        <vt:i4>0</vt:i4>
      </vt:variant>
      <vt:variant>
        <vt:i4>5</vt:i4>
      </vt:variant>
      <vt:variant>
        <vt:lpwstr/>
      </vt:variant>
      <vt:variant>
        <vt:lpwstr>_Toc367412799</vt:lpwstr>
      </vt:variant>
      <vt:variant>
        <vt:i4>1966130</vt:i4>
      </vt:variant>
      <vt:variant>
        <vt:i4>14</vt:i4>
      </vt:variant>
      <vt:variant>
        <vt:i4>0</vt:i4>
      </vt:variant>
      <vt:variant>
        <vt:i4>5</vt:i4>
      </vt:variant>
      <vt:variant>
        <vt:lpwstr/>
      </vt:variant>
      <vt:variant>
        <vt:lpwstr>_Toc367412798</vt:lpwstr>
      </vt:variant>
      <vt:variant>
        <vt:i4>1966130</vt:i4>
      </vt:variant>
      <vt:variant>
        <vt:i4>8</vt:i4>
      </vt:variant>
      <vt:variant>
        <vt:i4>0</vt:i4>
      </vt:variant>
      <vt:variant>
        <vt:i4>5</vt:i4>
      </vt:variant>
      <vt:variant>
        <vt:lpwstr/>
      </vt:variant>
      <vt:variant>
        <vt:lpwstr>_Toc367412797</vt:lpwstr>
      </vt:variant>
      <vt:variant>
        <vt:i4>1966130</vt:i4>
      </vt:variant>
      <vt:variant>
        <vt:i4>2</vt:i4>
      </vt:variant>
      <vt:variant>
        <vt:i4>0</vt:i4>
      </vt:variant>
      <vt:variant>
        <vt:i4>5</vt:i4>
      </vt:variant>
      <vt:variant>
        <vt:lpwstr/>
      </vt:variant>
      <vt:variant>
        <vt:lpwstr>_Toc367412796</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HRP-503_Gaze_Contingency_Protocol_DRAFT</dc:title>
  <dc:subject>First-pass UCF IRB submission draft</dc:subject>
  <dc:creator>Gaze Contingency Project research team</dc:creator>
  <cp:keywords>UCF, IRB, mixed reality, eye tracking, voice cloning</cp:keywords>
  <dc:description>Generated from auditable Markdown; resolve all OPEN DECISION items before submission.</dc:description>
  <cp:lastModifiedBy>Kamille Birkbeck</cp:lastModifiedBy>
  <cp:revision>2</cp:revision>
  <dcterms:created xsi:type="dcterms:W3CDTF">2026-03-03T19:08:00Z</dcterms:created>
  <dcterms:modified xsi:type="dcterms:W3CDTF">2026-03-03T19:08:00Z</dcterms:modified>
  <cp:category/>
</cp:coreProperties>
</file>