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rPr>
          <w:rFonts w:ascii="Arial" w:hAnsi="Arial"/>
          <w:b/>
        </w:rPr>
        <w:t>Participant Questionnaires</w:t>
      </w:r>
    </w:p>
    <w:p>
      <w:r>
        <w:rPr>
          <w:rFonts w:ascii="Arial" w:hAnsi="Arial"/>
          <w:b/>
        </w:rPr>
        <w:t>Current protocol decision:</w:t>
      </w:r>
      <w:r>
        <w:rPr>
          <w:rFonts w:ascii="Arial" w:hAnsi="Arial"/>
          <w:b w:val="0"/>
        </w:rPr>
        <w:t xml:space="preserve"> These instruments and administration times are frozen for the initial submission. Obtain UCF approval before participant use.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Follow My Voice: Gaze-Contingent XR Search with a Self-Similar Agent</w:t>
      </w:r>
    </w:p>
    <w:p>
      <w:r>
        <w:rPr>
          <w:rFonts w:ascii="Arial" w:hAnsi="Arial"/>
          <w:b w:val="0"/>
        </w:rPr>
        <w:t>Use study ID only. Do not collect names in these instruments. Participants may skip any nonessential question.</w:t>
      </w:r>
    </w:p>
    <w:p>
      <w:pPr>
        <w:pStyle w:val="Heading1"/>
      </w:pPr>
      <w:r>
        <w:rPr>
          <w:rFonts w:ascii="Arial" w:hAnsi="Arial"/>
          <w:b/>
        </w:rPr>
        <w:t>Background and Prior Experience (once per participant)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Age range:</w:t>
      </w:r>
    </w:p>
    <w:p>
      <w:r>
        <w:rPr>
          <w:rFonts w:ascii="Arial" w:hAnsi="Arial"/>
          <w:b w:val="0"/>
        </w:rPr>
        <w:t>☐ 18–24 ☐ 25–34 ☐ 35–44 ☐ 45–54 ☐ 55–64 ☐ 65+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Gender identity (select all that apply):</w:t>
      </w:r>
    </w:p>
    <w:p>
      <w:r>
        <w:rPr>
          <w:rFonts w:ascii="Arial" w:hAnsi="Arial"/>
          <w:b w:val="0"/>
        </w:rPr>
        <w:t>☐ Woman ☐ Man ☐ Nonbinary ☐ Another identity: ______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Do you use glasses or contact lenses?</w:t>
      </w:r>
    </w:p>
    <w:p>
      <w:r>
        <w:rPr>
          <w:rFonts w:ascii="Arial" w:hAnsi="Arial"/>
          <w:b w:val="0"/>
        </w:rPr>
        <w:t>☐ Neither ☐ Glasses ☐ Contact lenses ☐ Both ☐ Prefer not to answer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How often have you used virtual- or mixed-reality headsets?</w:t>
      </w:r>
    </w:p>
    <w:p>
      <w:r>
        <w:rPr>
          <w:rFonts w:ascii="Arial" w:hAnsi="Arial"/>
          <w:b w:val="0"/>
        </w:rPr>
        <w:t>☐ Never ☐ Once or twice ☐ Several times ☐ Monthly ☐ Weekly or more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Have you used eye-tracking technology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Have you used a synthetic or cloned version of your own voice before?</w:t>
      </w:r>
    </w:p>
    <w:p>
      <w:r>
        <w:rPr>
          <w:rFonts w:ascii="Arial" w:hAnsi="Arial"/>
          <w:b w:val="0"/>
        </w:rPr>
        <w:t>☐ No ☐ Yes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How familiar are you with AI voice assistants?</w:t>
      </w:r>
    </w:p>
    <w:p>
      <w:r>
        <w:rPr>
          <w:rFonts w:ascii="Arial" w:hAnsi="Arial"/>
          <w:b w:val="0"/>
        </w:rPr>
        <w:t>1 Not at all familiar — 7 Extremely familiar: ______</w:t>
      </w:r>
    </w:p>
    <w:p>
      <w:pPr>
        <w:pStyle w:val="Heading1"/>
      </w:pPr>
      <w:r>
        <w:rPr>
          <w:rFonts w:ascii="Arial" w:hAnsi="Arial"/>
          <w:b/>
        </w:rPr>
        <w:t>Raw NASA Task Load Index (after each block)</w:t>
      </w:r>
    </w:p>
    <w:p>
      <w:r>
        <w:rPr>
          <w:rFonts w:ascii="Arial" w:hAnsi="Arial"/>
          <w:b w:val="0"/>
        </w:rPr>
        <w:t>Please rate your workload during this block. Mark one box per row on the 0 (Very low) to 10 (Very high) scale. Raw NASA-TLX, six unweighted subscales (Hart &amp; Staveland, 1988; https://doi.org/10.1016/S0166-4115(08)62386-9).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cantSplit/>
          <w:tblHeader w:val="true"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Dimension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0 Very low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4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5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6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7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8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9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10 Very high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Mental Demand — How mentally demanding was this block?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Physical Demand — How physically demanding was this block?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Temporal Demand — How hurried or rushed did you feel during this block?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Performance — How unsuccessful were you in accomplishing the task? (0 = perfect, 10 = failure)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Effort — How hard did you have to work to achieve your level of performance?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Frustration — How insecure, discouraged, irritated, stressed, or annoyed did you feel?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84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Block number: ______  Assistance condition code: ______  Voice condition code: ______</w:t>
      </w:r>
    </w:p>
    <w:p>
      <w:r>
        <w:rPr>
          <w:rFonts w:ascii="Arial" w:hAnsi="Arial"/>
          <w:b w:val="0"/>
        </w:rPr>
        <w:t>These condition-code fields are completed automatically/by the researcher and are not shown as manipulation labels if doing so would bias responses.</w:t>
      </w:r>
    </w:p>
    <w:p>
      <w:pPr>
        <w:pStyle w:val="Heading1"/>
      </w:pPr>
      <w:r>
        <w:rPr>
          <w:rFonts w:ascii="Arial" w:hAnsi="Arial"/>
          <w:b/>
        </w:rPr>
        <w:t>Post-Block Assistance and Voice Check</w:t>
      </w:r>
    </w:p>
    <w:p>
      <w:r>
        <w:rPr>
          <w:rFonts w:ascii="Arial" w:hAnsi="Arial"/>
          <w:b w:val="0"/>
        </w:rPr>
        <w:t>Rate each statement from 1 = strongly disagree to 7 = strongly agree.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The hints seemed responsive to what I was looking at.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The hints were helpful.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The hints were distracting.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The speaking voice sounded like me.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The speaking voice felt familiar.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I trusted the spoken guidance.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I felt comfortable hearing this voice.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The voice felt uncanny or unsettling.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9. I relied on the spoken hints when deciding where to search next.  1 2 3 4 5 6 7</w:t>
      </w:r>
    </w:p>
    <w:p>
      <w:r>
        <w:rPr>
          <w:rFonts w:ascii="Arial" w:hAnsi="Arial"/>
          <w:b w:val="0"/>
        </w:rPr>
        <w:t>After a gaze-contingent block only: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10. The directional hint helped me identify the correct general area.  1 2 3 4 5 6 7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11. The warmer/colder feedback helped me narrow down the target location.  1 2 3 4 5 6 7</w:t>
      </w:r>
    </w:p>
    <w:p>
      <w:r>
        <w:rPr>
          <w:rFonts w:ascii="Arial" w:hAnsi="Arial"/>
          <w:b w:val="0"/>
        </w:rPr>
        <w:t>Items 1–11 are study-created manipulation, experience, and mechanism checks. Analyze each item separately; do not report them as one validated scale or exclude a participant based on a rating.</w:t>
      </w:r>
    </w:p>
    <w:p>
      <w:r>
        <w:rPr>
          <w:rFonts w:ascii="Arial" w:hAnsi="Arial"/>
          <w:b w:val="0"/>
        </w:rPr>
        <w:t>Technical check: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hear all prompts clearly? ☐ Yes ☐ No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any prompt repeat, cut off, arrive late, or use the wrong voice? ☐ No ☐ Yes: 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Did you take an unplanned break or experience an interruption? ☐ No ☐ Yes: ______</w:t>
      </w:r>
    </w:p>
    <w:p>
      <w:pPr>
        <w:pStyle w:val="Heading1"/>
      </w:pPr>
      <w:r>
        <w:rPr>
          <w:rFonts w:ascii="Arial" w:hAnsi="Arial"/>
          <w:b/>
        </w:rPr>
        <w:t>Perceived Eeriness (after each block)</w:t>
      </w:r>
    </w:p>
    <w:p>
      <w:r>
        <w:rPr>
          <w:rFonts w:ascii="Arial" w:hAnsi="Arial"/>
          <w:b w:val="0"/>
        </w:rPr>
        <w:t xml:space="preserve">For each pair, mark the box that best describes how the assistant's voice felt during this block (1 to 7). Adapted from the Ho &amp; MacDorman (2017) Eeriness index; the eeriness construct was applied to self-similar voices by Zibrek et al. (2018) and Guo et al. (2024). </w:t>
      </w:r>
      <w:r>
        <w:rPr>
          <w:rFonts w:ascii="Arial" w:hAnsi="Arial"/>
          <w:b/>
        </w:rPr>
        <w:t>[Transcribe the exact validated anchor pairs from Ho &amp; MacDorman (2017) before participant use.]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rPr>
          <w:cantSplit/>
          <w:tblHeader w:val="true"/>
        </w:trPr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The voice felt…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4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5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6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7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…the voice felt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Reassuring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Eerie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Natural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Uncanny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Comforting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12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Creepy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Perceived voice similarity (manipulation check):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blHeader w:val="true"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Statement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 Not at all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4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5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7 Extremely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How much did the assistant's voice sound like your own voice?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Analyze the three eeriness items as a mean eeriness score and the similarity item as a manipulation check; do not exclude participants based on these ratings.</w:t>
      </w:r>
    </w:p>
    <w:p>
      <w:pPr>
        <w:pStyle w:val="Heading1"/>
      </w:pPr>
      <w:r>
        <w:rPr>
          <w:rFonts w:ascii="Arial" w:hAnsi="Arial"/>
          <w:b/>
        </w:rPr>
        <w:t>Post-Session Comparison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1. Which type of assistance did you prefer?</w:t>
      </w:r>
    </w:p>
    <w:p>
      <w:r>
        <w:rPr>
          <w:rFonts w:ascii="Arial" w:hAnsi="Arial"/>
          <w:b w:val="0"/>
        </w:rPr>
        <w:t>☐ More gaze-responsive ☐ Less gaze-responsive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2. Which voice did you prefer?</w:t>
      </w:r>
    </w:p>
    <w:p>
      <w:r>
        <w:rPr>
          <w:rFonts w:ascii="Arial" w:hAnsi="Arial"/>
          <w:b w:val="0"/>
        </w:rPr>
        <w:t>☐ Generic voice ☐ Voice resembling me ☐ No preference ☐ Unsure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3. Which combination felt most helpful?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4. Which combination felt most comfortable?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5. Did you believe the self-similar voice resembled your voice? Why or why not?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6. When the assistant gave directional guidance and then closer/farther feedback, which stage was more useful, and why?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7. Did any hint reveal information you had not expected the system to infer from your gaze?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8. Did hearing your self-similar voice create any concern about misuse or about how the voice was created? ____________________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9. What would you change about the hints, voice, or task? ____________________</w:t>
      </w:r>
    </w:p>
    <w:p>
      <w:pPr>
        <w:pStyle w:val="Heading1"/>
      </w:pPr>
      <w:r>
        <w:rPr>
          <w:rFonts w:ascii="Arial" w:hAnsi="Arial"/>
          <w:b/>
        </w:rPr>
        <w:t>Presence Questionnaire (post-session)</w:t>
      </w:r>
    </w:p>
    <w:p>
      <w:r>
        <w:rPr>
          <w:rFonts w:ascii="Arial" w:hAnsi="Arial"/>
          <w:b w:val="0"/>
        </w:rPr>
        <w:t xml:space="preserve">igroup Presence Questionnaire (IPQ; Schubert, Friedmann, &amp; Regenbrecht, 2001) — 14 items across General Presence, Spatial Presence, Involvement, and Experienced Realism. Rate each item from 1 to 7. </w:t>
      </w:r>
      <w:r>
        <w:rPr>
          <w:rFonts w:ascii="Arial" w:hAnsi="Arial"/>
          <w:b/>
        </w:rPr>
        <w:t>[Apply the exact igroup.org anchors before participant use: most items use “fully disagree (1)” to “fully agree (7),” while G1, INV1, REAL1, and REAL3 use item-specific anchors.]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blHeader w:val="true"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Item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 Fully disagree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4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5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6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7 Fully agree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G1. In the computer-generated world I had a sense of “being there.”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SP1. Somehow I felt that the virtual world surrounded me.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SP2. I felt like I was just perceiving pictures.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SP3. I did not feel present in the virtual space.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SP4. I had a sense of acting in the virtual space, rather than operating something from outside.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SP5. I felt present in the virtual space.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INV1. How aware were you of the real world surrounding you while in the virtual world (sounds, room temperature, other people, etc.)?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INV2. I was not aware of my real environment.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INV3. I still paid attention to the real environment.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INV4. I was completely captivated by the virtual world.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REAL1. How real did the virtual world seem to you?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REAL2. How much did your experience in the virtual environment seem consistent with your real-world experience?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REAL3. How real did the virtual world seem to you (compared with an imagined world)?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REAL4. The virtual world seemed more real than the real world.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1260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Reverse-scored items (higher rating indicates less presence): SP2, SP3, INV1, INV3. Compute General, Spatial Presence, Involvement, and Experienced Realism subscales per Schubert et al. (2001).</w:t>
      </w:r>
    </w:p>
    <w:p>
      <w:r>
        <w:rPr>
          <w:rFonts w:ascii="Arial" w:hAnsi="Arial"/>
          <w:b w:val="0"/>
        </w:rPr>
        <w:t>Reference: Schubert, T., Friedmann, F., &amp; Regenbrecht, H. (2001). The experience of presence: Factor analytic insights. *Presence: Teleoperators and Virtual Environments, 10*(3), 266–281. https://doi.org/10.1162/105474601300343603</w:t>
      </w:r>
    </w:p>
    <w:p>
      <w:pPr>
        <w:pStyle w:val="Heading1"/>
      </w:pPr>
      <w:r>
        <w:rPr>
          <w:rFonts w:ascii="Arial" w:hAnsi="Arial"/>
          <w:b/>
        </w:rPr>
        <w:t>Post-Exposure Simulator Sickness Questionnaire</w:t>
      </w:r>
    </w:p>
    <w:p>
      <w:r>
        <w:rPr>
          <w:rFonts w:ascii="Arial" w:hAnsi="Arial"/>
          <w:b w:val="0"/>
        </w:rPr>
        <w:t>Rate each item now using the standard SSQ response anchors: 0 = none, 1 = slight, 2 = moderate, 3 = severe.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  <w:tblHeader w:val="true"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Symptom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0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1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2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</w:rPr>
              <w:t>3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General discomfort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Fatigue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Headache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Eyestrain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Difficulty focusing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Increased salivation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Sweating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Nausea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Difficulty concentrating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Fullness of head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Blurred vision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Dizziness with eyes open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Dizziness with eyes closed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Vertigo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Stomach awareness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Burping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  <w:tc>
          <w:tcPr>
            <w:tcW w:type="dxa" w:w="2016"/>
            <w:vAlign w:val="center"/>
            <w:tcMar>
              <w:top w:w="40" w:type="dxa"/>
              <w:start w:w="90" w:type="dxa"/>
              <w:bottom w:w="4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</w:rPr>
              <w:t>☐</w:t>
            </w:r>
          </w:p>
        </w:tc>
      </w:tr>
    </w:tbl>
    <w:p>
      <w:pPr>
        <w:spacing w:after="0"/>
      </w:pPr>
    </w:p>
    <w:p>
      <w:r>
        <w:rPr>
          <w:rFonts w:ascii="Arial" w:hAnsi="Arial"/>
          <w:b w:val="0"/>
        </w:rPr>
        <w:t>Did you stop or pause because of symptoms? ☐ No ☐ Yes</w:t>
      </w:r>
    </w:p>
    <w:p>
      <w:r>
        <w:rPr>
          <w:rFonts w:ascii="Arial" w:hAnsi="Arial"/>
          <w:b w:val="0"/>
        </w:rPr>
        <w:t>Do you feel ready to leave the lab? ☐ Yes ☐ No—researcher follow-up required</w:t>
      </w:r>
    </w:p>
    <w:p>
      <w:pPr>
        <w:pStyle w:val="Heading1"/>
      </w:pPr>
      <w:r>
        <w:rPr>
          <w:rFonts w:ascii="Arial" w:hAnsi="Arial"/>
          <w:b/>
        </w:rPr>
        <w:t>Administration and Scoring Decisions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Raw NASA-TLX after each of the four blocks as a six-subscale matrix on a 0 (Very low) to 10 (Very high) scale, without pairwise weighting.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the complete 16-item SSQ before headset use and after headset removal, using Kennedy et al. (1993) 0–3 anchors and canonical Nausea, Oculomotor, Disorientation, and Total scores. Safety stopping uses item-level rules, not the total score.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the nine fixed study-created items after every block and items 10–11 after gaze-contingent blocks only. Keep the order fixed to reduce administration variance.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Administer the perceived-eeriness semantic differential (Ho &amp; MacDorman, 2017; Zibrek et al., 2018) and the voice-similarity manipulation check after every block; finalize the exact validated eeriness anchors from the source before participant use.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Do not administer SUS or UEQ; overall usability is not a focal construct.</w:t>
      </w:r>
    </w:p>
    <w:p>
      <w:pPr>
        <w:spacing w:after="40"/>
        <w:ind w:left="360" w:hanging="259"/>
      </w:pPr>
      <w:r>
        <w:rPr>
          <w:rFonts w:ascii="Arial" w:hAnsi="Arial"/>
          <w:b w:val="0"/>
        </w:rPr>
        <w:t>• Eligibility/safety items are required to proceed. Other questionnaire items may be skipped. Record skipped responses as missing and do not impute them for primary analysis.</w:t>
      </w:r>
    </w:p>
    <w:p>
      <w:r>
        <w:rPr>
          <w:rFonts w:ascii="Arial" w:hAnsi="Arial"/>
          <w:b w:val="0"/>
        </w:rPr>
        <w:t>Reference: Kennedy, R. S., Lane, N. E., Berbaum, K. S., &amp; Lilienthal, M. G. (1993). Simulator Sickness Questionnaire. *The International Journal of Aviation Psychology, 3*(3), 203–220. https://doi.org/10.1207/s15327108ijap0303_3</w:t>
      </w:r>
    </w:p>
    <w:p>
      <w:r>
        <w:rPr>
          <w:rFonts w:ascii="Arial" w:hAnsi="Arial"/>
          <w:b w:val="0"/>
        </w:rPr>
        <w:t>Reference (eeriness): Ho, C.-C., &amp; MacDorman, K. F. (2017). Measuring the uncanny valley effect: Refinements to indices for perceived humanness, attractiveness, and eeriness. *International Journal of Social Robotics, 9*(1), 129–139. https://doi.org/10.1007/s12369-016-0380-9</w:t>
      </w:r>
    </w:p>
    <w:p>
      <w:r>
        <w:rPr>
          <w:rFonts w:ascii="Arial" w:hAnsi="Arial"/>
          <w:b w:val="0"/>
        </w:rPr>
        <w:t>Reference (self-similar voice precedent): Zibrek, K., Kokkinara, E., &amp; McDonnell, R. (2018). The effect of realistic appearance of virtual characters in immersive environments. *IEEE TVCG, 24*(4), 1681–1690. https://doi.org/10.1109/TVCG.2018.2794638; Guo, S., Choi, M., Kao, D., &amp; Mousas, C. (2024). Collaborating with My Doppelgänger. *PACM CGIT, 7*(1). https://doi.org/10.1145/3651288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Participant_Questionnaires</dc:title>
  <dc:subject>First-pass UCF IRB submission draft</dc:subject>
  <dc:creator>Gaze Contingency Project research team</dc:creator>
  <cp:keywords>UCF, IRB, mixed reality, eye tracking, voice cloning</cp:keywords>
  <dc:description>Generated from auditable Markdown; complete administrative inputs and institutional confirmations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